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66BAD2">
      <w:pPr>
        <w:keepLines w:val="0"/>
        <w:pageBreakBefore w:val="0"/>
        <w:kinsoku/>
        <w:wordWrap/>
        <w:overflowPunct/>
        <w:topLinePunct w:val="0"/>
        <w:autoSpaceDE/>
        <w:autoSpaceDN/>
        <w:bidi w:val="0"/>
        <w:spacing w:line="360" w:lineRule="exact"/>
        <w:jc w:val="center"/>
        <w:rPr>
          <w:rFonts w:hint="eastAsia" w:ascii="宋体" w:hAnsi="宋体" w:eastAsia="宋体" w:cs="宋体"/>
          <w:b/>
          <w:sz w:val="21"/>
          <w:szCs w:val="21"/>
        </w:rPr>
      </w:pPr>
      <w:r>
        <w:rPr>
          <w:rFonts w:hint="eastAsia" w:ascii="宋体" w:hAnsi="宋体" w:eastAsia="宋体" w:cs="宋体"/>
          <w:b/>
          <w:sz w:val="21"/>
          <w:szCs w:val="21"/>
          <w:lang w:val="en-US" w:eastAsia="zh-CN"/>
        </w:rPr>
        <w:t>吉林省高速公路集团有限公司2027-2028年度高速公路养护工程勘察设计招标文件</w:t>
      </w:r>
      <w:r>
        <w:rPr>
          <w:rFonts w:hint="eastAsia" w:ascii="宋体" w:hAnsi="宋体" w:eastAsia="宋体" w:cs="宋体"/>
          <w:b/>
          <w:sz w:val="21"/>
          <w:szCs w:val="21"/>
        </w:rPr>
        <w:t>公开内容</w:t>
      </w:r>
    </w:p>
    <w:p w14:paraId="6519C1BC">
      <w:pPr>
        <w:keepLines w:val="0"/>
        <w:pageBreakBefore w:val="0"/>
        <w:tabs>
          <w:tab w:val="center" w:pos="4819"/>
        </w:tabs>
        <w:kinsoku/>
        <w:wordWrap/>
        <w:overflowPunct/>
        <w:topLinePunct w:val="0"/>
        <w:autoSpaceDE/>
        <w:autoSpaceDN/>
        <w:bidi w:val="0"/>
        <w:spacing w:line="360" w:lineRule="exact"/>
        <w:rPr>
          <w:rFonts w:hint="eastAsia" w:ascii="宋体" w:hAnsi="宋体" w:eastAsia="宋体" w:cs="宋体"/>
          <w:b/>
          <w:sz w:val="21"/>
          <w:szCs w:val="21"/>
          <w:highlight w:val="none"/>
        </w:rPr>
      </w:pPr>
      <w:r>
        <w:rPr>
          <w:rFonts w:hint="eastAsia" w:ascii="宋体" w:hAnsi="宋体" w:eastAsia="宋体" w:cs="宋体"/>
          <w:b/>
          <w:sz w:val="21"/>
          <w:szCs w:val="21"/>
          <w:highlight w:val="none"/>
        </w:rPr>
        <w:t>一、项</w:t>
      </w:r>
      <w:bookmarkStart w:id="18" w:name="_GoBack"/>
      <w:bookmarkEnd w:id="18"/>
      <w:r>
        <w:rPr>
          <w:rFonts w:hint="eastAsia" w:ascii="宋体" w:hAnsi="宋体" w:eastAsia="宋体" w:cs="宋体"/>
          <w:b/>
          <w:sz w:val="21"/>
          <w:szCs w:val="21"/>
          <w:highlight w:val="none"/>
        </w:rPr>
        <w:t>目概况与招标范围</w:t>
      </w:r>
      <w:r>
        <w:rPr>
          <w:rFonts w:hint="eastAsia" w:ascii="宋体" w:hAnsi="宋体" w:eastAsia="宋体" w:cs="宋体"/>
          <w:b/>
          <w:sz w:val="21"/>
          <w:szCs w:val="21"/>
          <w:highlight w:val="none"/>
        </w:rPr>
        <w:tab/>
      </w:r>
    </w:p>
    <w:p w14:paraId="282A3306">
      <w:pPr>
        <w:keepLines w:val="0"/>
        <w:pageBreakBefore w:val="0"/>
        <w:kinsoku/>
        <w:wordWrap/>
        <w:overflowPunct/>
        <w:topLinePunct w:val="0"/>
        <w:autoSpaceDE/>
        <w:autoSpaceDN/>
        <w:bidi w:val="0"/>
        <w:spacing w:line="360" w:lineRule="exact"/>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    详见招标公告</w:t>
      </w:r>
    </w:p>
    <w:p w14:paraId="75F42BF7">
      <w:pPr>
        <w:keepLines w:val="0"/>
        <w:pageBreakBefore w:val="0"/>
        <w:kinsoku/>
        <w:wordWrap/>
        <w:overflowPunct/>
        <w:topLinePunct w:val="0"/>
        <w:autoSpaceDE/>
        <w:autoSpaceDN/>
        <w:bidi w:val="0"/>
        <w:spacing w:line="360" w:lineRule="exact"/>
        <w:rPr>
          <w:rFonts w:hint="eastAsia" w:ascii="宋体" w:hAnsi="宋体" w:eastAsia="宋体" w:cs="宋体"/>
          <w:b/>
          <w:sz w:val="21"/>
          <w:szCs w:val="21"/>
          <w:highlight w:val="none"/>
        </w:rPr>
      </w:pPr>
      <w:r>
        <w:rPr>
          <w:rFonts w:hint="eastAsia" w:ascii="宋体" w:hAnsi="宋体" w:eastAsia="宋体" w:cs="宋体"/>
          <w:b/>
          <w:sz w:val="21"/>
          <w:szCs w:val="21"/>
          <w:highlight w:val="none"/>
        </w:rPr>
        <w:t>二、投标人资格要求</w:t>
      </w:r>
    </w:p>
    <w:p w14:paraId="3347AB2D">
      <w:pPr>
        <w:keepLines w:val="0"/>
        <w:pageBreakBefore w:val="0"/>
        <w:kinsoku/>
        <w:wordWrap/>
        <w:overflowPunct/>
        <w:topLinePunct w:val="0"/>
        <w:autoSpaceDE/>
        <w:autoSpaceDN/>
        <w:bidi w:val="0"/>
        <w:spacing w:line="360" w:lineRule="exact"/>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    投标人须知前附表（投标人资格要求部分）</w:t>
      </w:r>
    </w:p>
    <w:tbl>
      <w:tblPr>
        <w:tblStyle w:val="6"/>
        <w:tblW w:w="9475" w:type="dxa"/>
        <w:jc w:val="center"/>
        <w:tblLayout w:type="fixed"/>
        <w:tblCellMar>
          <w:top w:w="0" w:type="dxa"/>
          <w:left w:w="28" w:type="dxa"/>
          <w:bottom w:w="0" w:type="dxa"/>
          <w:right w:w="28" w:type="dxa"/>
        </w:tblCellMar>
      </w:tblPr>
      <w:tblGrid>
        <w:gridCol w:w="953"/>
        <w:gridCol w:w="2006"/>
        <w:gridCol w:w="6516"/>
      </w:tblGrid>
      <w:tr w14:paraId="6A27579C">
        <w:tblPrEx>
          <w:tblCellMar>
            <w:top w:w="0" w:type="dxa"/>
            <w:left w:w="28" w:type="dxa"/>
            <w:bottom w:w="0" w:type="dxa"/>
            <w:right w:w="28" w:type="dxa"/>
          </w:tblCellMar>
        </w:tblPrEx>
        <w:trPr>
          <w:trHeight w:val="567" w:hRule="atLeast"/>
          <w:jc w:val="center"/>
        </w:trPr>
        <w:tc>
          <w:tcPr>
            <w:tcW w:w="953" w:type="dxa"/>
            <w:tcBorders>
              <w:top w:val="single" w:color="000000" w:sz="4" w:space="0"/>
              <w:left w:val="single" w:color="auto" w:sz="12" w:space="0"/>
              <w:bottom w:val="single" w:color="000000" w:sz="4" w:space="0"/>
              <w:right w:val="single" w:color="000000" w:sz="4" w:space="0"/>
            </w:tcBorders>
            <w:vAlign w:val="center"/>
          </w:tcPr>
          <w:p w14:paraId="5F7EAE58">
            <w:pPr>
              <w:keepLines w:val="0"/>
              <w:pageBreakBefore w:val="0"/>
              <w:kinsoku/>
              <w:wordWrap/>
              <w:overflowPunct/>
              <w:topLinePunct w:val="0"/>
              <w:autoSpaceDE/>
              <w:autoSpaceDN/>
              <w:bidi w:val="0"/>
              <w:adjustRightInd w:val="0"/>
              <w:snapToGrid w:val="0"/>
              <w:spacing w:before="100" w:beforeAutospacing="1" w:after="100" w:afterAutospacing="1" w:line="360" w:lineRule="exact"/>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条款号</w:t>
            </w:r>
          </w:p>
        </w:tc>
        <w:tc>
          <w:tcPr>
            <w:tcW w:w="2006" w:type="dxa"/>
            <w:tcBorders>
              <w:top w:val="single" w:color="000000" w:sz="4" w:space="0"/>
              <w:left w:val="single" w:color="000000" w:sz="4" w:space="0"/>
              <w:bottom w:val="single" w:color="000000" w:sz="4" w:space="0"/>
              <w:right w:val="single" w:color="000000" w:sz="4" w:space="0"/>
            </w:tcBorders>
            <w:vAlign w:val="center"/>
          </w:tcPr>
          <w:p w14:paraId="19F34D5F">
            <w:pPr>
              <w:keepLines w:val="0"/>
              <w:pageBreakBefore w:val="0"/>
              <w:kinsoku/>
              <w:wordWrap/>
              <w:overflowPunct/>
              <w:topLinePunct w:val="0"/>
              <w:autoSpaceDE/>
              <w:autoSpaceDN/>
              <w:bidi w:val="0"/>
              <w:spacing w:line="360" w:lineRule="exact"/>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条款名称</w:t>
            </w:r>
          </w:p>
        </w:tc>
        <w:tc>
          <w:tcPr>
            <w:tcW w:w="6516" w:type="dxa"/>
            <w:tcBorders>
              <w:top w:val="single" w:color="000000" w:sz="4" w:space="0"/>
              <w:left w:val="single" w:color="000000" w:sz="4" w:space="0"/>
              <w:bottom w:val="single" w:color="000000" w:sz="4" w:space="0"/>
              <w:right w:val="single" w:color="auto" w:sz="12" w:space="0"/>
            </w:tcBorders>
            <w:vAlign w:val="center"/>
          </w:tcPr>
          <w:p w14:paraId="25EC0277">
            <w:pPr>
              <w:keepLines w:val="0"/>
              <w:pageBreakBefore w:val="0"/>
              <w:kinsoku/>
              <w:wordWrap/>
              <w:overflowPunct/>
              <w:topLinePunct w:val="0"/>
              <w:autoSpaceDE/>
              <w:autoSpaceDN/>
              <w:bidi w:val="0"/>
              <w:spacing w:line="360" w:lineRule="exact"/>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编列内容</w:t>
            </w:r>
          </w:p>
        </w:tc>
      </w:tr>
      <w:tr w14:paraId="6D122821">
        <w:tblPrEx>
          <w:tblCellMar>
            <w:top w:w="0" w:type="dxa"/>
            <w:left w:w="28" w:type="dxa"/>
            <w:bottom w:w="0" w:type="dxa"/>
            <w:right w:w="28" w:type="dxa"/>
          </w:tblCellMar>
        </w:tblPrEx>
        <w:trPr>
          <w:trHeight w:val="567" w:hRule="atLeast"/>
          <w:jc w:val="center"/>
        </w:trPr>
        <w:tc>
          <w:tcPr>
            <w:tcW w:w="953" w:type="dxa"/>
            <w:tcBorders>
              <w:top w:val="single" w:color="000000" w:sz="4" w:space="0"/>
              <w:left w:val="single" w:color="auto" w:sz="12" w:space="0"/>
              <w:bottom w:val="single" w:color="000000" w:sz="4" w:space="0"/>
              <w:right w:val="single" w:color="000000" w:sz="4" w:space="0"/>
            </w:tcBorders>
            <w:vAlign w:val="center"/>
          </w:tcPr>
          <w:p w14:paraId="0258E759">
            <w:pPr>
              <w:keepLines w:val="0"/>
              <w:kinsoku/>
              <w:wordWrap/>
              <w:overflowPunct/>
              <w:topLinePunct w:val="0"/>
              <w:autoSpaceDE/>
              <w:autoSpaceDN/>
              <w:bidi w:val="0"/>
              <w:adjustRightInd w:val="0"/>
              <w:snapToGrid w:val="0"/>
              <w:spacing w:before="100" w:beforeAutospacing="1" w:after="100" w:afterAutospacing="1" w:line="360" w:lineRule="exact"/>
              <w:jc w:val="center"/>
              <w:rPr>
                <w:rFonts w:hint="eastAsia" w:ascii="宋体" w:hAnsi="宋体" w:eastAsia="宋体" w:cs="宋体"/>
                <w:sz w:val="21"/>
                <w:szCs w:val="21"/>
                <w:highlight w:val="none"/>
              </w:rPr>
            </w:pPr>
            <w:r>
              <w:rPr>
                <w:rFonts w:hint="eastAsia" w:ascii="宋体" w:hAnsi="宋体" w:eastAsia="宋体" w:cs="宋体"/>
                <w:color w:val="auto"/>
                <w:sz w:val="21"/>
                <w:szCs w:val="21"/>
                <w:highlight w:val="none"/>
              </w:rPr>
              <w:t>1.4.1</w:t>
            </w:r>
          </w:p>
        </w:tc>
        <w:tc>
          <w:tcPr>
            <w:tcW w:w="2006" w:type="dxa"/>
            <w:tcBorders>
              <w:top w:val="single" w:color="000000" w:sz="4" w:space="0"/>
              <w:left w:val="single" w:color="000000" w:sz="4" w:space="0"/>
              <w:bottom w:val="single" w:color="000000" w:sz="4" w:space="0"/>
              <w:right w:val="single" w:color="000000" w:sz="4" w:space="0"/>
            </w:tcBorders>
            <w:vAlign w:val="center"/>
          </w:tcPr>
          <w:p w14:paraId="6AC7EC3C">
            <w:pPr>
              <w:keepLines w:val="0"/>
              <w:kinsoku/>
              <w:wordWrap/>
              <w:overflowPunct/>
              <w:topLinePunct w:val="0"/>
              <w:autoSpaceDE/>
              <w:autoSpaceDN/>
              <w:bidi w:val="0"/>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投标人资质条件、</w:t>
            </w:r>
          </w:p>
          <w:p w14:paraId="64F3EBBE">
            <w:pPr>
              <w:keepLines w:val="0"/>
              <w:kinsoku/>
              <w:wordWrap/>
              <w:overflowPunct/>
              <w:topLinePunct w:val="0"/>
              <w:autoSpaceDE/>
              <w:autoSpaceDN/>
              <w:bidi w:val="0"/>
              <w:spacing w:line="360" w:lineRule="exact"/>
              <w:jc w:val="center"/>
              <w:rPr>
                <w:rFonts w:hint="eastAsia" w:ascii="宋体" w:hAnsi="宋体" w:eastAsia="宋体" w:cs="宋体"/>
                <w:sz w:val="21"/>
                <w:szCs w:val="21"/>
                <w:highlight w:val="none"/>
              </w:rPr>
            </w:pPr>
            <w:r>
              <w:rPr>
                <w:rFonts w:hint="eastAsia" w:ascii="宋体" w:hAnsi="宋体" w:eastAsia="宋体" w:cs="宋体"/>
                <w:color w:val="auto"/>
                <w:sz w:val="21"/>
                <w:szCs w:val="21"/>
                <w:highlight w:val="none"/>
              </w:rPr>
              <w:t>能力和信誉</w:t>
            </w:r>
          </w:p>
        </w:tc>
        <w:tc>
          <w:tcPr>
            <w:tcW w:w="6516" w:type="dxa"/>
            <w:tcBorders>
              <w:top w:val="single" w:color="000000" w:sz="4" w:space="0"/>
              <w:left w:val="single" w:color="000000" w:sz="4" w:space="0"/>
              <w:bottom w:val="single" w:color="000000" w:sz="4" w:space="0"/>
              <w:right w:val="single" w:color="auto" w:sz="12" w:space="0"/>
            </w:tcBorders>
            <w:vAlign w:val="center"/>
          </w:tcPr>
          <w:p w14:paraId="0B0230E9">
            <w:pPr>
              <w:keepLines w:val="0"/>
              <w:kinsoku/>
              <w:wordWrap/>
              <w:overflowPunct/>
              <w:topLinePunct w:val="0"/>
              <w:autoSpaceDE/>
              <w:autoSpaceDN/>
              <w:bidi w:val="0"/>
              <w:spacing w:line="36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资质条件：见附录1</w:t>
            </w:r>
          </w:p>
          <w:p w14:paraId="12E1EDDA">
            <w:pPr>
              <w:keepLines w:val="0"/>
              <w:kinsoku/>
              <w:wordWrap/>
              <w:overflowPunct/>
              <w:topLinePunct w:val="0"/>
              <w:autoSpaceDE/>
              <w:autoSpaceDN/>
              <w:bidi w:val="0"/>
              <w:spacing w:line="36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业绩要求：见附录2</w:t>
            </w:r>
          </w:p>
          <w:p w14:paraId="4B9AF4E7">
            <w:pPr>
              <w:keepLines w:val="0"/>
              <w:kinsoku/>
              <w:wordWrap/>
              <w:overflowPunct/>
              <w:topLinePunct w:val="0"/>
              <w:autoSpaceDE/>
              <w:autoSpaceDN/>
              <w:bidi w:val="0"/>
              <w:spacing w:line="36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信誉要求：见附录3</w:t>
            </w:r>
          </w:p>
          <w:p w14:paraId="24FF1699">
            <w:pPr>
              <w:keepLines w:val="0"/>
              <w:kinsoku/>
              <w:wordWrap/>
              <w:overflowPunct/>
              <w:topLinePunct w:val="0"/>
              <w:autoSpaceDE/>
              <w:autoSpaceDN/>
              <w:bidi w:val="0"/>
              <w:spacing w:line="36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项目负责人资格：见附录4</w:t>
            </w:r>
          </w:p>
          <w:p w14:paraId="7FB087DA">
            <w:pPr>
              <w:keepLines w:val="0"/>
              <w:kinsoku/>
              <w:wordWrap/>
              <w:overflowPunct/>
              <w:topLinePunct w:val="0"/>
              <w:autoSpaceDE/>
              <w:autoSpaceDN/>
              <w:bidi w:val="0"/>
              <w:spacing w:line="360" w:lineRule="exact"/>
              <w:rPr>
                <w:rFonts w:hint="eastAsia" w:ascii="宋体" w:hAnsi="宋体" w:eastAsia="宋体" w:cs="宋体"/>
                <w:sz w:val="21"/>
                <w:szCs w:val="21"/>
                <w:highlight w:val="none"/>
              </w:rPr>
            </w:pPr>
            <w:r>
              <w:rPr>
                <w:rFonts w:hint="eastAsia" w:ascii="宋体" w:hAnsi="宋体" w:eastAsia="宋体" w:cs="宋体"/>
                <w:color w:val="auto"/>
                <w:sz w:val="21"/>
                <w:szCs w:val="21"/>
                <w:highlight w:val="none"/>
              </w:rPr>
              <w:t>项目</w:t>
            </w:r>
            <w:r>
              <w:rPr>
                <w:rFonts w:hint="eastAsia" w:ascii="宋体" w:hAnsi="宋体" w:eastAsia="宋体" w:cs="宋体"/>
                <w:color w:val="auto"/>
                <w:sz w:val="21"/>
                <w:szCs w:val="21"/>
                <w:highlight w:val="none"/>
                <w:lang w:val="en-US" w:eastAsia="zh-CN"/>
              </w:rPr>
              <w:t>分项</w:t>
            </w:r>
            <w:r>
              <w:rPr>
                <w:rFonts w:hint="eastAsia" w:ascii="宋体" w:hAnsi="宋体" w:eastAsia="宋体" w:cs="宋体"/>
                <w:color w:val="auto"/>
                <w:sz w:val="21"/>
                <w:szCs w:val="21"/>
                <w:highlight w:val="none"/>
              </w:rPr>
              <w:t>负责人资格：见附录</w:t>
            </w:r>
            <w:r>
              <w:rPr>
                <w:rFonts w:hint="eastAsia" w:ascii="宋体" w:hAnsi="宋体" w:eastAsia="宋体" w:cs="宋体"/>
                <w:color w:val="auto"/>
                <w:sz w:val="21"/>
                <w:szCs w:val="21"/>
                <w:highlight w:val="none"/>
                <w:lang w:val="en-US" w:eastAsia="zh-CN"/>
              </w:rPr>
              <w:t>5</w:t>
            </w:r>
          </w:p>
        </w:tc>
      </w:tr>
      <w:tr w14:paraId="73D8A1C8">
        <w:tblPrEx>
          <w:tblCellMar>
            <w:top w:w="0" w:type="dxa"/>
            <w:left w:w="28" w:type="dxa"/>
            <w:bottom w:w="0" w:type="dxa"/>
            <w:right w:w="28" w:type="dxa"/>
          </w:tblCellMar>
        </w:tblPrEx>
        <w:trPr>
          <w:trHeight w:val="567" w:hRule="atLeast"/>
          <w:jc w:val="center"/>
        </w:trPr>
        <w:tc>
          <w:tcPr>
            <w:tcW w:w="953" w:type="dxa"/>
            <w:tcBorders>
              <w:top w:val="single" w:color="000000" w:sz="4" w:space="0"/>
              <w:left w:val="single" w:color="auto" w:sz="12" w:space="0"/>
              <w:bottom w:val="single" w:color="000000" w:sz="4" w:space="0"/>
              <w:right w:val="single" w:color="000000" w:sz="4" w:space="0"/>
            </w:tcBorders>
            <w:vAlign w:val="center"/>
          </w:tcPr>
          <w:p w14:paraId="6C9A73F8">
            <w:pPr>
              <w:keepLines w:val="0"/>
              <w:kinsoku/>
              <w:wordWrap/>
              <w:overflowPunct/>
              <w:topLinePunct w:val="0"/>
              <w:autoSpaceDE/>
              <w:autoSpaceDN/>
              <w:bidi w:val="0"/>
              <w:adjustRightInd w:val="0"/>
              <w:snapToGrid w:val="0"/>
              <w:spacing w:before="100" w:beforeAutospacing="1" w:after="100" w:afterAutospacing="1" w:line="360" w:lineRule="exact"/>
              <w:jc w:val="center"/>
              <w:rPr>
                <w:rFonts w:hint="eastAsia" w:ascii="宋体" w:hAnsi="宋体" w:eastAsia="宋体" w:cs="宋体"/>
                <w:sz w:val="21"/>
                <w:szCs w:val="21"/>
                <w:highlight w:val="none"/>
              </w:rPr>
            </w:pPr>
            <w:r>
              <w:rPr>
                <w:rFonts w:hint="eastAsia" w:ascii="宋体" w:hAnsi="宋体" w:eastAsia="宋体" w:cs="宋体"/>
                <w:color w:val="auto"/>
                <w:sz w:val="21"/>
                <w:szCs w:val="21"/>
                <w:highlight w:val="none"/>
              </w:rPr>
              <w:t>1.4.2</w:t>
            </w:r>
          </w:p>
        </w:tc>
        <w:tc>
          <w:tcPr>
            <w:tcW w:w="2006" w:type="dxa"/>
            <w:tcBorders>
              <w:top w:val="single" w:color="000000" w:sz="4" w:space="0"/>
              <w:left w:val="single" w:color="000000" w:sz="4" w:space="0"/>
              <w:bottom w:val="single" w:color="000000" w:sz="4" w:space="0"/>
              <w:right w:val="single" w:color="000000" w:sz="4" w:space="0"/>
            </w:tcBorders>
            <w:vAlign w:val="center"/>
          </w:tcPr>
          <w:p w14:paraId="7C5FE634">
            <w:pPr>
              <w:keepLines w:val="0"/>
              <w:kinsoku/>
              <w:wordWrap/>
              <w:overflowPunct/>
              <w:topLinePunct w:val="0"/>
              <w:autoSpaceDE/>
              <w:autoSpaceDN/>
              <w:bidi w:val="0"/>
              <w:spacing w:line="360" w:lineRule="exact"/>
              <w:jc w:val="center"/>
              <w:rPr>
                <w:rFonts w:hint="eastAsia" w:ascii="宋体" w:hAnsi="宋体" w:eastAsia="宋体" w:cs="宋体"/>
                <w:sz w:val="21"/>
                <w:szCs w:val="21"/>
                <w:highlight w:val="none"/>
              </w:rPr>
            </w:pPr>
            <w:r>
              <w:rPr>
                <w:rFonts w:hint="eastAsia" w:ascii="宋体" w:hAnsi="宋体" w:eastAsia="宋体" w:cs="宋体"/>
                <w:color w:val="auto"/>
                <w:sz w:val="21"/>
                <w:szCs w:val="21"/>
                <w:highlight w:val="none"/>
              </w:rPr>
              <w:t>是否接受联合体投标</w:t>
            </w:r>
          </w:p>
        </w:tc>
        <w:tc>
          <w:tcPr>
            <w:tcW w:w="6516" w:type="dxa"/>
            <w:tcBorders>
              <w:top w:val="single" w:color="000000" w:sz="4" w:space="0"/>
              <w:left w:val="single" w:color="000000" w:sz="4" w:space="0"/>
              <w:bottom w:val="single" w:color="000000" w:sz="4" w:space="0"/>
              <w:right w:val="single" w:color="auto" w:sz="12" w:space="0"/>
            </w:tcBorders>
            <w:vAlign w:val="center"/>
          </w:tcPr>
          <w:p w14:paraId="0AE9F159">
            <w:pPr>
              <w:keepLines w:val="0"/>
              <w:kinsoku/>
              <w:wordWrap/>
              <w:overflowPunct/>
              <w:topLinePunct w:val="0"/>
              <w:autoSpaceDE/>
              <w:autoSpaceDN/>
              <w:bidi w:val="0"/>
              <w:spacing w:line="360" w:lineRule="exact"/>
              <w:rPr>
                <w:rFonts w:hint="eastAsia" w:ascii="宋体" w:hAnsi="宋体" w:eastAsia="宋体" w:cs="宋体"/>
                <w:sz w:val="21"/>
                <w:szCs w:val="21"/>
                <w:highlight w:val="none"/>
              </w:rPr>
            </w:pPr>
            <w:r>
              <w:rPr>
                <w:rFonts w:hint="eastAsia" w:ascii="宋体" w:hAnsi="宋体" w:eastAsia="宋体" w:cs="宋体"/>
                <w:color w:val="auto"/>
                <w:sz w:val="21"/>
                <w:szCs w:val="21"/>
                <w:highlight w:val="none"/>
              </w:rPr>
              <w:t>接受，应满足下列要求：</w:t>
            </w:r>
            <w:r>
              <w:rPr>
                <w:rFonts w:hint="eastAsia" w:ascii="宋体" w:hAnsi="宋体" w:eastAsia="宋体" w:cs="宋体"/>
                <w:color w:val="auto"/>
                <w:sz w:val="21"/>
                <w:szCs w:val="21"/>
                <w:highlight w:val="none"/>
                <w:lang w:val="en-US" w:eastAsia="zh-CN"/>
              </w:rPr>
              <w:t>见第一章招标公告。</w:t>
            </w:r>
          </w:p>
        </w:tc>
      </w:tr>
      <w:tr w14:paraId="20FDF494">
        <w:tblPrEx>
          <w:tblCellMar>
            <w:top w:w="0" w:type="dxa"/>
            <w:left w:w="28" w:type="dxa"/>
            <w:bottom w:w="0" w:type="dxa"/>
            <w:right w:w="28" w:type="dxa"/>
          </w:tblCellMar>
        </w:tblPrEx>
        <w:trPr>
          <w:trHeight w:val="567" w:hRule="atLeast"/>
          <w:jc w:val="center"/>
        </w:trPr>
        <w:tc>
          <w:tcPr>
            <w:tcW w:w="953" w:type="dxa"/>
            <w:tcBorders>
              <w:top w:val="single" w:color="000000" w:sz="4" w:space="0"/>
              <w:left w:val="single" w:color="auto" w:sz="12" w:space="0"/>
              <w:bottom w:val="single" w:color="000000" w:sz="4" w:space="0"/>
              <w:right w:val="single" w:color="000000" w:sz="4" w:space="0"/>
            </w:tcBorders>
            <w:vAlign w:val="center"/>
          </w:tcPr>
          <w:p w14:paraId="58C35C15">
            <w:pPr>
              <w:keepLines w:val="0"/>
              <w:kinsoku/>
              <w:wordWrap/>
              <w:overflowPunct/>
              <w:topLinePunct w:val="0"/>
              <w:autoSpaceDE/>
              <w:autoSpaceDN/>
              <w:bidi w:val="0"/>
              <w:adjustRightInd w:val="0"/>
              <w:snapToGrid w:val="0"/>
              <w:spacing w:before="100" w:beforeAutospacing="1" w:after="100" w:afterAutospacing="1" w:line="360" w:lineRule="exact"/>
              <w:jc w:val="center"/>
              <w:rPr>
                <w:rFonts w:hint="eastAsia" w:ascii="宋体" w:hAnsi="宋体" w:eastAsia="宋体" w:cs="宋体"/>
                <w:sz w:val="21"/>
                <w:szCs w:val="21"/>
                <w:highlight w:val="none"/>
              </w:rPr>
            </w:pPr>
            <w:r>
              <w:rPr>
                <w:rFonts w:hint="eastAsia" w:ascii="宋体" w:hAnsi="宋体" w:eastAsia="宋体" w:cs="宋体"/>
                <w:color w:val="auto"/>
                <w:sz w:val="21"/>
                <w:szCs w:val="21"/>
                <w:highlight w:val="none"/>
              </w:rPr>
              <w:t>1.4.3</w:t>
            </w:r>
          </w:p>
        </w:tc>
        <w:tc>
          <w:tcPr>
            <w:tcW w:w="2006" w:type="dxa"/>
            <w:tcBorders>
              <w:top w:val="single" w:color="000000" w:sz="4" w:space="0"/>
              <w:left w:val="single" w:color="000000" w:sz="4" w:space="0"/>
              <w:bottom w:val="single" w:color="000000" w:sz="4" w:space="0"/>
              <w:right w:val="single" w:color="000000" w:sz="4" w:space="0"/>
            </w:tcBorders>
            <w:vAlign w:val="center"/>
          </w:tcPr>
          <w:p w14:paraId="281C6F26">
            <w:pPr>
              <w:pStyle w:val="10"/>
              <w:keepNext/>
              <w:keepLines w:val="0"/>
              <w:shd w:val="clear" w:color="auto" w:fill="auto"/>
              <w:kinsoku/>
              <w:wordWrap/>
              <w:overflowPunct/>
              <w:topLinePunct w:val="0"/>
              <w:autoSpaceDE/>
              <w:autoSpaceDN/>
              <w:bidi w:val="0"/>
              <w:spacing w:line="360" w:lineRule="exact"/>
              <w:ind w:firstLine="0"/>
              <w:jc w:val="center"/>
              <w:rPr>
                <w:rFonts w:hint="eastAsia" w:ascii="宋体" w:hAnsi="宋体" w:eastAsia="宋体" w:cs="宋体"/>
                <w:color w:val="auto"/>
                <w:kern w:val="2"/>
                <w:sz w:val="21"/>
                <w:szCs w:val="21"/>
                <w:highlight w:val="none"/>
                <w:lang w:val="en-US" w:bidi="ar-SA"/>
              </w:rPr>
            </w:pPr>
            <w:r>
              <w:rPr>
                <w:rFonts w:hint="eastAsia" w:ascii="宋体" w:hAnsi="宋体" w:eastAsia="宋体" w:cs="宋体"/>
                <w:color w:val="auto"/>
                <w:kern w:val="2"/>
                <w:sz w:val="21"/>
                <w:szCs w:val="21"/>
                <w:highlight w:val="none"/>
                <w:lang w:val="en-US" w:bidi="ar-SA"/>
              </w:rPr>
              <w:t>投标人不得存在的</w:t>
            </w:r>
          </w:p>
          <w:p w14:paraId="1F08B212">
            <w:pPr>
              <w:keepLines w:val="0"/>
              <w:kinsoku/>
              <w:wordWrap/>
              <w:overflowPunct/>
              <w:topLinePunct w:val="0"/>
              <w:autoSpaceDE/>
              <w:autoSpaceDN/>
              <w:bidi w:val="0"/>
              <w:spacing w:line="360" w:lineRule="exact"/>
              <w:jc w:val="center"/>
              <w:rPr>
                <w:rFonts w:hint="eastAsia" w:ascii="宋体" w:hAnsi="宋体" w:eastAsia="宋体" w:cs="宋体"/>
                <w:sz w:val="21"/>
                <w:szCs w:val="21"/>
                <w:highlight w:val="none"/>
              </w:rPr>
            </w:pPr>
            <w:r>
              <w:rPr>
                <w:rFonts w:hint="eastAsia" w:ascii="宋体" w:hAnsi="宋体" w:eastAsia="宋体" w:cs="宋体"/>
                <w:color w:val="auto"/>
                <w:sz w:val="21"/>
                <w:szCs w:val="21"/>
                <w:highlight w:val="none"/>
              </w:rPr>
              <w:t>其他关联情形</w:t>
            </w:r>
          </w:p>
        </w:tc>
        <w:tc>
          <w:tcPr>
            <w:tcW w:w="6516" w:type="dxa"/>
            <w:tcBorders>
              <w:top w:val="single" w:color="000000" w:sz="4" w:space="0"/>
              <w:left w:val="single" w:color="000000" w:sz="4" w:space="0"/>
              <w:bottom w:val="single" w:color="000000" w:sz="4" w:space="0"/>
              <w:right w:val="single" w:color="auto" w:sz="12" w:space="0"/>
            </w:tcBorders>
            <w:vAlign w:val="center"/>
          </w:tcPr>
          <w:p w14:paraId="3A210D09">
            <w:pPr>
              <w:keepLines w:val="0"/>
              <w:kinsoku/>
              <w:wordWrap/>
              <w:overflowPunct/>
              <w:topLinePunct w:val="0"/>
              <w:autoSpaceDE/>
              <w:autoSpaceDN/>
              <w:bidi w:val="0"/>
              <w:spacing w:line="360" w:lineRule="exact"/>
              <w:rPr>
                <w:rFonts w:hint="eastAsia" w:ascii="宋体" w:hAnsi="宋体" w:eastAsia="宋体" w:cs="宋体"/>
                <w:sz w:val="21"/>
                <w:szCs w:val="21"/>
                <w:highlight w:val="none"/>
              </w:rPr>
            </w:pPr>
            <w:r>
              <w:rPr>
                <w:rFonts w:hint="eastAsia" w:ascii="宋体" w:hAnsi="宋体" w:eastAsia="宋体" w:cs="宋体"/>
                <w:color w:val="auto"/>
                <w:kern w:val="0"/>
                <w:sz w:val="21"/>
                <w:szCs w:val="21"/>
                <w:highlight w:val="none"/>
              </w:rPr>
              <w:t>/</w:t>
            </w:r>
          </w:p>
        </w:tc>
      </w:tr>
      <w:tr w14:paraId="6DFFA35A">
        <w:tblPrEx>
          <w:tblCellMar>
            <w:top w:w="0" w:type="dxa"/>
            <w:left w:w="28" w:type="dxa"/>
            <w:bottom w:w="0" w:type="dxa"/>
            <w:right w:w="28" w:type="dxa"/>
          </w:tblCellMar>
        </w:tblPrEx>
        <w:trPr>
          <w:trHeight w:val="567" w:hRule="atLeast"/>
          <w:jc w:val="center"/>
        </w:trPr>
        <w:tc>
          <w:tcPr>
            <w:tcW w:w="953" w:type="dxa"/>
            <w:tcBorders>
              <w:top w:val="single" w:color="000000" w:sz="4" w:space="0"/>
              <w:left w:val="single" w:color="auto" w:sz="12" w:space="0"/>
              <w:bottom w:val="single" w:color="000000" w:sz="4" w:space="0"/>
              <w:right w:val="single" w:color="000000" w:sz="4" w:space="0"/>
            </w:tcBorders>
            <w:vAlign w:val="center"/>
          </w:tcPr>
          <w:p w14:paraId="499C913B">
            <w:pPr>
              <w:keepLines w:val="0"/>
              <w:kinsoku/>
              <w:wordWrap/>
              <w:overflowPunct/>
              <w:topLinePunct w:val="0"/>
              <w:autoSpaceDE/>
              <w:autoSpaceDN/>
              <w:bidi w:val="0"/>
              <w:adjustRightInd w:val="0"/>
              <w:snapToGrid w:val="0"/>
              <w:spacing w:before="100" w:beforeAutospacing="1" w:after="100" w:afterAutospacing="1" w:line="360" w:lineRule="exact"/>
              <w:jc w:val="center"/>
              <w:rPr>
                <w:rFonts w:hint="eastAsia" w:ascii="宋体" w:hAnsi="宋体" w:eastAsia="宋体" w:cs="宋体"/>
                <w:sz w:val="21"/>
                <w:szCs w:val="21"/>
                <w:highlight w:val="none"/>
              </w:rPr>
            </w:pPr>
            <w:r>
              <w:rPr>
                <w:rFonts w:hint="eastAsia" w:ascii="宋体" w:hAnsi="宋体" w:eastAsia="宋体" w:cs="宋体"/>
                <w:color w:val="auto"/>
                <w:sz w:val="21"/>
                <w:szCs w:val="21"/>
                <w:highlight w:val="none"/>
              </w:rPr>
              <w:t>1.4.4</w:t>
            </w:r>
          </w:p>
        </w:tc>
        <w:tc>
          <w:tcPr>
            <w:tcW w:w="2006" w:type="dxa"/>
            <w:tcBorders>
              <w:top w:val="single" w:color="000000" w:sz="4" w:space="0"/>
              <w:left w:val="single" w:color="000000" w:sz="4" w:space="0"/>
              <w:bottom w:val="single" w:color="000000" w:sz="4" w:space="0"/>
              <w:right w:val="single" w:color="000000" w:sz="4" w:space="0"/>
            </w:tcBorders>
            <w:vAlign w:val="center"/>
          </w:tcPr>
          <w:p w14:paraId="6D24C5D5">
            <w:pPr>
              <w:pStyle w:val="10"/>
              <w:keepNext/>
              <w:keepLines w:val="0"/>
              <w:shd w:val="clear" w:color="auto" w:fill="auto"/>
              <w:kinsoku/>
              <w:wordWrap/>
              <w:overflowPunct/>
              <w:topLinePunct w:val="0"/>
              <w:autoSpaceDE/>
              <w:autoSpaceDN/>
              <w:bidi w:val="0"/>
              <w:spacing w:line="360" w:lineRule="exact"/>
              <w:ind w:firstLine="0"/>
              <w:jc w:val="center"/>
              <w:rPr>
                <w:rFonts w:hint="eastAsia" w:ascii="宋体" w:hAnsi="宋体" w:eastAsia="宋体" w:cs="宋体"/>
                <w:color w:val="auto"/>
                <w:kern w:val="2"/>
                <w:sz w:val="21"/>
                <w:szCs w:val="21"/>
                <w:highlight w:val="none"/>
                <w:lang w:val="en-US" w:bidi="ar-SA"/>
              </w:rPr>
            </w:pPr>
            <w:r>
              <w:rPr>
                <w:rFonts w:hint="eastAsia" w:ascii="宋体" w:hAnsi="宋体" w:eastAsia="宋体" w:cs="宋体"/>
                <w:color w:val="auto"/>
                <w:kern w:val="2"/>
                <w:sz w:val="21"/>
                <w:szCs w:val="21"/>
                <w:highlight w:val="none"/>
                <w:lang w:val="en-US" w:bidi="ar-SA"/>
              </w:rPr>
              <w:t>投标人不得存在的</w:t>
            </w:r>
          </w:p>
          <w:p w14:paraId="0990BF31">
            <w:pPr>
              <w:pStyle w:val="10"/>
              <w:keepNext/>
              <w:keepLines w:val="0"/>
              <w:shd w:val="clear" w:color="auto" w:fill="auto"/>
              <w:kinsoku/>
              <w:wordWrap/>
              <w:overflowPunct/>
              <w:topLinePunct w:val="0"/>
              <w:autoSpaceDE/>
              <w:autoSpaceDN/>
              <w:bidi w:val="0"/>
              <w:spacing w:line="360" w:lineRule="exact"/>
              <w:ind w:firstLine="0" w:firstLineChars="0"/>
              <w:jc w:val="center"/>
              <w:rPr>
                <w:rFonts w:hint="eastAsia" w:ascii="宋体" w:hAnsi="宋体" w:eastAsia="宋体" w:cs="宋体"/>
                <w:sz w:val="21"/>
                <w:szCs w:val="21"/>
                <w:highlight w:val="none"/>
                <w:lang w:val="en-US" w:bidi="ar-SA"/>
              </w:rPr>
            </w:pPr>
            <w:r>
              <w:rPr>
                <w:rFonts w:hint="eastAsia" w:ascii="宋体" w:hAnsi="宋体" w:eastAsia="宋体" w:cs="宋体"/>
                <w:color w:val="auto"/>
                <w:kern w:val="2"/>
                <w:sz w:val="21"/>
                <w:szCs w:val="21"/>
                <w:highlight w:val="none"/>
                <w:lang w:val="en-US" w:bidi="ar-SA"/>
              </w:rPr>
              <w:t>其他不良状况或不良信用记录</w:t>
            </w:r>
          </w:p>
        </w:tc>
        <w:tc>
          <w:tcPr>
            <w:tcW w:w="6516" w:type="dxa"/>
            <w:tcBorders>
              <w:top w:val="single" w:color="000000" w:sz="4" w:space="0"/>
              <w:left w:val="single" w:color="000000" w:sz="4" w:space="0"/>
              <w:bottom w:val="single" w:color="000000" w:sz="4" w:space="0"/>
              <w:right w:val="single" w:color="auto" w:sz="12" w:space="0"/>
            </w:tcBorders>
            <w:vAlign w:val="center"/>
          </w:tcPr>
          <w:p w14:paraId="58206641">
            <w:pPr>
              <w:keepLines w:val="0"/>
              <w:kinsoku/>
              <w:wordWrap/>
              <w:overflowPunct/>
              <w:topLinePunct w:val="0"/>
              <w:autoSpaceDE/>
              <w:autoSpaceDN/>
              <w:bidi w:val="0"/>
              <w:spacing w:line="360" w:lineRule="exact"/>
              <w:rPr>
                <w:rFonts w:hint="eastAsia" w:ascii="宋体" w:hAnsi="宋体" w:eastAsia="宋体" w:cs="宋体"/>
                <w:sz w:val="21"/>
                <w:szCs w:val="21"/>
                <w:highlight w:val="none"/>
              </w:rPr>
            </w:pPr>
            <w:r>
              <w:rPr>
                <w:rFonts w:hint="eastAsia" w:ascii="宋体" w:hAnsi="宋体" w:eastAsia="宋体" w:cs="宋体"/>
                <w:color w:val="auto"/>
                <w:kern w:val="0"/>
                <w:sz w:val="21"/>
                <w:szCs w:val="21"/>
                <w:highlight w:val="none"/>
              </w:rPr>
              <w:t>/</w:t>
            </w:r>
          </w:p>
        </w:tc>
      </w:tr>
    </w:tbl>
    <w:p w14:paraId="4150CFCB">
      <w:pPr>
        <w:keepLines w:val="0"/>
        <w:kinsoku/>
        <w:wordWrap/>
        <w:overflowPunct/>
        <w:topLinePunct w:val="0"/>
        <w:autoSpaceDE/>
        <w:autoSpaceDN/>
        <w:bidi w:val="0"/>
        <w:spacing w:line="360" w:lineRule="exact"/>
        <w:rPr>
          <w:rFonts w:hint="eastAsia" w:ascii="宋体" w:hAnsi="宋体" w:eastAsia="宋体" w:cs="宋体"/>
          <w:sz w:val="21"/>
          <w:szCs w:val="21"/>
          <w:highlight w:val="none"/>
        </w:rPr>
      </w:pPr>
      <w:bookmarkStart w:id="0" w:name="_Toc152042310"/>
      <w:bookmarkStart w:id="1" w:name="_Toc152045534"/>
      <w:bookmarkStart w:id="2" w:name="_Toc502741808"/>
      <w:bookmarkStart w:id="3" w:name="_Toc144974502"/>
      <w:bookmarkStart w:id="4" w:name="_Toc179632551"/>
      <w:bookmarkStart w:id="5" w:name="_Toc109385483"/>
      <w:r>
        <w:rPr>
          <w:rFonts w:hint="eastAsia" w:ascii="宋体" w:hAnsi="宋体" w:eastAsia="宋体" w:cs="宋体"/>
          <w:sz w:val="21"/>
          <w:szCs w:val="21"/>
          <w:highlight w:val="none"/>
        </w:rPr>
        <w:t>1.4投标人资格要求（适用于未进行资格预审的）</w:t>
      </w:r>
      <w:bookmarkEnd w:id="0"/>
      <w:bookmarkEnd w:id="1"/>
      <w:bookmarkEnd w:id="2"/>
      <w:bookmarkEnd w:id="3"/>
      <w:bookmarkEnd w:id="4"/>
    </w:p>
    <w:p w14:paraId="5CC6B066">
      <w:pPr>
        <w:keepLines w:val="0"/>
        <w:kinsoku/>
        <w:wordWrap/>
        <w:overflowPunct/>
        <w:topLinePunct w:val="0"/>
        <w:autoSpaceDE/>
        <w:autoSpaceDN/>
        <w:bidi w:val="0"/>
        <w:spacing w:line="36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1.4.1投标人应具备承担本标段勘察设计的资质条件、能力和信誉。</w:t>
      </w:r>
    </w:p>
    <w:p w14:paraId="0AE98D2E">
      <w:pPr>
        <w:keepLines w:val="0"/>
        <w:tabs>
          <w:tab w:val="left" w:pos="993"/>
        </w:tabs>
        <w:kinsoku/>
        <w:wordWrap/>
        <w:overflowPunct/>
        <w:topLinePunct w:val="0"/>
        <w:autoSpaceDE/>
        <w:autoSpaceDN/>
        <w:bidi w:val="0"/>
        <w:spacing w:line="360" w:lineRule="exact"/>
        <w:ind w:left="426" w:hanging="6"/>
        <w:rPr>
          <w:rFonts w:hint="eastAsia" w:ascii="宋体" w:hAnsi="宋体" w:eastAsia="宋体" w:cs="宋体"/>
          <w:sz w:val="21"/>
          <w:szCs w:val="21"/>
          <w:highlight w:val="none"/>
        </w:rPr>
      </w:pPr>
      <w:r>
        <w:rPr>
          <w:rFonts w:hint="eastAsia" w:ascii="宋体" w:hAnsi="宋体" w:eastAsia="宋体" w:cs="宋体"/>
          <w:sz w:val="21"/>
          <w:szCs w:val="21"/>
          <w:highlight w:val="none"/>
        </w:rPr>
        <w:t>（1）资质要求：见投标人须知前附表；</w:t>
      </w:r>
    </w:p>
    <w:p w14:paraId="5AD92FE9">
      <w:pPr>
        <w:keepLines w:val="0"/>
        <w:tabs>
          <w:tab w:val="left" w:pos="993"/>
        </w:tabs>
        <w:kinsoku/>
        <w:wordWrap/>
        <w:overflowPunct/>
        <w:topLinePunct w:val="0"/>
        <w:autoSpaceDE/>
        <w:autoSpaceDN/>
        <w:bidi w:val="0"/>
        <w:spacing w:line="360" w:lineRule="exact"/>
        <w:ind w:left="426" w:hanging="6"/>
        <w:rPr>
          <w:rFonts w:hint="eastAsia" w:ascii="宋体" w:hAnsi="宋体" w:eastAsia="宋体" w:cs="宋体"/>
          <w:sz w:val="21"/>
          <w:szCs w:val="21"/>
          <w:highlight w:val="none"/>
        </w:rPr>
      </w:pPr>
      <w:r>
        <w:rPr>
          <w:rFonts w:hint="eastAsia" w:ascii="宋体" w:hAnsi="宋体" w:eastAsia="宋体" w:cs="宋体"/>
          <w:sz w:val="21"/>
          <w:szCs w:val="21"/>
          <w:highlight w:val="none"/>
        </w:rPr>
        <w:t>（2）业绩要求：见投标人须知前附表；</w:t>
      </w:r>
    </w:p>
    <w:p w14:paraId="4B6A3EDD">
      <w:pPr>
        <w:keepLines w:val="0"/>
        <w:tabs>
          <w:tab w:val="left" w:pos="993"/>
        </w:tabs>
        <w:kinsoku/>
        <w:wordWrap/>
        <w:overflowPunct/>
        <w:topLinePunct w:val="0"/>
        <w:autoSpaceDE/>
        <w:autoSpaceDN/>
        <w:bidi w:val="0"/>
        <w:spacing w:line="360" w:lineRule="exact"/>
        <w:ind w:left="426" w:hanging="6"/>
        <w:rPr>
          <w:rFonts w:hint="eastAsia" w:ascii="宋体" w:hAnsi="宋体" w:eastAsia="宋体" w:cs="宋体"/>
          <w:sz w:val="21"/>
          <w:szCs w:val="21"/>
          <w:highlight w:val="none"/>
        </w:rPr>
      </w:pPr>
      <w:r>
        <w:rPr>
          <w:rFonts w:hint="eastAsia" w:ascii="宋体" w:hAnsi="宋体" w:eastAsia="宋体" w:cs="宋体"/>
          <w:sz w:val="21"/>
          <w:szCs w:val="21"/>
          <w:highlight w:val="none"/>
        </w:rPr>
        <w:t>（3）信誉要求：见投标人须知前附表；</w:t>
      </w:r>
    </w:p>
    <w:p w14:paraId="25429E60">
      <w:pPr>
        <w:keepLines w:val="0"/>
        <w:tabs>
          <w:tab w:val="left" w:pos="993"/>
        </w:tabs>
        <w:kinsoku/>
        <w:wordWrap/>
        <w:overflowPunct/>
        <w:topLinePunct w:val="0"/>
        <w:autoSpaceDE/>
        <w:autoSpaceDN/>
        <w:bidi w:val="0"/>
        <w:spacing w:line="360" w:lineRule="exact"/>
        <w:ind w:left="426" w:hanging="6"/>
        <w:rPr>
          <w:rFonts w:hint="eastAsia" w:ascii="宋体" w:hAnsi="宋体" w:eastAsia="宋体" w:cs="宋体"/>
          <w:sz w:val="21"/>
          <w:szCs w:val="21"/>
          <w:highlight w:val="none"/>
        </w:rPr>
      </w:pPr>
      <w:r>
        <w:rPr>
          <w:rFonts w:hint="eastAsia" w:ascii="宋体" w:hAnsi="宋体" w:eastAsia="宋体" w:cs="宋体"/>
          <w:sz w:val="21"/>
          <w:szCs w:val="21"/>
          <w:highlight w:val="none"/>
        </w:rPr>
        <w:t>（4）项目负责人资格：见投标人须知前附表；</w:t>
      </w:r>
    </w:p>
    <w:p w14:paraId="0B4BE3CC">
      <w:pPr>
        <w:keepLines w:val="0"/>
        <w:tabs>
          <w:tab w:val="left" w:pos="993"/>
        </w:tabs>
        <w:kinsoku/>
        <w:wordWrap/>
        <w:overflowPunct/>
        <w:topLinePunct w:val="0"/>
        <w:autoSpaceDE/>
        <w:autoSpaceDN/>
        <w:bidi w:val="0"/>
        <w:spacing w:line="360" w:lineRule="exact"/>
        <w:ind w:left="426" w:hanging="6"/>
        <w:rPr>
          <w:rFonts w:hint="eastAsia" w:ascii="宋体" w:hAnsi="宋体" w:eastAsia="宋体" w:cs="宋体"/>
          <w:sz w:val="21"/>
          <w:szCs w:val="21"/>
          <w:highlight w:val="none"/>
        </w:rPr>
      </w:pPr>
      <w:r>
        <w:rPr>
          <w:rFonts w:hint="eastAsia" w:ascii="宋体" w:hAnsi="宋体" w:eastAsia="宋体" w:cs="宋体"/>
          <w:sz w:val="21"/>
          <w:szCs w:val="21"/>
          <w:highlight w:val="none"/>
        </w:rPr>
        <w:t>（5）其他要求：见投标人须知前附表。</w:t>
      </w:r>
    </w:p>
    <w:p w14:paraId="277737AB">
      <w:pPr>
        <w:keepLines w:val="0"/>
        <w:kinsoku/>
        <w:wordWrap/>
        <w:overflowPunct/>
        <w:topLinePunct w:val="0"/>
        <w:autoSpaceDE/>
        <w:autoSpaceDN/>
        <w:bidi w:val="0"/>
        <w:spacing w:line="36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需要提交的相关证明材料见本章第3.5款的规定。</w:t>
      </w:r>
    </w:p>
    <w:p w14:paraId="3AE10A73">
      <w:pPr>
        <w:keepLines w:val="0"/>
        <w:kinsoku/>
        <w:wordWrap/>
        <w:overflowPunct/>
        <w:topLinePunct w:val="0"/>
        <w:autoSpaceDE/>
        <w:autoSpaceDN/>
        <w:bidi w:val="0"/>
        <w:spacing w:line="36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1.4.2投标人须知前附表规定接受联合体投标的，联合体除应符合本章第1.4.1项和投标人须知前附表的要求外，还应遵守以下规定：</w:t>
      </w:r>
    </w:p>
    <w:p w14:paraId="7F51627B">
      <w:pPr>
        <w:keepLines w:val="0"/>
        <w:tabs>
          <w:tab w:val="left" w:pos="993"/>
        </w:tabs>
        <w:kinsoku/>
        <w:wordWrap/>
        <w:overflowPunct/>
        <w:topLinePunct w:val="0"/>
        <w:autoSpaceDE/>
        <w:autoSpaceDN/>
        <w:bidi w:val="0"/>
        <w:spacing w:line="360" w:lineRule="exact"/>
        <w:ind w:firstLine="420"/>
        <w:rPr>
          <w:rFonts w:hint="eastAsia" w:ascii="宋体" w:hAnsi="宋体" w:eastAsia="宋体" w:cs="宋体"/>
          <w:sz w:val="21"/>
          <w:szCs w:val="21"/>
          <w:highlight w:val="none"/>
        </w:rPr>
      </w:pPr>
      <w:r>
        <w:rPr>
          <w:rFonts w:hint="eastAsia" w:ascii="宋体" w:hAnsi="宋体" w:eastAsia="宋体" w:cs="宋体"/>
          <w:sz w:val="21"/>
          <w:szCs w:val="21"/>
          <w:highlight w:val="none"/>
        </w:rPr>
        <w:t>（1）联合体各方应按招标文件提供的格式签订联合体协议书，明确联合体牵头人和各方权利义务，并承诺就中标项目向招标人承担连带责任；</w:t>
      </w:r>
    </w:p>
    <w:p w14:paraId="649D055C">
      <w:pPr>
        <w:keepLines w:val="0"/>
        <w:tabs>
          <w:tab w:val="left" w:pos="993"/>
        </w:tabs>
        <w:kinsoku/>
        <w:wordWrap/>
        <w:overflowPunct/>
        <w:topLinePunct w:val="0"/>
        <w:autoSpaceDE/>
        <w:autoSpaceDN/>
        <w:bidi w:val="0"/>
        <w:spacing w:line="360" w:lineRule="exact"/>
        <w:ind w:firstLine="420"/>
        <w:rPr>
          <w:rFonts w:hint="eastAsia" w:ascii="宋体" w:hAnsi="宋体" w:eastAsia="宋体" w:cs="宋体"/>
          <w:sz w:val="21"/>
          <w:szCs w:val="21"/>
          <w:highlight w:val="none"/>
        </w:rPr>
      </w:pPr>
      <w:r>
        <w:rPr>
          <w:rFonts w:hint="eastAsia" w:ascii="宋体" w:hAnsi="宋体" w:eastAsia="宋体" w:cs="宋体"/>
          <w:sz w:val="21"/>
          <w:szCs w:val="21"/>
          <w:highlight w:val="none"/>
        </w:rPr>
        <w:t>（2）由同一专业的单位组成的联合体，按照资质等级较低的单位确定资质等级；</w:t>
      </w:r>
    </w:p>
    <w:p w14:paraId="68835412">
      <w:pPr>
        <w:keepLines w:val="0"/>
        <w:tabs>
          <w:tab w:val="left" w:pos="993"/>
        </w:tabs>
        <w:kinsoku/>
        <w:wordWrap/>
        <w:overflowPunct/>
        <w:topLinePunct w:val="0"/>
        <w:autoSpaceDE/>
        <w:autoSpaceDN/>
        <w:bidi w:val="0"/>
        <w:spacing w:line="360" w:lineRule="exact"/>
        <w:ind w:firstLine="420"/>
        <w:rPr>
          <w:rFonts w:hint="eastAsia" w:ascii="宋体" w:hAnsi="宋体" w:eastAsia="宋体" w:cs="宋体"/>
          <w:sz w:val="21"/>
          <w:szCs w:val="21"/>
          <w:highlight w:val="none"/>
        </w:rPr>
      </w:pPr>
      <w:r>
        <w:rPr>
          <w:rFonts w:hint="eastAsia" w:ascii="宋体" w:hAnsi="宋体" w:eastAsia="宋体" w:cs="宋体"/>
          <w:sz w:val="21"/>
          <w:szCs w:val="21"/>
          <w:highlight w:val="none"/>
        </w:rPr>
        <w:t>（3）联合体各方不得再以自已名义单独或参加其他联合体在同一标段中投标；</w:t>
      </w:r>
    </w:p>
    <w:p w14:paraId="5EE5209C">
      <w:pPr>
        <w:keepLines w:val="0"/>
        <w:tabs>
          <w:tab w:val="left" w:pos="993"/>
        </w:tabs>
        <w:kinsoku/>
        <w:wordWrap/>
        <w:overflowPunct/>
        <w:topLinePunct w:val="0"/>
        <w:autoSpaceDE/>
        <w:autoSpaceDN/>
        <w:bidi w:val="0"/>
        <w:spacing w:line="360" w:lineRule="exact"/>
        <w:ind w:firstLine="420"/>
        <w:rPr>
          <w:rFonts w:hint="eastAsia" w:ascii="宋体" w:hAnsi="宋体" w:eastAsia="宋体" w:cs="宋体"/>
          <w:sz w:val="21"/>
          <w:szCs w:val="21"/>
          <w:highlight w:val="none"/>
        </w:rPr>
      </w:pPr>
      <w:r>
        <w:rPr>
          <w:rFonts w:hint="eastAsia" w:ascii="宋体" w:hAnsi="宋体" w:eastAsia="宋体" w:cs="宋体"/>
          <w:sz w:val="21"/>
          <w:szCs w:val="21"/>
          <w:highlight w:val="none"/>
        </w:rPr>
        <w:t>（4）联合体各方应分别按照本招标文件的要求，填写投标文件中的相应表格，并由联合体牵头人负责对联合体各成员的资料进行统一汇总后一并提交给招标人；联合体牵头人所提交的投标文件应认为已代表了联合体各成员的真实情况；</w:t>
      </w:r>
    </w:p>
    <w:p w14:paraId="68095927">
      <w:pPr>
        <w:keepLines w:val="0"/>
        <w:tabs>
          <w:tab w:val="left" w:pos="993"/>
        </w:tabs>
        <w:kinsoku/>
        <w:wordWrap/>
        <w:overflowPunct/>
        <w:topLinePunct w:val="0"/>
        <w:autoSpaceDE/>
        <w:autoSpaceDN/>
        <w:bidi w:val="0"/>
        <w:spacing w:line="360" w:lineRule="exact"/>
        <w:ind w:firstLine="420"/>
        <w:rPr>
          <w:rFonts w:hint="eastAsia" w:ascii="宋体" w:hAnsi="宋体" w:eastAsia="宋体" w:cs="宋体"/>
          <w:sz w:val="21"/>
          <w:szCs w:val="21"/>
          <w:highlight w:val="none"/>
        </w:rPr>
      </w:pPr>
      <w:r>
        <w:rPr>
          <w:rFonts w:hint="eastAsia" w:ascii="宋体" w:hAnsi="宋体" w:eastAsia="宋体" w:cs="宋体"/>
          <w:sz w:val="21"/>
          <w:szCs w:val="21"/>
          <w:highlight w:val="none"/>
        </w:rPr>
        <w:t>（5）尽管委任了联合体牵头人，但联合体各成员在投标、签订合同与履行合同过程中，仍负有连带的和各自的法律责任。</w:t>
      </w:r>
    </w:p>
    <w:p w14:paraId="0917A695">
      <w:pPr>
        <w:keepLines w:val="0"/>
        <w:kinsoku/>
        <w:wordWrap/>
        <w:overflowPunct/>
        <w:topLinePunct w:val="0"/>
        <w:autoSpaceDE/>
        <w:autoSpaceDN/>
        <w:bidi w:val="0"/>
        <w:spacing w:line="36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1.4.3投标人（包括联合体各成员）不得与本标段相关单位存在下列关联情形：</w:t>
      </w:r>
    </w:p>
    <w:p w14:paraId="3FDEA372">
      <w:pPr>
        <w:keepLines w:val="0"/>
        <w:tabs>
          <w:tab w:val="left" w:pos="993"/>
          <w:tab w:val="left" w:pos="1276"/>
        </w:tabs>
        <w:kinsoku/>
        <w:wordWrap/>
        <w:overflowPunct/>
        <w:topLinePunct w:val="0"/>
        <w:autoSpaceDE/>
        <w:autoSpaceDN/>
        <w:bidi w:val="0"/>
        <w:spacing w:line="360" w:lineRule="exact"/>
        <w:ind w:firstLine="420"/>
        <w:rPr>
          <w:rFonts w:hint="eastAsia" w:ascii="宋体" w:hAnsi="宋体" w:eastAsia="宋体" w:cs="宋体"/>
          <w:sz w:val="21"/>
          <w:szCs w:val="21"/>
          <w:highlight w:val="none"/>
        </w:rPr>
      </w:pPr>
      <w:r>
        <w:rPr>
          <w:rFonts w:hint="eastAsia" w:ascii="宋体" w:hAnsi="宋体" w:eastAsia="宋体" w:cs="宋体"/>
          <w:sz w:val="21"/>
          <w:szCs w:val="21"/>
          <w:highlight w:val="none"/>
        </w:rPr>
        <w:t>（1）为招标人不具有独立法人资格的附属机构（单位）；</w:t>
      </w:r>
    </w:p>
    <w:p w14:paraId="4BD506F9">
      <w:pPr>
        <w:keepLines w:val="0"/>
        <w:tabs>
          <w:tab w:val="left" w:pos="993"/>
          <w:tab w:val="left" w:pos="1276"/>
        </w:tabs>
        <w:kinsoku/>
        <w:wordWrap/>
        <w:overflowPunct/>
        <w:topLinePunct w:val="0"/>
        <w:autoSpaceDE/>
        <w:autoSpaceDN/>
        <w:bidi w:val="0"/>
        <w:spacing w:line="360" w:lineRule="exact"/>
        <w:ind w:firstLine="420"/>
        <w:rPr>
          <w:rFonts w:hint="eastAsia" w:ascii="宋体" w:hAnsi="宋体" w:eastAsia="宋体" w:cs="宋体"/>
          <w:sz w:val="21"/>
          <w:szCs w:val="21"/>
          <w:highlight w:val="none"/>
        </w:rPr>
      </w:pPr>
      <w:r>
        <w:rPr>
          <w:rFonts w:hint="eastAsia" w:ascii="宋体" w:hAnsi="宋体" w:eastAsia="宋体" w:cs="宋体"/>
          <w:sz w:val="21"/>
          <w:szCs w:val="21"/>
          <w:highlight w:val="none"/>
        </w:rPr>
        <w:t>（2）与招标人存在利害关系且可能影响招标公正性；</w:t>
      </w:r>
    </w:p>
    <w:p w14:paraId="1181687E">
      <w:pPr>
        <w:keepLines w:val="0"/>
        <w:tabs>
          <w:tab w:val="left" w:pos="993"/>
          <w:tab w:val="left" w:pos="1276"/>
        </w:tabs>
        <w:kinsoku/>
        <w:wordWrap/>
        <w:overflowPunct/>
        <w:topLinePunct w:val="0"/>
        <w:autoSpaceDE/>
        <w:autoSpaceDN/>
        <w:bidi w:val="0"/>
        <w:spacing w:line="360" w:lineRule="exact"/>
        <w:ind w:firstLine="420"/>
        <w:rPr>
          <w:rFonts w:hint="eastAsia" w:ascii="宋体" w:hAnsi="宋体" w:eastAsia="宋体" w:cs="宋体"/>
          <w:sz w:val="21"/>
          <w:szCs w:val="21"/>
          <w:highlight w:val="none"/>
        </w:rPr>
      </w:pPr>
      <w:r>
        <w:rPr>
          <w:rFonts w:hint="eastAsia" w:ascii="宋体" w:hAnsi="宋体" w:eastAsia="宋体" w:cs="宋体"/>
          <w:sz w:val="21"/>
          <w:szCs w:val="21"/>
          <w:highlight w:val="none"/>
        </w:rPr>
        <w:t>（3）与本标段的其他投标人同为一个单位负责人；</w:t>
      </w:r>
    </w:p>
    <w:p w14:paraId="769726CC">
      <w:pPr>
        <w:keepLines w:val="0"/>
        <w:tabs>
          <w:tab w:val="left" w:pos="993"/>
          <w:tab w:val="left" w:pos="1276"/>
        </w:tabs>
        <w:kinsoku/>
        <w:wordWrap/>
        <w:overflowPunct/>
        <w:topLinePunct w:val="0"/>
        <w:autoSpaceDE/>
        <w:autoSpaceDN/>
        <w:bidi w:val="0"/>
        <w:spacing w:line="360" w:lineRule="exact"/>
        <w:ind w:firstLine="420"/>
        <w:rPr>
          <w:rFonts w:hint="eastAsia" w:ascii="宋体" w:hAnsi="宋体" w:eastAsia="宋体" w:cs="宋体"/>
          <w:sz w:val="21"/>
          <w:szCs w:val="21"/>
          <w:highlight w:val="none"/>
        </w:rPr>
      </w:pPr>
      <w:r>
        <w:rPr>
          <w:rFonts w:hint="eastAsia" w:ascii="宋体" w:hAnsi="宋体" w:eastAsia="宋体" w:cs="宋体"/>
          <w:sz w:val="21"/>
          <w:szCs w:val="21"/>
          <w:highlight w:val="none"/>
        </w:rPr>
        <w:t>（4）与本标段的其他投标人存在控股、管理关系；</w:t>
      </w:r>
    </w:p>
    <w:p w14:paraId="4CCACE54">
      <w:pPr>
        <w:keepLines w:val="0"/>
        <w:tabs>
          <w:tab w:val="left" w:pos="993"/>
          <w:tab w:val="left" w:pos="1276"/>
        </w:tabs>
        <w:kinsoku/>
        <w:wordWrap/>
        <w:overflowPunct/>
        <w:topLinePunct w:val="0"/>
        <w:autoSpaceDE/>
        <w:autoSpaceDN/>
        <w:bidi w:val="0"/>
        <w:spacing w:line="360" w:lineRule="exact"/>
        <w:ind w:firstLine="420"/>
        <w:rPr>
          <w:rFonts w:hint="eastAsia" w:ascii="宋体" w:hAnsi="宋体" w:eastAsia="宋体" w:cs="宋体"/>
          <w:sz w:val="21"/>
          <w:szCs w:val="21"/>
          <w:highlight w:val="none"/>
        </w:rPr>
      </w:pPr>
      <w:r>
        <w:rPr>
          <w:rFonts w:hint="eastAsia" w:ascii="宋体" w:hAnsi="宋体" w:eastAsia="宋体" w:cs="宋体"/>
          <w:sz w:val="21"/>
          <w:szCs w:val="21"/>
          <w:highlight w:val="none"/>
        </w:rPr>
        <w:t>（5）为本标段的代建人；</w:t>
      </w:r>
    </w:p>
    <w:p w14:paraId="28372DA0">
      <w:pPr>
        <w:keepLines w:val="0"/>
        <w:tabs>
          <w:tab w:val="left" w:pos="993"/>
          <w:tab w:val="left" w:pos="1276"/>
        </w:tabs>
        <w:kinsoku/>
        <w:wordWrap/>
        <w:overflowPunct/>
        <w:topLinePunct w:val="0"/>
        <w:autoSpaceDE/>
        <w:autoSpaceDN/>
        <w:bidi w:val="0"/>
        <w:spacing w:line="360" w:lineRule="exact"/>
        <w:ind w:firstLine="420"/>
        <w:rPr>
          <w:rFonts w:hint="eastAsia" w:ascii="宋体" w:hAnsi="宋体" w:eastAsia="宋体" w:cs="宋体"/>
          <w:sz w:val="21"/>
          <w:szCs w:val="21"/>
          <w:highlight w:val="none"/>
        </w:rPr>
      </w:pPr>
      <w:r>
        <w:rPr>
          <w:rFonts w:hint="eastAsia" w:ascii="宋体" w:hAnsi="宋体" w:eastAsia="宋体" w:cs="宋体"/>
          <w:sz w:val="21"/>
          <w:szCs w:val="21"/>
          <w:highlight w:val="none"/>
        </w:rPr>
        <w:t>（6）为本标段的招标代理机构；</w:t>
      </w:r>
    </w:p>
    <w:p w14:paraId="54DF0FBD">
      <w:pPr>
        <w:keepLines w:val="0"/>
        <w:tabs>
          <w:tab w:val="left" w:pos="993"/>
          <w:tab w:val="left" w:pos="1276"/>
        </w:tabs>
        <w:kinsoku/>
        <w:wordWrap/>
        <w:overflowPunct/>
        <w:topLinePunct w:val="0"/>
        <w:autoSpaceDE/>
        <w:autoSpaceDN/>
        <w:bidi w:val="0"/>
        <w:spacing w:line="360" w:lineRule="exact"/>
        <w:ind w:firstLine="420"/>
        <w:rPr>
          <w:rFonts w:hint="eastAsia" w:ascii="宋体" w:hAnsi="宋体" w:eastAsia="宋体" w:cs="宋体"/>
          <w:sz w:val="21"/>
          <w:szCs w:val="21"/>
          <w:highlight w:val="none"/>
        </w:rPr>
      </w:pPr>
      <w:r>
        <w:rPr>
          <w:rFonts w:hint="eastAsia" w:ascii="宋体" w:hAnsi="宋体" w:eastAsia="宋体" w:cs="宋体"/>
          <w:sz w:val="21"/>
          <w:szCs w:val="21"/>
          <w:highlight w:val="none"/>
        </w:rPr>
        <w:t>（7）与本标段的代建人或招标代理机构同为一个法定代表人；</w:t>
      </w:r>
    </w:p>
    <w:p w14:paraId="41901580">
      <w:pPr>
        <w:keepLines w:val="0"/>
        <w:tabs>
          <w:tab w:val="left" w:pos="993"/>
          <w:tab w:val="left" w:pos="1276"/>
        </w:tabs>
        <w:kinsoku/>
        <w:wordWrap/>
        <w:overflowPunct/>
        <w:topLinePunct w:val="0"/>
        <w:autoSpaceDE/>
        <w:autoSpaceDN/>
        <w:bidi w:val="0"/>
        <w:spacing w:line="360" w:lineRule="exact"/>
        <w:ind w:firstLine="420"/>
        <w:rPr>
          <w:rFonts w:hint="eastAsia" w:ascii="宋体" w:hAnsi="宋体" w:eastAsia="宋体" w:cs="宋体"/>
          <w:sz w:val="21"/>
          <w:szCs w:val="21"/>
          <w:highlight w:val="none"/>
        </w:rPr>
      </w:pPr>
      <w:r>
        <w:rPr>
          <w:rFonts w:hint="eastAsia" w:ascii="宋体" w:hAnsi="宋体" w:eastAsia="宋体" w:cs="宋体"/>
          <w:sz w:val="21"/>
          <w:szCs w:val="21"/>
          <w:highlight w:val="none"/>
        </w:rPr>
        <w:t>（8）与本标段的代建人或招标代理机构存在控股或参股关系；</w:t>
      </w:r>
    </w:p>
    <w:p w14:paraId="54191BC8">
      <w:pPr>
        <w:keepLines w:val="0"/>
        <w:tabs>
          <w:tab w:val="left" w:pos="993"/>
          <w:tab w:val="left" w:pos="1276"/>
        </w:tabs>
        <w:kinsoku/>
        <w:wordWrap/>
        <w:overflowPunct/>
        <w:topLinePunct w:val="0"/>
        <w:autoSpaceDE/>
        <w:autoSpaceDN/>
        <w:bidi w:val="0"/>
        <w:spacing w:line="360" w:lineRule="exact"/>
        <w:ind w:firstLine="420"/>
        <w:rPr>
          <w:rFonts w:hint="eastAsia" w:ascii="宋体" w:hAnsi="宋体" w:eastAsia="宋体" w:cs="宋体"/>
          <w:sz w:val="21"/>
          <w:szCs w:val="21"/>
          <w:highlight w:val="none"/>
        </w:rPr>
      </w:pPr>
      <w:r>
        <w:rPr>
          <w:rFonts w:hint="eastAsia" w:ascii="宋体" w:hAnsi="宋体" w:eastAsia="宋体" w:cs="宋体"/>
          <w:sz w:val="21"/>
          <w:szCs w:val="21"/>
          <w:highlight w:val="none"/>
        </w:rPr>
        <w:t>（9）法律法规或投标人须知前附表规定的其他情形。</w:t>
      </w:r>
    </w:p>
    <w:p w14:paraId="0D60CCAB">
      <w:pPr>
        <w:keepLines w:val="0"/>
        <w:kinsoku/>
        <w:wordWrap/>
        <w:overflowPunct/>
        <w:topLinePunct w:val="0"/>
        <w:autoSpaceDE/>
        <w:autoSpaceDN/>
        <w:bidi w:val="0"/>
        <w:spacing w:line="36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1.4.4投标人（包括联合体各成员）不得存在下列不良状况或不良信用记录：</w:t>
      </w:r>
    </w:p>
    <w:p w14:paraId="695062DA">
      <w:pPr>
        <w:keepLines w:val="0"/>
        <w:tabs>
          <w:tab w:val="left" w:pos="993"/>
        </w:tabs>
        <w:kinsoku/>
        <w:wordWrap/>
        <w:overflowPunct/>
        <w:topLinePunct w:val="0"/>
        <w:autoSpaceDE/>
        <w:autoSpaceDN/>
        <w:bidi w:val="0"/>
        <w:spacing w:line="360" w:lineRule="exact"/>
        <w:ind w:firstLine="420"/>
        <w:rPr>
          <w:rFonts w:hint="eastAsia" w:ascii="宋体" w:hAnsi="宋体" w:eastAsia="宋体" w:cs="宋体"/>
          <w:sz w:val="21"/>
          <w:szCs w:val="21"/>
          <w:highlight w:val="none"/>
        </w:rPr>
      </w:pPr>
      <w:r>
        <w:rPr>
          <w:rFonts w:hint="eastAsia" w:ascii="宋体" w:hAnsi="宋体" w:eastAsia="宋体" w:cs="宋体"/>
          <w:sz w:val="21"/>
          <w:szCs w:val="21"/>
          <w:highlight w:val="none"/>
        </w:rPr>
        <w:t>（1）被省级及以上交通运输主管部门取消招标项目所在地的投标资格且处于有效期内；</w:t>
      </w:r>
    </w:p>
    <w:p w14:paraId="576FB862">
      <w:pPr>
        <w:keepLines w:val="0"/>
        <w:tabs>
          <w:tab w:val="left" w:pos="993"/>
        </w:tabs>
        <w:kinsoku/>
        <w:wordWrap/>
        <w:overflowPunct/>
        <w:topLinePunct w:val="0"/>
        <w:autoSpaceDE/>
        <w:autoSpaceDN/>
        <w:bidi w:val="0"/>
        <w:spacing w:line="360" w:lineRule="exact"/>
        <w:ind w:firstLine="420"/>
        <w:rPr>
          <w:rFonts w:hint="eastAsia" w:ascii="宋体" w:hAnsi="宋体" w:eastAsia="宋体" w:cs="宋体"/>
          <w:sz w:val="21"/>
          <w:szCs w:val="21"/>
          <w:highlight w:val="none"/>
        </w:rPr>
      </w:pPr>
      <w:r>
        <w:rPr>
          <w:rFonts w:hint="eastAsia" w:ascii="宋体" w:hAnsi="宋体" w:eastAsia="宋体" w:cs="宋体"/>
          <w:sz w:val="21"/>
          <w:szCs w:val="21"/>
          <w:highlight w:val="none"/>
        </w:rPr>
        <w:t>（2）被责令停业，暂扣或吊销执照，或吊销资质证书；</w:t>
      </w:r>
    </w:p>
    <w:p w14:paraId="6448EA73">
      <w:pPr>
        <w:keepLines w:val="0"/>
        <w:tabs>
          <w:tab w:val="left" w:pos="993"/>
        </w:tabs>
        <w:kinsoku/>
        <w:wordWrap/>
        <w:overflowPunct/>
        <w:topLinePunct w:val="0"/>
        <w:autoSpaceDE/>
        <w:autoSpaceDN/>
        <w:bidi w:val="0"/>
        <w:spacing w:line="360" w:lineRule="exact"/>
        <w:ind w:firstLine="420"/>
        <w:rPr>
          <w:rFonts w:hint="eastAsia" w:ascii="宋体" w:hAnsi="宋体" w:eastAsia="宋体" w:cs="宋体"/>
          <w:sz w:val="21"/>
          <w:szCs w:val="21"/>
          <w:highlight w:val="none"/>
        </w:rPr>
      </w:pPr>
      <w:r>
        <w:rPr>
          <w:rFonts w:hint="eastAsia" w:ascii="宋体" w:hAnsi="宋体" w:eastAsia="宋体" w:cs="宋体"/>
          <w:sz w:val="21"/>
          <w:szCs w:val="21"/>
          <w:highlight w:val="none"/>
        </w:rPr>
        <w:t>（3）进入清算程序，或被宣告破产，或其他丧失履约能力的情形；</w:t>
      </w:r>
    </w:p>
    <w:p w14:paraId="1B1EEA97">
      <w:pPr>
        <w:keepLines w:val="0"/>
        <w:tabs>
          <w:tab w:val="left" w:pos="993"/>
        </w:tabs>
        <w:kinsoku/>
        <w:wordWrap/>
        <w:overflowPunct/>
        <w:topLinePunct w:val="0"/>
        <w:autoSpaceDE/>
        <w:autoSpaceDN/>
        <w:bidi w:val="0"/>
        <w:spacing w:line="360" w:lineRule="exact"/>
        <w:ind w:firstLine="420"/>
        <w:rPr>
          <w:rFonts w:hint="eastAsia" w:ascii="宋体" w:hAnsi="宋体" w:eastAsia="宋体" w:cs="宋体"/>
          <w:sz w:val="21"/>
          <w:szCs w:val="21"/>
          <w:highlight w:val="none"/>
        </w:rPr>
      </w:pPr>
      <w:r>
        <w:rPr>
          <w:rFonts w:hint="eastAsia" w:ascii="宋体" w:hAnsi="宋体" w:eastAsia="宋体" w:cs="宋体"/>
          <w:sz w:val="21"/>
          <w:szCs w:val="21"/>
          <w:highlight w:val="none"/>
        </w:rPr>
        <w:t>（4）在国家企业信用信息公示系统（http://www.gsxt.gov.cn/</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rPr>
        <w:t>中被列入严重违法失信企业名单；</w:t>
      </w:r>
    </w:p>
    <w:p w14:paraId="17AD84EB">
      <w:pPr>
        <w:keepLines w:val="0"/>
        <w:tabs>
          <w:tab w:val="left" w:pos="993"/>
        </w:tabs>
        <w:kinsoku/>
        <w:wordWrap/>
        <w:overflowPunct/>
        <w:topLinePunct w:val="0"/>
        <w:autoSpaceDE/>
        <w:autoSpaceDN/>
        <w:bidi w:val="0"/>
        <w:spacing w:line="360" w:lineRule="exact"/>
        <w:ind w:firstLine="420"/>
        <w:rPr>
          <w:rFonts w:hint="eastAsia" w:ascii="宋体" w:hAnsi="宋体" w:eastAsia="宋体" w:cs="宋体"/>
          <w:sz w:val="21"/>
          <w:szCs w:val="21"/>
          <w:highlight w:val="none"/>
        </w:rPr>
      </w:pPr>
      <w:r>
        <w:rPr>
          <w:rFonts w:hint="eastAsia" w:ascii="宋体" w:hAnsi="宋体" w:eastAsia="宋体" w:cs="宋体"/>
          <w:sz w:val="21"/>
          <w:szCs w:val="21"/>
          <w:highlight w:val="none"/>
        </w:rPr>
        <w:t>（5）在“信用中国”网站（http://www.creditchina.gov.cn/</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rPr>
        <w:t>中被列入失信被执行人名单；</w:t>
      </w:r>
    </w:p>
    <w:p w14:paraId="01F47B5C">
      <w:pPr>
        <w:keepLines w:val="0"/>
        <w:tabs>
          <w:tab w:val="left" w:pos="993"/>
        </w:tabs>
        <w:kinsoku/>
        <w:wordWrap/>
        <w:overflowPunct/>
        <w:topLinePunct w:val="0"/>
        <w:autoSpaceDE/>
        <w:autoSpaceDN/>
        <w:bidi w:val="0"/>
        <w:spacing w:line="360" w:lineRule="exact"/>
        <w:ind w:firstLine="420"/>
        <w:rPr>
          <w:rFonts w:hint="eastAsia" w:ascii="宋体" w:hAnsi="宋体" w:eastAsia="宋体" w:cs="宋体"/>
          <w:sz w:val="21"/>
          <w:szCs w:val="21"/>
          <w:highlight w:val="none"/>
        </w:rPr>
      </w:pPr>
      <w:r>
        <w:rPr>
          <w:rFonts w:hint="eastAsia" w:ascii="宋体" w:hAnsi="宋体" w:eastAsia="宋体" w:cs="宋体"/>
          <w:sz w:val="21"/>
          <w:szCs w:val="21"/>
          <w:highlight w:val="none"/>
        </w:rPr>
        <w:t>（6）投标人或其法定代表人、拟委任的项目负责人在近三年内有行贿犯罪行为的；</w:t>
      </w:r>
    </w:p>
    <w:p w14:paraId="514567F5">
      <w:pPr>
        <w:keepLines w:val="0"/>
        <w:tabs>
          <w:tab w:val="left" w:pos="993"/>
        </w:tabs>
        <w:kinsoku/>
        <w:wordWrap/>
        <w:overflowPunct/>
        <w:topLinePunct w:val="0"/>
        <w:autoSpaceDE/>
        <w:autoSpaceDN/>
        <w:bidi w:val="0"/>
        <w:spacing w:line="360" w:lineRule="exact"/>
        <w:ind w:firstLine="420"/>
        <w:rPr>
          <w:rFonts w:hint="eastAsia" w:ascii="宋体" w:hAnsi="宋体" w:eastAsia="宋体" w:cs="宋体"/>
          <w:sz w:val="21"/>
          <w:szCs w:val="21"/>
          <w:highlight w:val="none"/>
        </w:rPr>
      </w:pPr>
      <w:r>
        <w:rPr>
          <w:rFonts w:hint="eastAsia" w:ascii="宋体" w:hAnsi="宋体" w:eastAsia="宋体" w:cs="宋体"/>
          <w:sz w:val="21"/>
          <w:szCs w:val="21"/>
          <w:highlight w:val="none"/>
        </w:rPr>
        <w:t>（7）法律法规或投标人须知前附表规定的其他情形。</w:t>
      </w:r>
    </w:p>
    <w:p w14:paraId="34A69427">
      <w:pPr>
        <w:keepLines w:val="0"/>
        <w:pageBreakBefore w:val="0"/>
        <w:kinsoku/>
        <w:wordWrap/>
        <w:overflowPunct/>
        <w:topLinePunct w:val="0"/>
        <w:autoSpaceDE/>
        <w:autoSpaceDN/>
        <w:bidi w:val="0"/>
        <w:spacing w:line="36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1.4.5投标人（包括联合体各成员）应进入交通运输部“全国公路建设市场监督管理系统（https://hwdms.mot.gov.cn</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rPr>
        <w:t>”中的公路工程设计资质企业名录，且投标人名称和资质与该名录中的相应企业名称和资质完全一致。投标人不满足本项规定条件的，将被否决投标。</w:t>
      </w:r>
      <w:r>
        <w:rPr>
          <w:rStyle w:val="8"/>
          <w:rFonts w:hint="eastAsia" w:ascii="宋体" w:hAnsi="宋体" w:eastAsia="宋体" w:cs="宋体"/>
          <w:sz w:val="21"/>
          <w:szCs w:val="21"/>
          <w:highlight w:val="none"/>
        </w:rPr>
        <w:footnoteReference w:id="0"/>
      </w:r>
    </w:p>
    <w:p w14:paraId="75AC0B78">
      <w:pPr>
        <w:keepLines w:val="0"/>
        <w:pageBreakBefore w:val="0"/>
        <w:kinsoku/>
        <w:wordWrap/>
        <w:overflowPunct/>
        <w:topLinePunct w:val="0"/>
        <w:autoSpaceDE/>
        <w:autoSpaceDN/>
        <w:bidi w:val="0"/>
        <w:spacing w:line="360" w:lineRule="exact"/>
        <w:rPr>
          <w:rFonts w:hint="eastAsia" w:ascii="宋体" w:hAnsi="宋体" w:eastAsia="宋体" w:cs="宋体"/>
          <w:sz w:val="21"/>
          <w:szCs w:val="21"/>
          <w:highlight w:val="none"/>
        </w:rPr>
      </w:pPr>
    </w:p>
    <w:bookmarkEnd w:id="5"/>
    <w:p w14:paraId="6C10C4FF">
      <w:pPr>
        <w:rPr>
          <w:rFonts w:hint="eastAsia" w:ascii="宋体" w:hAnsi="宋体" w:eastAsia="宋体" w:cs="宋体"/>
          <w:b/>
          <w:sz w:val="21"/>
          <w:szCs w:val="21"/>
          <w:highlight w:val="none"/>
        </w:rPr>
      </w:pPr>
      <w:bookmarkStart w:id="6" w:name="_Toc2065"/>
      <w:bookmarkStart w:id="7" w:name="_Toc346800722"/>
      <w:r>
        <w:rPr>
          <w:rFonts w:hint="eastAsia" w:ascii="宋体" w:hAnsi="宋体" w:eastAsia="宋体" w:cs="宋体"/>
          <w:b/>
          <w:sz w:val="21"/>
          <w:szCs w:val="21"/>
          <w:highlight w:val="none"/>
        </w:rPr>
        <w:br w:type="page"/>
      </w:r>
    </w:p>
    <w:p w14:paraId="7B58F0A6">
      <w:pPr>
        <w:keepLines w:val="0"/>
        <w:kinsoku/>
        <w:wordWrap/>
        <w:overflowPunct/>
        <w:topLinePunct w:val="0"/>
        <w:autoSpaceDE/>
        <w:autoSpaceDN/>
        <w:bidi w:val="0"/>
        <w:spacing w:before="100" w:beforeAutospacing="1" w:line="360" w:lineRule="exact"/>
        <w:jc w:val="center"/>
        <w:outlineLvl w:val="2"/>
        <w:rPr>
          <w:rFonts w:hint="eastAsia" w:ascii="宋体" w:hAnsi="宋体" w:eastAsia="宋体" w:cs="宋体"/>
          <w:b/>
          <w:sz w:val="21"/>
          <w:szCs w:val="21"/>
          <w:highlight w:val="none"/>
        </w:rPr>
      </w:pPr>
      <w:r>
        <w:rPr>
          <w:rFonts w:hint="eastAsia" w:ascii="宋体" w:hAnsi="宋体" w:eastAsia="宋体" w:cs="宋体"/>
          <w:b/>
          <w:sz w:val="21"/>
          <w:szCs w:val="21"/>
          <w:highlight w:val="none"/>
        </w:rPr>
        <w:t>附录1资格审查条件（资质最低要求）</w:t>
      </w:r>
      <w:bookmarkEnd w:id="6"/>
    </w:p>
    <w:tbl>
      <w:tblPr>
        <w:tblStyle w:val="6"/>
        <w:tblW w:w="942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65"/>
        <w:gridCol w:w="8356"/>
      </w:tblGrid>
      <w:tr w14:paraId="3BDD6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1065" w:type="dxa"/>
            <w:tcBorders>
              <w:top w:val="single" w:color="auto" w:sz="12" w:space="0"/>
              <w:left w:val="single" w:color="auto" w:sz="12" w:space="0"/>
              <w:right w:val="single" w:color="auto" w:sz="4" w:space="0"/>
            </w:tcBorders>
            <w:vAlign w:val="center"/>
          </w:tcPr>
          <w:p w14:paraId="179AD7B7">
            <w:pPr>
              <w:keepLines w:val="0"/>
              <w:kinsoku/>
              <w:wordWrap/>
              <w:overflowPunct/>
              <w:topLinePunct w:val="0"/>
              <w:autoSpaceDE/>
              <w:autoSpaceDN/>
              <w:bidi w:val="0"/>
              <w:spacing w:line="360" w:lineRule="exact"/>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标段</w:t>
            </w:r>
          </w:p>
        </w:tc>
        <w:tc>
          <w:tcPr>
            <w:tcW w:w="8356" w:type="dxa"/>
            <w:tcBorders>
              <w:top w:val="single" w:color="auto" w:sz="12" w:space="0"/>
              <w:left w:val="single" w:color="auto" w:sz="4" w:space="0"/>
              <w:right w:val="single" w:color="auto" w:sz="12" w:space="0"/>
            </w:tcBorders>
            <w:vAlign w:val="center"/>
          </w:tcPr>
          <w:p w14:paraId="292721E1">
            <w:pPr>
              <w:keepLines w:val="0"/>
              <w:kinsoku/>
              <w:wordWrap/>
              <w:overflowPunct/>
              <w:topLinePunct w:val="0"/>
              <w:autoSpaceDE/>
              <w:autoSpaceDN/>
              <w:bidi w:val="0"/>
              <w:spacing w:line="360" w:lineRule="exact"/>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勘察设计企业资质等级要求</w:t>
            </w:r>
          </w:p>
        </w:tc>
      </w:tr>
      <w:tr w14:paraId="4757B0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1065" w:type="dxa"/>
            <w:tcBorders>
              <w:left w:val="single" w:color="auto" w:sz="12" w:space="0"/>
              <w:bottom w:val="single" w:color="auto" w:sz="12" w:space="0"/>
              <w:right w:val="single" w:color="auto" w:sz="4" w:space="0"/>
            </w:tcBorders>
            <w:vAlign w:val="center"/>
          </w:tcPr>
          <w:p w14:paraId="0DA98EA7">
            <w:pPr>
              <w:keepLines w:val="0"/>
              <w:kinsoku/>
              <w:wordWrap/>
              <w:overflowPunct/>
              <w:topLinePunct w:val="0"/>
              <w:autoSpaceDE/>
              <w:autoSpaceDN/>
              <w:bidi w:val="0"/>
              <w:spacing w:line="360" w:lineRule="exact"/>
              <w:jc w:val="center"/>
              <w:rPr>
                <w:rFonts w:hint="eastAsia" w:ascii="宋体" w:hAnsi="宋体" w:eastAsia="宋体" w:cs="宋体"/>
                <w:sz w:val="21"/>
                <w:szCs w:val="21"/>
                <w:highlight w:val="none"/>
                <w:lang w:eastAsia="zh-CN"/>
              </w:rPr>
            </w:pPr>
            <w:r>
              <w:rPr>
                <w:rFonts w:hint="eastAsia" w:ascii="宋体" w:hAnsi="宋体" w:eastAsia="宋体" w:cs="宋体"/>
                <w:color w:val="auto"/>
                <w:sz w:val="21"/>
                <w:szCs w:val="21"/>
                <w:highlight w:val="none"/>
                <w:lang w:val="en-US" w:eastAsia="zh-CN"/>
              </w:rPr>
              <w:t>SJ01</w:t>
            </w:r>
          </w:p>
        </w:tc>
        <w:tc>
          <w:tcPr>
            <w:tcW w:w="8356" w:type="dxa"/>
            <w:tcBorders>
              <w:left w:val="single" w:color="auto" w:sz="4" w:space="0"/>
              <w:bottom w:val="single" w:color="auto" w:sz="12" w:space="0"/>
              <w:right w:val="single" w:color="auto" w:sz="12" w:space="0"/>
            </w:tcBorders>
            <w:vAlign w:val="center"/>
          </w:tcPr>
          <w:p w14:paraId="67502960">
            <w:pPr>
              <w:keepNext w:val="0"/>
              <w:keepLines w:val="0"/>
              <w:pageBreakBefore w:val="0"/>
              <w:widowControl/>
              <w:kinsoku/>
              <w:wordWrap/>
              <w:overflowPunct/>
              <w:topLinePunct w:val="0"/>
              <w:autoSpaceDE/>
              <w:autoSpaceDN/>
              <w:bidi w:val="0"/>
              <w:adjustRightInd/>
              <w:snapToGrid/>
              <w:spacing w:line="360" w:lineRule="exact"/>
              <w:ind w:firstLine="0" w:firstLineChars="0"/>
              <w:textAlignment w:val="auto"/>
              <w:rPr>
                <w:rFonts w:hint="eastAsia" w:ascii="宋体" w:hAnsi="宋体" w:eastAsia="宋体" w:cs="宋体"/>
                <w:sz w:val="21"/>
                <w:szCs w:val="21"/>
                <w:highlight w:val="none"/>
                <w:lang w:eastAsia="zh-CN"/>
              </w:rPr>
            </w:pPr>
            <w:r>
              <w:rPr>
                <w:rFonts w:hint="eastAsia" w:ascii="宋体" w:hAnsi="宋体" w:eastAsia="宋体" w:cs="宋体"/>
                <w:color w:val="auto"/>
                <w:sz w:val="21"/>
                <w:szCs w:val="21"/>
                <w:highlight w:val="none"/>
                <w:lang w:eastAsia="zh-CN"/>
              </w:rPr>
              <w:t>⑴</w:t>
            </w:r>
            <w:r>
              <w:rPr>
                <w:rFonts w:hint="eastAsia" w:ascii="宋体" w:hAnsi="宋体" w:eastAsia="宋体" w:cs="宋体"/>
                <w:color w:val="000000" w:themeColor="text1"/>
                <w:sz w:val="21"/>
                <w:szCs w:val="21"/>
                <w:highlight w:val="none"/>
                <w:lang w:eastAsia="zh-CN"/>
              </w:rPr>
              <w:t>工程勘察专业类（岩土工程（勘察））</w:t>
            </w:r>
            <w:r>
              <w:rPr>
                <w:rFonts w:hint="eastAsia" w:ascii="宋体" w:hAnsi="宋体" w:eastAsia="宋体" w:cs="宋体"/>
                <w:color w:val="000000" w:themeColor="text1"/>
                <w:sz w:val="21"/>
                <w:szCs w:val="21"/>
                <w:highlight w:val="none"/>
                <w:lang w:val="en-US" w:eastAsia="zh-CN"/>
              </w:rPr>
              <w:t>甲级</w:t>
            </w:r>
            <w:r>
              <w:rPr>
                <w:rFonts w:hint="eastAsia" w:ascii="宋体" w:hAnsi="宋体" w:eastAsia="宋体" w:cs="宋体"/>
                <w:color w:val="000000" w:themeColor="text1"/>
                <w:sz w:val="21"/>
                <w:szCs w:val="21"/>
                <w:highlight w:val="none"/>
                <w:lang w:eastAsia="zh-CN"/>
              </w:rPr>
              <w:t>资质</w:t>
            </w:r>
            <w:r>
              <w:rPr>
                <w:rFonts w:hint="eastAsia" w:ascii="宋体" w:hAnsi="宋体" w:eastAsia="宋体" w:cs="宋体"/>
                <w:sz w:val="21"/>
                <w:szCs w:val="21"/>
                <w:highlight w:val="none"/>
                <w:lang w:eastAsia="zh-CN"/>
              </w:rPr>
              <w:t>；</w:t>
            </w:r>
          </w:p>
          <w:p w14:paraId="3280E9D7">
            <w:pPr>
              <w:keepNext w:val="0"/>
              <w:keepLines w:val="0"/>
              <w:pageBreakBefore w:val="0"/>
              <w:widowControl/>
              <w:kinsoku/>
              <w:wordWrap/>
              <w:overflowPunct/>
              <w:topLinePunct w:val="0"/>
              <w:autoSpaceDE/>
              <w:autoSpaceDN/>
              <w:bidi w:val="0"/>
              <w:adjustRightInd/>
              <w:snapToGrid/>
              <w:spacing w:line="360" w:lineRule="exact"/>
              <w:ind w:firstLine="0" w:firstLineChars="0"/>
              <w:textAlignment w:val="auto"/>
              <w:rPr>
                <w:rFonts w:hint="eastAsia" w:ascii="宋体" w:hAnsi="宋体" w:eastAsia="宋体" w:cs="宋体"/>
                <w:color w:val="000000" w:themeColor="text1"/>
                <w:sz w:val="21"/>
                <w:szCs w:val="21"/>
                <w:highlight w:val="none"/>
                <w:lang w:eastAsia="zh-CN"/>
              </w:rPr>
            </w:pPr>
            <w:r>
              <w:rPr>
                <w:rFonts w:hint="eastAsia" w:ascii="宋体" w:hAnsi="宋体" w:eastAsia="宋体" w:cs="宋体"/>
                <w:color w:val="auto"/>
                <w:sz w:val="21"/>
                <w:szCs w:val="21"/>
                <w:highlight w:val="none"/>
                <w:lang w:val="en-US" w:eastAsia="zh-CN"/>
              </w:rPr>
              <w:t>⑵</w:t>
            </w:r>
            <w:r>
              <w:rPr>
                <w:rFonts w:hint="eastAsia" w:ascii="宋体" w:hAnsi="宋体" w:eastAsia="宋体" w:cs="宋体"/>
                <w:color w:val="000000" w:themeColor="text1"/>
                <w:sz w:val="21"/>
                <w:szCs w:val="21"/>
                <w:highlight w:val="none"/>
                <w:lang w:eastAsia="zh-CN"/>
              </w:rPr>
              <w:t>工程勘察专业类（工程测量）</w:t>
            </w:r>
            <w:r>
              <w:rPr>
                <w:rFonts w:hint="eastAsia" w:ascii="宋体" w:hAnsi="宋体" w:eastAsia="宋体" w:cs="宋体"/>
                <w:color w:val="000000" w:themeColor="text1"/>
                <w:sz w:val="21"/>
                <w:szCs w:val="21"/>
                <w:highlight w:val="none"/>
                <w:lang w:val="en-US" w:eastAsia="zh-CN"/>
              </w:rPr>
              <w:t>甲级</w:t>
            </w:r>
            <w:r>
              <w:rPr>
                <w:rFonts w:hint="eastAsia" w:ascii="宋体" w:hAnsi="宋体" w:eastAsia="宋体" w:cs="宋体"/>
                <w:color w:val="000000" w:themeColor="text1"/>
                <w:sz w:val="21"/>
                <w:szCs w:val="21"/>
                <w:highlight w:val="none"/>
                <w:lang w:eastAsia="zh-CN"/>
              </w:rPr>
              <w:t>资质；</w:t>
            </w:r>
          </w:p>
          <w:p w14:paraId="5D341005">
            <w:pPr>
              <w:keepNext w:val="0"/>
              <w:keepLines w:val="0"/>
              <w:pageBreakBefore w:val="0"/>
              <w:widowControl/>
              <w:kinsoku/>
              <w:wordWrap/>
              <w:overflowPunct/>
              <w:topLinePunct w:val="0"/>
              <w:autoSpaceDE/>
              <w:autoSpaceDN/>
              <w:bidi w:val="0"/>
              <w:adjustRightInd/>
              <w:snapToGrid/>
              <w:spacing w:line="360" w:lineRule="exact"/>
              <w:ind w:firstLine="0" w:firstLineChars="0"/>
              <w:textAlignment w:val="auto"/>
              <w:rPr>
                <w:rFonts w:hint="eastAsia" w:ascii="宋体" w:hAnsi="宋体" w:eastAsia="宋体" w:cs="宋体"/>
                <w:color w:val="000000" w:themeColor="text1"/>
                <w:sz w:val="21"/>
                <w:szCs w:val="21"/>
                <w:highlight w:val="none"/>
                <w:lang w:eastAsia="zh-CN"/>
              </w:rPr>
            </w:pPr>
            <w:r>
              <w:rPr>
                <w:rFonts w:hint="eastAsia" w:ascii="宋体" w:hAnsi="宋体" w:eastAsia="宋体" w:cs="宋体"/>
                <w:color w:val="000000" w:themeColor="text1"/>
                <w:sz w:val="21"/>
                <w:szCs w:val="21"/>
                <w:highlight w:val="none"/>
                <w:lang w:eastAsia="zh-CN"/>
              </w:rPr>
              <w:t>⑶工程设计公路行业（公路、</w:t>
            </w:r>
            <w:r>
              <w:rPr>
                <w:rFonts w:hint="eastAsia" w:ascii="宋体" w:hAnsi="宋体" w:eastAsia="宋体" w:cs="宋体"/>
                <w:color w:val="000000" w:themeColor="text1"/>
                <w:sz w:val="21"/>
                <w:szCs w:val="21"/>
                <w:highlight w:val="none"/>
                <w:lang w:val="en-US" w:eastAsia="zh-CN"/>
              </w:rPr>
              <w:t>交通工程</w:t>
            </w:r>
            <w:r>
              <w:rPr>
                <w:rFonts w:hint="eastAsia" w:ascii="宋体" w:hAnsi="宋体" w:eastAsia="宋体" w:cs="宋体"/>
                <w:color w:val="000000" w:themeColor="text1"/>
                <w:sz w:val="21"/>
                <w:szCs w:val="21"/>
                <w:highlight w:val="none"/>
                <w:lang w:eastAsia="zh-CN"/>
              </w:rPr>
              <w:t>）专业</w:t>
            </w:r>
            <w:r>
              <w:rPr>
                <w:rFonts w:hint="eastAsia" w:ascii="宋体" w:hAnsi="宋体" w:eastAsia="宋体" w:cs="宋体"/>
                <w:color w:val="000000" w:themeColor="text1"/>
                <w:sz w:val="21"/>
                <w:szCs w:val="21"/>
                <w:highlight w:val="none"/>
                <w:lang w:val="en-US" w:eastAsia="zh-CN"/>
              </w:rPr>
              <w:t>甲级</w:t>
            </w:r>
            <w:r>
              <w:rPr>
                <w:rFonts w:hint="eastAsia" w:ascii="宋体" w:hAnsi="宋体" w:eastAsia="宋体" w:cs="宋体"/>
                <w:color w:val="000000" w:themeColor="text1"/>
                <w:sz w:val="21"/>
                <w:szCs w:val="21"/>
                <w:highlight w:val="none"/>
                <w:lang w:eastAsia="zh-CN"/>
              </w:rPr>
              <w:t>资质；</w:t>
            </w:r>
          </w:p>
          <w:p w14:paraId="50272552">
            <w:pPr>
              <w:keepNext w:val="0"/>
              <w:keepLines w:val="0"/>
              <w:pageBreakBefore w:val="0"/>
              <w:widowControl/>
              <w:kinsoku/>
              <w:wordWrap/>
              <w:overflowPunct/>
              <w:topLinePunct w:val="0"/>
              <w:autoSpaceDE/>
              <w:autoSpaceDN/>
              <w:bidi w:val="0"/>
              <w:adjustRightInd/>
              <w:snapToGrid/>
              <w:spacing w:line="360" w:lineRule="exact"/>
              <w:ind w:firstLine="0" w:firstLineChars="0"/>
              <w:textAlignment w:val="auto"/>
              <w:rPr>
                <w:rFonts w:hint="eastAsia" w:ascii="宋体" w:hAnsi="宋体" w:eastAsia="宋体" w:cs="宋体"/>
                <w:sz w:val="21"/>
                <w:szCs w:val="21"/>
                <w:highlight w:val="none"/>
              </w:rPr>
            </w:pPr>
            <w:r>
              <w:rPr>
                <w:rFonts w:hint="eastAsia" w:ascii="宋体" w:hAnsi="宋体" w:eastAsia="宋体" w:cs="宋体"/>
                <w:color w:val="000000" w:themeColor="text1"/>
                <w:sz w:val="21"/>
                <w:szCs w:val="21"/>
                <w:highlight w:val="none"/>
                <w:lang w:eastAsia="zh-CN"/>
              </w:rPr>
              <w:t>⑷工程设计建筑行业（建筑工程）专业乙级资质。</w:t>
            </w:r>
          </w:p>
        </w:tc>
      </w:tr>
    </w:tbl>
    <w:p w14:paraId="054A5997">
      <w:pPr>
        <w:keepLines w:val="0"/>
        <w:kinsoku/>
        <w:wordWrap/>
        <w:overflowPunct/>
        <w:topLinePunct w:val="0"/>
        <w:autoSpaceDE/>
        <w:autoSpaceDN/>
        <w:bidi w:val="0"/>
        <w:spacing w:before="100" w:beforeAutospacing="1" w:line="360" w:lineRule="exact"/>
        <w:jc w:val="center"/>
        <w:outlineLvl w:val="2"/>
        <w:rPr>
          <w:rFonts w:hint="eastAsia" w:ascii="宋体" w:hAnsi="宋体" w:eastAsia="宋体" w:cs="宋体"/>
          <w:b/>
          <w:sz w:val="21"/>
          <w:szCs w:val="21"/>
          <w:highlight w:val="none"/>
        </w:rPr>
      </w:pPr>
      <w:bookmarkStart w:id="8" w:name="_Toc51622568"/>
      <w:bookmarkStart w:id="9" w:name="_Toc21413"/>
      <w:r>
        <w:rPr>
          <w:rFonts w:hint="eastAsia" w:ascii="宋体" w:hAnsi="宋体" w:eastAsia="宋体" w:cs="宋体"/>
          <w:b/>
          <w:sz w:val="21"/>
          <w:szCs w:val="21"/>
          <w:highlight w:val="none"/>
        </w:rPr>
        <w:t>附录2资格审查条件（业绩最低要求）</w:t>
      </w:r>
      <w:bookmarkEnd w:id="8"/>
      <w:bookmarkEnd w:id="9"/>
    </w:p>
    <w:tbl>
      <w:tblPr>
        <w:tblStyle w:val="6"/>
        <w:tblW w:w="942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25"/>
      </w:tblGrid>
      <w:tr w14:paraId="0AC8F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425" w:type="dxa"/>
            <w:tcBorders>
              <w:top w:val="single" w:color="auto" w:sz="12" w:space="0"/>
              <w:left w:val="single" w:color="auto" w:sz="12" w:space="0"/>
              <w:right w:val="single" w:color="auto" w:sz="12" w:space="0"/>
            </w:tcBorders>
            <w:vAlign w:val="center"/>
          </w:tcPr>
          <w:p w14:paraId="631B8749">
            <w:pPr>
              <w:keepLines w:val="0"/>
              <w:kinsoku/>
              <w:wordWrap/>
              <w:overflowPunct/>
              <w:topLinePunct w:val="0"/>
              <w:autoSpaceDE/>
              <w:autoSpaceDN/>
              <w:bidi w:val="0"/>
              <w:spacing w:line="360" w:lineRule="exact"/>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业绩要求</w:t>
            </w:r>
          </w:p>
        </w:tc>
      </w:tr>
      <w:tr w14:paraId="58940A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425" w:type="dxa"/>
            <w:tcBorders>
              <w:left w:val="single" w:color="auto" w:sz="12" w:space="0"/>
              <w:bottom w:val="single" w:color="auto" w:sz="12" w:space="0"/>
              <w:right w:val="single" w:color="auto" w:sz="12" w:space="0"/>
            </w:tcBorders>
            <w:vAlign w:val="center"/>
          </w:tcPr>
          <w:p w14:paraId="2D039029">
            <w:pPr>
              <w:keepLines w:val="0"/>
              <w:kinsoku/>
              <w:wordWrap/>
              <w:overflowPunct/>
              <w:topLinePunct w:val="0"/>
              <w:autoSpaceDE/>
              <w:autoSpaceDN/>
              <w:bidi w:val="0"/>
              <w:adjustRightInd w:val="0"/>
              <w:snapToGrid w:val="0"/>
              <w:spacing w:line="360" w:lineRule="exact"/>
              <w:ind w:firstLine="420" w:firstLineChars="200"/>
              <w:rPr>
                <w:rFonts w:hint="eastAsia" w:ascii="宋体" w:hAnsi="宋体" w:eastAsia="宋体" w:cs="宋体"/>
                <w:color w:val="000000" w:themeColor="text1"/>
                <w:sz w:val="21"/>
                <w:szCs w:val="21"/>
                <w:highlight w:val="none"/>
                <w:lang w:val="en-US" w:eastAsia="zh-CN"/>
              </w:rPr>
            </w:pPr>
            <w:r>
              <w:rPr>
                <w:rFonts w:hint="eastAsia" w:ascii="宋体" w:hAnsi="宋体" w:eastAsia="宋体" w:cs="宋体"/>
                <w:color w:val="000000" w:themeColor="text1"/>
                <w:sz w:val="21"/>
                <w:szCs w:val="21"/>
                <w:highlight w:val="none"/>
                <w:lang w:val="en-US" w:eastAsia="zh-CN"/>
              </w:rPr>
              <w:t>投标人（联合体投标的，指联合体牵头人）</w:t>
            </w:r>
            <w:r>
              <w:rPr>
                <w:rFonts w:hint="eastAsia" w:ascii="宋体" w:hAnsi="宋体" w:eastAsia="宋体" w:cs="宋体"/>
                <w:color w:val="000000" w:themeColor="text1"/>
                <w:sz w:val="21"/>
                <w:szCs w:val="21"/>
                <w:highlight w:val="none"/>
              </w:rPr>
              <w:t>202</w:t>
            </w:r>
            <w:r>
              <w:rPr>
                <w:rFonts w:hint="eastAsia" w:ascii="宋体" w:hAnsi="宋体" w:eastAsia="宋体" w:cs="宋体"/>
                <w:color w:val="000000" w:themeColor="text1"/>
                <w:sz w:val="21"/>
                <w:szCs w:val="21"/>
                <w:highlight w:val="none"/>
                <w:lang w:val="en-US" w:eastAsia="zh-CN"/>
              </w:rPr>
              <w:t>1</w:t>
            </w:r>
            <w:r>
              <w:rPr>
                <w:rFonts w:hint="eastAsia" w:ascii="宋体" w:hAnsi="宋体" w:eastAsia="宋体" w:cs="宋体"/>
                <w:color w:val="000000" w:themeColor="text1"/>
                <w:sz w:val="21"/>
                <w:szCs w:val="21"/>
                <w:highlight w:val="none"/>
              </w:rPr>
              <w:t>年1月1日</w:t>
            </w:r>
            <w:r>
              <w:rPr>
                <w:rFonts w:hint="eastAsia" w:ascii="宋体" w:hAnsi="宋体" w:eastAsia="宋体" w:cs="宋体"/>
                <w:color w:val="000000" w:themeColor="text1"/>
                <w:sz w:val="21"/>
                <w:szCs w:val="21"/>
                <w:highlight w:val="none"/>
                <w:lang w:val="en-US" w:eastAsia="zh-CN"/>
              </w:rPr>
              <w:t>以后</w:t>
            </w:r>
            <w:r>
              <w:rPr>
                <w:rFonts w:hint="eastAsia" w:ascii="宋体" w:hAnsi="宋体" w:eastAsia="宋体" w:cs="宋体"/>
                <w:color w:val="000000" w:themeColor="text1"/>
                <w:sz w:val="21"/>
                <w:szCs w:val="21"/>
                <w:highlight w:val="none"/>
                <w:lang w:eastAsia="zh-CN"/>
              </w:rPr>
              <w:t>（</w:t>
            </w:r>
            <w:r>
              <w:rPr>
                <w:rFonts w:hint="eastAsia" w:ascii="宋体" w:hAnsi="宋体" w:eastAsia="宋体" w:cs="宋体"/>
                <w:color w:val="000000" w:themeColor="text1"/>
                <w:sz w:val="21"/>
                <w:szCs w:val="21"/>
                <w:highlight w:val="none"/>
              </w:rPr>
              <w:t>以相应的批复时间为准）完成过</w:t>
            </w:r>
            <w:r>
              <w:rPr>
                <w:rFonts w:hint="eastAsia" w:ascii="宋体" w:hAnsi="宋体" w:eastAsia="宋体" w:cs="宋体"/>
                <w:color w:val="000000" w:themeColor="text1"/>
                <w:sz w:val="21"/>
                <w:szCs w:val="21"/>
                <w:highlight w:val="none"/>
                <w:lang w:val="en-US" w:eastAsia="zh-CN"/>
              </w:rPr>
              <w:t>一项</w:t>
            </w:r>
            <w:r>
              <w:rPr>
                <w:rFonts w:hint="eastAsia" w:ascii="宋体" w:hAnsi="宋体" w:eastAsia="宋体" w:cs="宋体"/>
                <w:color w:val="000000" w:themeColor="text1"/>
                <w:sz w:val="21"/>
                <w:szCs w:val="21"/>
                <w:highlight w:val="none"/>
              </w:rPr>
              <w:t>高速公路</w:t>
            </w:r>
            <w:r>
              <w:rPr>
                <w:rFonts w:hint="eastAsia" w:ascii="宋体" w:hAnsi="宋体" w:eastAsia="宋体" w:cs="宋体"/>
                <w:color w:val="000000" w:themeColor="text1"/>
                <w:sz w:val="21"/>
                <w:szCs w:val="21"/>
                <w:highlight w:val="none"/>
                <w:lang w:val="en-US" w:eastAsia="zh-CN"/>
              </w:rPr>
              <w:t>新建、改扩建或养护工程</w:t>
            </w:r>
            <w:r>
              <w:rPr>
                <w:rFonts w:hint="eastAsia" w:ascii="宋体" w:hAnsi="宋体" w:eastAsia="宋体" w:cs="宋体"/>
                <w:color w:val="000000" w:themeColor="text1"/>
                <w:sz w:val="21"/>
                <w:szCs w:val="21"/>
                <w:highlight w:val="none"/>
              </w:rPr>
              <w:t>设计业绩。</w:t>
            </w:r>
          </w:p>
        </w:tc>
      </w:tr>
    </w:tbl>
    <w:p w14:paraId="328AEEA7">
      <w:pPr>
        <w:keepLines w:val="0"/>
        <w:kinsoku/>
        <w:wordWrap/>
        <w:overflowPunct/>
        <w:topLinePunct w:val="0"/>
        <w:autoSpaceDE/>
        <w:autoSpaceDN/>
        <w:bidi w:val="0"/>
        <w:spacing w:before="100" w:beforeAutospacing="1" w:line="360" w:lineRule="exact"/>
        <w:jc w:val="center"/>
        <w:outlineLvl w:val="2"/>
        <w:rPr>
          <w:rFonts w:hint="eastAsia" w:ascii="宋体" w:hAnsi="宋体" w:eastAsia="宋体" w:cs="宋体"/>
          <w:b/>
          <w:sz w:val="21"/>
          <w:szCs w:val="21"/>
          <w:highlight w:val="none"/>
        </w:rPr>
      </w:pPr>
      <w:bookmarkStart w:id="10" w:name="_Toc9745"/>
      <w:bookmarkStart w:id="11" w:name="_Toc51622569"/>
      <w:r>
        <w:rPr>
          <w:rFonts w:hint="eastAsia" w:ascii="宋体" w:hAnsi="宋体" w:eastAsia="宋体" w:cs="宋体"/>
          <w:b/>
          <w:sz w:val="21"/>
          <w:szCs w:val="21"/>
          <w:highlight w:val="none"/>
        </w:rPr>
        <w:t>附录3资格审查条件（信誉最低要求）</w:t>
      </w:r>
      <w:bookmarkEnd w:id="10"/>
      <w:bookmarkEnd w:id="11"/>
    </w:p>
    <w:tbl>
      <w:tblPr>
        <w:tblStyle w:val="6"/>
        <w:tblW w:w="94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37"/>
      </w:tblGrid>
      <w:tr w14:paraId="570F3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437" w:type="dxa"/>
            <w:tcBorders>
              <w:top w:val="single" w:color="auto" w:sz="12" w:space="0"/>
              <w:left w:val="single" w:color="auto" w:sz="12" w:space="0"/>
              <w:right w:val="single" w:color="auto" w:sz="12" w:space="0"/>
            </w:tcBorders>
            <w:vAlign w:val="center"/>
          </w:tcPr>
          <w:p w14:paraId="08D1E9E9">
            <w:pPr>
              <w:keepLines w:val="0"/>
              <w:kinsoku/>
              <w:wordWrap/>
              <w:overflowPunct/>
              <w:topLinePunct w:val="0"/>
              <w:autoSpaceDE/>
              <w:autoSpaceDN/>
              <w:bidi w:val="0"/>
              <w:spacing w:line="360" w:lineRule="exact"/>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信誉要求</w:t>
            </w:r>
          </w:p>
        </w:tc>
      </w:tr>
      <w:tr w14:paraId="6D147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437" w:type="dxa"/>
            <w:tcBorders>
              <w:left w:val="single" w:color="auto" w:sz="12" w:space="0"/>
              <w:bottom w:val="single" w:color="auto" w:sz="12" w:space="0"/>
              <w:right w:val="single" w:color="auto" w:sz="12" w:space="0"/>
            </w:tcBorders>
            <w:vAlign w:val="center"/>
          </w:tcPr>
          <w:p w14:paraId="21C7F3A6">
            <w:pPr>
              <w:keepLines w:val="0"/>
              <w:kinsoku/>
              <w:wordWrap/>
              <w:overflowPunct/>
              <w:topLinePunct w:val="0"/>
              <w:autoSpaceDE/>
              <w:autoSpaceDN/>
              <w:bidi w:val="0"/>
              <w:spacing w:line="360" w:lineRule="exact"/>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无</w:t>
            </w:r>
          </w:p>
        </w:tc>
      </w:tr>
    </w:tbl>
    <w:p w14:paraId="5B37FE34">
      <w:pPr>
        <w:keepLines w:val="0"/>
        <w:kinsoku/>
        <w:wordWrap/>
        <w:overflowPunct/>
        <w:topLinePunct w:val="0"/>
        <w:autoSpaceDE/>
        <w:autoSpaceDN/>
        <w:bidi w:val="0"/>
        <w:spacing w:before="100" w:beforeAutospacing="1" w:line="360" w:lineRule="exact"/>
        <w:jc w:val="center"/>
        <w:outlineLvl w:val="2"/>
        <w:rPr>
          <w:rFonts w:hint="eastAsia" w:ascii="宋体" w:hAnsi="宋体" w:eastAsia="宋体" w:cs="宋体"/>
          <w:b/>
          <w:sz w:val="21"/>
          <w:szCs w:val="21"/>
          <w:highlight w:val="none"/>
        </w:rPr>
      </w:pPr>
      <w:bookmarkStart w:id="12" w:name="_Toc25478"/>
      <w:bookmarkStart w:id="13" w:name="_Toc51622570"/>
      <w:bookmarkStart w:id="14" w:name="_Toc411418983"/>
      <w:r>
        <w:rPr>
          <w:rFonts w:hint="eastAsia" w:ascii="宋体" w:hAnsi="宋体" w:eastAsia="宋体" w:cs="宋体"/>
          <w:b/>
          <w:sz w:val="21"/>
          <w:szCs w:val="21"/>
          <w:highlight w:val="none"/>
        </w:rPr>
        <w:t>附录4资格审查条件（项目负责人最低要求）</w:t>
      </w:r>
      <w:bookmarkEnd w:id="12"/>
      <w:bookmarkEnd w:id="13"/>
      <w:bookmarkEnd w:id="14"/>
    </w:p>
    <w:tbl>
      <w:tblPr>
        <w:tblStyle w:val="6"/>
        <w:tblW w:w="944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88"/>
        <w:gridCol w:w="1287"/>
        <w:gridCol w:w="6368"/>
      </w:tblGrid>
      <w:tr w14:paraId="33FB1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1788" w:type="dxa"/>
            <w:tcBorders>
              <w:top w:val="single" w:color="auto" w:sz="12" w:space="0"/>
              <w:left w:val="single" w:color="auto" w:sz="12" w:space="0"/>
              <w:right w:val="single" w:color="auto" w:sz="4" w:space="0"/>
            </w:tcBorders>
            <w:vAlign w:val="center"/>
          </w:tcPr>
          <w:p w14:paraId="25D6932F">
            <w:pPr>
              <w:keepLines w:val="0"/>
              <w:kinsoku/>
              <w:wordWrap/>
              <w:overflowPunct/>
              <w:topLinePunct w:val="0"/>
              <w:autoSpaceDE/>
              <w:autoSpaceDN/>
              <w:bidi w:val="0"/>
              <w:spacing w:line="360" w:lineRule="exact"/>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人员</w:t>
            </w:r>
          </w:p>
        </w:tc>
        <w:tc>
          <w:tcPr>
            <w:tcW w:w="1287" w:type="dxa"/>
            <w:tcBorders>
              <w:top w:val="single" w:color="auto" w:sz="12" w:space="0"/>
              <w:left w:val="single" w:color="auto" w:sz="4" w:space="0"/>
              <w:bottom w:val="single" w:color="auto" w:sz="4" w:space="0"/>
              <w:right w:val="single" w:color="auto" w:sz="4" w:space="0"/>
            </w:tcBorders>
            <w:vAlign w:val="center"/>
          </w:tcPr>
          <w:p w14:paraId="5A3B3F01">
            <w:pPr>
              <w:keepLines w:val="0"/>
              <w:kinsoku/>
              <w:wordWrap/>
              <w:overflowPunct/>
              <w:topLinePunct w:val="0"/>
              <w:autoSpaceDE/>
              <w:autoSpaceDN/>
              <w:bidi w:val="0"/>
              <w:spacing w:line="360" w:lineRule="exact"/>
              <w:jc w:val="center"/>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rPr>
              <w:t>数量</w:t>
            </w:r>
            <w:r>
              <w:rPr>
                <w:rFonts w:hint="eastAsia" w:ascii="宋体" w:hAnsi="宋体" w:eastAsia="宋体" w:cs="宋体"/>
                <w:sz w:val="21"/>
                <w:szCs w:val="21"/>
                <w:highlight w:val="none"/>
              </w:rPr>
              <w:br w:type="textWrapping"/>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lang w:val="en-US" w:eastAsia="zh-CN"/>
              </w:rPr>
              <w:t>人/标段</w:t>
            </w:r>
            <w:r>
              <w:rPr>
                <w:rFonts w:hint="eastAsia" w:ascii="宋体" w:hAnsi="宋体" w:eastAsia="宋体" w:cs="宋体"/>
                <w:sz w:val="21"/>
                <w:szCs w:val="21"/>
                <w:highlight w:val="none"/>
                <w:lang w:eastAsia="zh-CN"/>
              </w:rPr>
              <w:t>）</w:t>
            </w:r>
          </w:p>
        </w:tc>
        <w:tc>
          <w:tcPr>
            <w:tcW w:w="6368" w:type="dxa"/>
            <w:tcBorders>
              <w:top w:val="single" w:color="auto" w:sz="12" w:space="0"/>
              <w:left w:val="single" w:color="auto" w:sz="4" w:space="0"/>
              <w:right w:val="single" w:color="auto" w:sz="12" w:space="0"/>
            </w:tcBorders>
            <w:vAlign w:val="center"/>
          </w:tcPr>
          <w:p w14:paraId="0B325E8E">
            <w:pPr>
              <w:keepLines w:val="0"/>
              <w:kinsoku/>
              <w:wordWrap/>
              <w:overflowPunct/>
              <w:topLinePunct w:val="0"/>
              <w:autoSpaceDE/>
              <w:autoSpaceDN/>
              <w:bidi w:val="0"/>
              <w:spacing w:line="360" w:lineRule="exact"/>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资格要求</w:t>
            </w:r>
          </w:p>
        </w:tc>
      </w:tr>
      <w:tr w14:paraId="70410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jc w:val="center"/>
        </w:trPr>
        <w:tc>
          <w:tcPr>
            <w:tcW w:w="1788" w:type="dxa"/>
            <w:tcBorders>
              <w:left w:val="single" w:color="auto" w:sz="12" w:space="0"/>
              <w:bottom w:val="single" w:color="auto" w:sz="12" w:space="0"/>
              <w:right w:val="single" w:color="auto" w:sz="4" w:space="0"/>
            </w:tcBorders>
            <w:vAlign w:val="center"/>
          </w:tcPr>
          <w:p w14:paraId="0A77BD0A">
            <w:pPr>
              <w:keepLines w:val="0"/>
              <w:kinsoku/>
              <w:wordWrap/>
              <w:overflowPunct/>
              <w:topLinePunct w:val="0"/>
              <w:autoSpaceDE/>
              <w:autoSpaceDN/>
              <w:bidi w:val="0"/>
              <w:spacing w:line="360" w:lineRule="exact"/>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项目负责人</w:t>
            </w:r>
          </w:p>
        </w:tc>
        <w:tc>
          <w:tcPr>
            <w:tcW w:w="1287" w:type="dxa"/>
            <w:tcBorders>
              <w:top w:val="single" w:color="auto" w:sz="4" w:space="0"/>
              <w:left w:val="single" w:color="auto" w:sz="4" w:space="0"/>
              <w:bottom w:val="single" w:color="auto" w:sz="12" w:space="0"/>
              <w:right w:val="single" w:color="auto" w:sz="4" w:space="0"/>
            </w:tcBorders>
            <w:vAlign w:val="center"/>
          </w:tcPr>
          <w:p w14:paraId="19F7D51A">
            <w:pPr>
              <w:keepLines w:val="0"/>
              <w:kinsoku/>
              <w:wordWrap/>
              <w:overflowPunct/>
              <w:topLinePunct w:val="0"/>
              <w:autoSpaceDE/>
              <w:autoSpaceDN/>
              <w:bidi w:val="0"/>
              <w:spacing w:line="360" w:lineRule="exact"/>
              <w:jc w:val="center"/>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1</w:t>
            </w:r>
          </w:p>
        </w:tc>
        <w:tc>
          <w:tcPr>
            <w:tcW w:w="6368" w:type="dxa"/>
            <w:tcBorders>
              <w:top w:val="single" w:color="auto" w:sz="4" w:space="0"/>
              <w:left w:val="single" w:color="auto" w:sz="4" w:space="0"/>
              <w:bottom w:val="single" w:color="auto" w:sz="12" w:space="0"/>
              <w:right w:val="single" w:color="auto" w:sz="12" w:space="0"/>
            </w:tcBorders>
            <w:vAlign w:val="center"/>
          </w:tcPr>
          <w:p w14:paraId="256DA737">
            <w:pPr>
              <w:keepLines w:val="0"/>
              <w:kinsoku/>
              <w:wordWrap/>
              <w:overflowPunct/>
              <w:topLinePunct w:val="0"/>
              <w:autoSpaceDE/>
              <w:autoSpaceDN/>
              <w:bidi w:val="0"/>
              <w:spacing w:line="360" w:lineRule="exact"/>
              <w:jc w:val="left"/>
              <w:rPr>
                <w:rFonts w:hint="eastAsia" w:ascii="宋体" w:hAnsi="宋体" w:eastAsia="宋体" w:cs="宋体"/>
                <w:sz w:val="21"/>
                <w:szCs w:val="21"/>
                <w:highlight w:val="none"/>
              </w:rPr>
            </w:pPr>
            <w:r>
              <w:rPr>
                <w:rFonts w:hint="eastAsia" w:ascii="宋体" w:hAnsi="宋体" w:eastAsia="宋体" w:cs="宋体"/>
                <w:color w:val="auto"/>
                <w:sz w:val="21"/>
                <w:szCs w:val="21"/>
                <w:highlight w:val="none"/>
                <w:lang w:eastAsia="zh-CN"/>
              </w:rPr>
              <w:t>⑴</w:t>
            </w:r>
            <w:r>
              <w:rPr>
                <w:rFonts w:hint="eastAsia" w:ascii="宋体" w:hAnsi="宋体" w:eastAsia="宋体" w:cs="宋体"/>
                <w:sz w:val="21"/>
                <w:szCs w:val="21"/>
                <w:highlight w:val="none"/>
              </w:rPr>
              <w:t>投标人</w:t>
            </w:r>
            <w:r>
              <w:rPr>
                <w:rFonts w:hint="eastAsia" w:ascii="宋体" w:hAnsi="宋体" w:eastAsia="宋体" w:cs="宋体"/>
                <w:color w:val="auto"/>
                <w:sz w:val="21"/>
                <w:szCs w:val="21"/>
                <w:highlight w:val="none"/>
              </w:rPr>
              <w:t>（联合体投标的，指联合体牵头人）</w:t>
            </w:r>
            <w:r>
              <w:rPr>
                <w:rFonts w:hint="eastAsia" w:ascii="宋体" w:hAnsi="宋体" w:eastAsia="宋体" w:cs="宋体"/>
                <w:sz w:val="21"/>
                <w:szCs w:val="21"/>
                <w:highlight w:val="none"/>
              </w:rPr>
              <w:t>自有人员</w:t>
            </w:r>
            <w:r>
              <w:rPr>
                <w:rStyle w:val="8"/>
                <w:rFonts w:hint="eastAsia" w:ascii="宋体" w:hAnsi="宋体" w:eastAsia="宋体" w:cs="宋体"/>
                <w:sz w:val="21"/>
                <w:szCs w:val="21"/>
                <w:highlight w:val="none"/>
              </w:rPr>
              <w:footnoteReference w:id="1"/>
            </w:r>
            <w:r>
              <w:rPr>
                <w:rFonts w:hint="eastAsia" w:ascii="宋体" w:hAnsi="宋体" w:eastAsia="宋体" w:cs="宋体"/>
                <w:sz w:val="21"/>
                <w:szCs w:val="21"/>
                <w:highlight w:val="none"/>
              </w:rPr>
              <w:t>；</w:t>
            </w:r>
          </w:p>
          <w:p w14:paraId="41871E65">
            <w:pPr>
              <w:keepLines w:val="0"/>
              <w:kinsoku/>
              <w:wordWrap/>
              <w:overflowPunct/>
              <w:topLinePunct w:val="0"/>
              <w:autoSpaceDE/>
              <w:autoSpaceDN/>
              <w:bidi w:val="0"/>
              <w:spacing w:line="360" w:lineRule="exact"/>
              <w:jc w:val="left"/>
              <w:rPr>
                <w:rFonts w:hint="eastAsia" w:ascii="宋体" w:hAnsi="宋体" w:eastAsia="宋体" w:cs="宋体"/>
                <w:sz w:val="21"/>
                <w:szCs w:val="21"/>
                <w:highlight w:val="none"/>
              </w:rPr>
            </w:pPr>
            <w:r>
              <w:rPr>
                <w:rFonts w:hint="eastAsia" w:ascii="宋体" w:hAnsi="宋体" w:eastAsia="宋体" w:cs="宋体"/>
                <w:color w:val="auto"/>
                <w:sz w:val="21"/>
                <w:szCs w:val="21"/>
                <w:highlight w:val="none"/>
                <w:lang w:val="en-US" w:eastAsia="zh-CN"/>
              </w:rPr>
              <w:t>⑵</w:t>
            </w:r>
            <w:r>
              <w:rPr>
                <w:rFonts w:hint="eastAsia" w:ascii="宋体" w:hAnsi="宋体" w:eastAsia="宋体" w:cs="宋体"/>
                <w:sz w:val="21"/>
                <w:szCs w:val="21"/>
                <w:highlight w:val="none"/>
                <w:lang w:val="en-US" w:eastAsia="zh-CN"/>
              </w:rPr>
              <w:t>具有公路工程相关专业</w:t>
            </w:r>
            <w:r>
              <w:rPr>
                <w:rStyle w:val="8"/>
                <w:rFonts w:hint="eastAsia" w:ascii="宋体" w:hAnsi="宋体" w:eastAsia="宋体" w:cs="宋体"/>
                <w:sz w:val="21"/>
                <w:szCs w:val="21"/>
                <w:highlight w:val="none"/>
              </w:rPr>
              <w:footnoteReference w:id="2"/>
            </w:r>
            <w:r>
              <w:rPr>
                <w:rFonts w:hint="eastAsia" w:ascii="宋体" w:hAnsi="宋体" w:eastAsia="宋体" w:cs="宋体"/>
                <w:sz w:val="21"/>
                <w:szCs w:val="21"/>
                <w:highlight w:val="none"/>
                <w:lang w:val="en-US" w:eastAsia="zh-CN"/>
              </w:rPr>
              <w:t>高级技术职称</w:t>
            </w:r>
            <w:r>
              <w:rPr>
                <w:rFonts w:hint="eastAsia" w:ascii="宋体" w:hAnsi="宋体" w:eastAsia="宋体" w:cs="宋体"/>
                <w:sz w:val="21"/>
                <w:szCs w:val="21"/>
                <w:highlight w:val="none"/>
              </w:rPr>
              <w:t>；</w:t>
            </w:r>
          </w:p>
          <w:p w14:paraId="6B5BC21B">
            <w:pPr>
              <w:keepLines w:val="0"/>
              <w:kinsoku/>
              <w:wordWrap/>
              <w:overflowPunct/>
              <w:topLinePunct w:val="0"/>
              <w:autoSpaceDE/>
              <w:autoSpaceDN/>
              <w:bidi w:val="0"/>
              <w:spacing w:line="360" w:lineRule="exact"/>
              <w:jc w:val="left"/>
              <w:rPr>
                <w:rFonts w:hint="eastAsia" w:ascii="宋体" w:hAnsi="宋体" w:eastAsia="宋体" w:cs="宋体"/>
                <w:sz w:val="21"/>
                <w:szCs w:val="21"/>
                <w:highlight w:val="none"/>
                <w:lang w:val="en-US" w:eastAsia="zh-CN"/>
              </w:rPr>
            </w:pPr>
            <w:r>
              <w:rPr>
                <w:rFonts w:hint="eastAsia" w:ascii="宋体" w:hAnsi="宋体" w:eastAsia="宋体" w:cs="宋体"/>
                <w:color w:val="000000" w:themeColor="text1"/>
                <w:sz w:val="21"/>
                <w:szCs w:val="21"/>
                <w:highlight w:val="none"/>
                <w:lang w:eastAsia="zh-CN"/>
              </w:rPr>
              <w:t>⑶</w:t>
            </w:r>
            <w:r>
              <w:rPr>
                <w:rFonts w:hint="eastAsia" w:ascii="宋体" w:hAnsi="宋体" w:eastAsia="宋体" w:cs="宋体"/>
                <w:sz w:val="21"/>
                <w:szCs w:val="21"/>
                <w:highlight w:val="none"/>
                <w:lang w:val="en-US" w:eastAsia="zh-CN"/>
              </w:rPr>
              <w:t>公路设计10年以上工作经验；</w:t>
            </w:r>
          </w:p>
          <w:p w14:paraId="734E8EE7">
            <w:pPr>
              <w:keepLines w:val="0"/>
              <w:kinsoku/>
              <w:wordWrap/>
              <w:overflowPunct/>
              <w:topLinePunct w:val="0"/>
              <w:autoSpaceDE/>
              <w:autoSpaceDN/>
              <w:bidi w:val="0"/>
              <w:spacing w:line="360" w:lineRule="exact"/>
              <w:jc w:val="left"/>
              <w:rPr>
                <w:rFonts w:hint="eastAsia" w:ascii="宋体" w:hAnsi="宋体" w:eastAsia="宋体" w:cs="宋体"/>
                <w:sz w:val="21"/>
                <w:szCs w:val="21"/>
                <w:highlight w:val="none"/>
              </w:rPr>
            </w:pPr>
            <w:r>
              <w:rPr>
                <w:rFonts w:hint="eastAsia" w:ascii="宋体" w:hAnsi="宋体" w:eastAsia="宋体" w:cs="宋体"/>
                <w:color w:val="000000" w:themeColor="text1"/>
                <w:sz w:val="21"/>
                <w:szCs w:val="21"/>
                <w:highlight w:val="none"/>
                <w:lang w:eastAsia="zh-CN"/>
              </w:rPr>
              <w:t>⑷</w:t>
            </w:r>
            <w:r>
              <w:rPr>
                <w:rFonts w:hint="eastAsia" w:ascii="宋体" w:hAnsi="宋体" w:eastAsia="宋体" w:cs="宋体"/>
                <w:sz w:val="21"/>
                <w:szCs w:val="21"/>
                <w:highlight w:val="none"/>
              </w:rPr>
              <w:t>担任过</w:t>
            </w:r>
            <w:r>
              <w:rPr>
                <w:rFonts w:hint="eastAsia" w:ascii="宋体" w:hAnsi="宋体" w:eastAsia="宋体" w:cs="宋体"/>
                <w:sz w:val="21"/>
                <w:szCs w:val="21"/>
                <w:highlight w:val="none"/>
                <w:lang w:val="en-US" w:eastAsia="zh-CN"/>
              </w:rPr>
              <w:t>一</w:t>
            </w:r>
            <w:r>
              <w:rPr>
                <w:rFonts w:hint="eastAsia" w:ascii="宋体" w:hAnsi="宋体" w:eastAsia="宋体" w:cs="宋体"/>
                <w:sz w:val="21"/>
                <w:szCs w:val="21"/>
                <w:highlight w:val="none"/>
              </w:rPr>
              <w:t>项高速公路新建、改扩建或养护工程</w:t>
            </w:r>
            <w:r>
              <w:rPr>
                <w:rFonts w:hint="eastAsia" w:ascii="宋体" w:hAnsi="宋体" w:eastAsia="宋体" w:cs="宋体"/>
                <w:sz w:val="21"/>
                <w:szCs w:val="21"/>
                <w:highlight w:val="none"/>
                <w:lang w:val="en-US" w:eastAsia="zh-CN"/>
              </w:rPr>
              <w:t>设计</w:t>
            </w:r>
            <w:r>
              <w:rPr>
                <w:rFonts w:hint="eastAsia" w:ascii="宋体" w:hAnsi="宋体" w:eastAsia="宋体" w:cs="宋体"/>
                <w:sz w:val="21"/>
                <w:szCs w:val="21"/>
                <w:highlight w:val="none"/>
              </w:rPr>
              <w:t>的项目负责人。</w:t>
            </w:r>
          </w:p>
        </w:tc>
      </w:tr>
    </w:tbl>
    <w:p w14:paraId="13650AEE">
      <w:pPr>
        <w:keepLines w:val="0"/>
        <w:kinsoku/>
        <w:wordWrap/>
        <w:overflowPunct/>
        <w:topLinePunct w:val="0"/>
        <w:autoSpaceDE/>
        <w:autoSpaceDN/>
        <w:bidi w:val="0"/>
        <w:spacing w:line="360" w:lineRule="exact"/>
        <w:rPr>
          <w:rFonts w:hint="eastAsia" w:ascii="宋体" w:hAnsi="宋体" w:eastAsia="宋体" w:cs="宋体"/>
          <w:sz w:val="21"/>
          <w:szCs w:val="21"/>
          <w:highlight w:val="none"/>
        </w:rPr>
      </w:pPr>
      <w:bookmarkStart w:id="15" w:name="_Toc14356"/>
      <w:r>
        <w:rPr>
          <w:rFonts w:hint="eastAsia" w:ascii="宋体" w:hAnsi="宋体" w:eastAsia="宋体" w:cs="宋体"/>
          <w:sz w:val="21"/>
          <w:szCs w:val="21"/>
          <w:highlight w:val="none"/>
        </w:rPr>
        <w:br w:type="page"/>
      </w:r>
    </w:p>
    <w:p w14:paraId="783F624C">
      <w:pPr>
        <w:keepLines w:val="0"/>
        <w:kinsoku/>
        <w:wordWrap/>
        <w:overflowPunct/>
        <w:topLinePunct w:val="0"/>
        <w:autoSpaceDE/>
        <w:autoSpaceDN/>
        <w:bidi w:val="0"/>
        <w:spacing w:before="100" w:beforeAutospacing="1" w:line="360" w:lineRule="exact"/>
        <w:jc w:val="center"/>
        <w:outlineLvl w:val="2"/>
        <w:rPr>
          <w:rFonts w:hint="eastAsia" w:ascii="宋体" w:hAnsi="宋体" w:eastAsia="宋体" w:cs="宋体"/>
          <w:sz w:val="21"/>
          <w:szCs w:val="21"/>
          <w:highlight w:val="none"/>
        </w:rPr>
      </w:pPr>
      <w:bookmarkStart w:id="16" w:name="_Toc20584"/>
      <w:r>
        <w:rPr>
          <w:rFonts w:hint="eastAsia" w:ascii="宋体" w:hAnsi="宋体" w:eastAsia="宋体" w:cs="宋体"/>
          <w:sz w:val="21"/>
          <w:szCs w:val="21"/>
          <w:highlight w:val="none"/>
        </w:rPr>
        <w:t>附录5资格审查条件（分项负责人最低要求）</w:t>
      </w:r>
      <w:bookmarkEnd w:id="15"/>
      <w:bookmarkEnd w:id="16"/>
    </w:p>
    <w:tbl>
      <w:tblPr>
        <w:tblStyle w:val="6"/>
        <w:tblW w:w="9453"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771"/>
        <w:gridCol w:w="1309"/>
        <w:gridCol w:w="6373"/>
      </w:tblGrid>
      <w:tr w14:paraId="19AC9F6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atLeast"/>
          <w:jc w:val="center"/>
        </w:trPr>
        <w:tc>
          <w:tcPr>
            <w:tcW w:w="1771" w:type="dxa"/>
            <w:vAlign w:val="center"/>
          </w:tcPr>
          <w:p w14:paraId="32AAFF9C">
            <w:pPr>
              <w:keepNext w:val="0"/>
              <w:keepLines w:val="0"/>
              <w:pageBreakBefore w:val="0"/>
              <w:widowControl w:val="0"/>
              <w:kinsoku/>
              <w:wordWrap/>
              <w:overflowPunct/>
              <w:topLinePunct w:val="0"/>
              <w:autoSpaceDE/>
              <w:autoSpaceDN/>
              <w:bidi w:val="0"/>
              <w:spacing w:line="360" w:lineRule="exact"/>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人员</w:t>
            </w:r>
          </w:p>
        </w:tc>
        <w:tc>
          <w:tcPr>
            <w:tcW w:w="1309" w:type="dxa"/>
            <w:vAlign w:val="center"/>
          </w:tcPr>
          <w:p w14:paraId="651CE334">
            <w:pPr>
              <w:keepNext w:val="0"/>
              <w:keepLines w:val="0"/>
              <w:pageBreakBefore w:val="0"/>
              <w:widowControl w:val="0"/>
              <w:kinsoku/>
              <w:wordWrap/>
              <w:overflowPunct/>
              <w:topLinePunct w:val="0"/>
              <w:autoSpaceDE/>
              <w:autoSpaceDN/>
              <w:bidi w:val="0"/>
              <w:spacing w:line="360" w:lineRule="exact"/>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数量</w:t>
            </w:r>
            <w:r>
              <w:rPr>
                <w:rFonts w:hint="eastAsia" w:ascii="宋体" w:hAnsi="宋体" w:eastAsia="宋体" w:cs="宋体"/>
                <w:sz w:val="21"/>
                <w:szCs w:val="21"/>
                <w:highlight w:val="none"/>
              </w:rPr>
              <w:br w:type="textWrapping"/>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lang w:val="en-US" w:eastAsia="zh-CN"/>
              </w:rPr>
              <w:t>人/标段</w:t>
            </w:r>
            <w:r>
              <w:rPr>
                <w:rFonts w:hint="eastAsia" w:ascii="宋体" w:hAnsi="宋体" w:eastAsia="宋体" w:cs="宋体"/>
                <w:sz w:val="21"/>
                <w:szCs w:val="21"/>
                <w:highlight w:val="none"/>
                <w:lang w:eastAsia="zh-CN"/>
              </w:rPr>
              <w:t>）</w:t>
            </w:r>
          </w:p>
        </w:tc>
        <w:tc>
          <w:tcPr>
            <w:tcW w:w="6373" w:type="dxa"/>
            <w:vAlign w:val="center"/>
          </w:tcPr>
          <w:p w14:paraId="2045326F">
            <w:pPr>
              <w:keepNext w:val="0"/>
              <w:keepLines w:val="0"/>
              <w:pageBreakBefore w:val="0"/>
              <w:widowControl w:val="0"/>
              <w:kinsoku/>
              <w:wordWrap/>
              <w:overflowPunct/>
              <w:topLinePunct w:val="0"/>
              <w:autoSpaceDE/>
              <w:autoSpaceDN/>
              <w:bidi w:val="0"/>
              <w:spacing w:line="360" w:lineRule="exact"/>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资格要求</w:t>
            </w:r>
          </w:p>
        </w:tc>
      </w:tr>
      <w:tr w14:paraId="12D6DC2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atLeast"/>
          <w:jc w:val="center"/>
        </w:trPr>
        <w:tc>
          <w:tcPr>
            <w:tcW w:w="1771" w:type="dxa"/>
            <w:vAlign w:val="center"/>
          </w:tcPr>
          <w:p w14:paraId="0E6CB693">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工程地质勘察</w:t>
            </w:r>
          </w:p>
          <w:p w14:paraId="7BA4CBB0">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分项负责人</w:t>
            </w:r>
          </w:p>
        </w:tc>
        <w:tc>
          <w:tcPr>
            <w:tcW w:w="1309" w:type="dxa"/>
            <w:vAlign w:val="center"/>
          </w:tcPr>
          <w:p w14:paraId="7C27182B">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w:t>
            </w:r>
          </w:p>
        </w:tc>
        <w:tc>
          <w:tcPr>
            <w:tcW w:w="6373" w:type="dxa"/>
            <w:vAlign w:val="center"/>
          </w:tcPr>
          <w:p w14:paraId="02D725EE">
            <w:pPr>
              <w:keepNext w:val="0"/>
              <w:keepLines w:val="0"/>
              <w:pageBreakBefore w:val="0"/>
              <w:widowControl w:val="0"/>
              <w:kinsoku/>
              <w:wordWrap/>
              <w:overflowPunct/>
              <w:topLinePunct w:val="0"/>
              <w:autoSpaceDE/>
              <w:autoSpaceDN/>
              <w:bidi w:val="0"/>
              <w:adjustRightInd w:val="0"/>
              <w:snapToGrid w:val="0"/>
              <w:spacing w:line="360" w:lineRule="exac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投标人自有人员，高级技术职称</w:t>
            </w:r>
            <w:r>
              <w:rPr>
                <w:rFonts w:hint="eastAsia" w:ascii="宋体" w:hAnsi="宋体" w:eastAsia="宋体" w:cs="宋体"/>
                <w:sz w:val="21"/>
                <w:szCs w:val="21"/>
                <w:highlight w:val="none"/>
              </w:rPr>
              <w:t>或具有注册土木工程师（岩土）证书，公路</w:t>
            </w:r>
            <w:r>
              <w:rPr>
                <w:rFonts w:hint="eastAsia" w:ascii="宋体" w:hAnsi="宋体" w:eastAsia="宋体" w:cs="宋体"/>
                <w:color w:val="000000"/>
                <w:sz w:val="21"/>
                <w:szCs w:val="21"/>
                <w:highlight w:val="none"/>
              </w:rPr>
              <w:t>地质</w:t>
            </w:r>
            <w:r>
              <w:rPr>
                <w:rFonts w:hint="eastAsia" w:ascii="宋体" w:hAnsi="宋体" w:eastAsia="宋体" w:cs="宋体"/>
                <w:sz w:val="21"/>
                <w:szCs w:val="21"/>
                <w:highlight w:val="none"/>
              </w:rPr>
              <w:t>勘察经验5年。</w:t>
            </w:r>
          </w:p>
        </w:tc>
      </w:tr>
      <w:tr w14:paraId="6023F6F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atLeast"/>
          <w:jc w:val="center"/>
        </w:trPr>
        <w:tc>
          <w:tcPr>
            <w:tcW w:w="1771" w:type="dxa"/>
            <w:vAlign w:val="center"/>
          </w:tcPr>
          <w:p w14:paraId="57C78819">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工程造价</w:t>
            </w:r>
          </w:p>
          <w:p w14:paraId="1CBD1B13">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分项负责人</w:t>
            </w:r>
          </w:p>
        </w:tc>
        <w:tc>
          <w:tcPr>
            <w:tcW w:w="1309" w:type="dxa"/>
            <w:vAlign w:val="center"/>
          </w:tcPr>
          <w:p w14:paraId="1DC46246">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w:t>
            </w:r>
          </w:p>
        </w:tc>
        <w:tc>
          <w:tcPr>
            <w:tcW w:w="6373" w:type="dxa"/>
            <w:vAlign w:val="center"/>
          </w:tcPr>
          <w:p w14:paraId="11FADE04">
            <w:pPr>
              <w:keepNext w:val="0"/>
              <w:keepLines w:val="0"/>
              <w:pageBreakBefore w:val="0"/>
              <w:widowControl w:val="0"/>
              <w:kinsoku/>
              <w:wordWrap/>
              <w:overflowPunct/>
              <w:topLinePunct w:val="0"/>
              <w:autoSpaceDE/>
              <w:autoSpaceDN/>
              <w:bidi w:val="0"/>
              <w:adjustRightInd w:val="0"/>
              <w:snapToGrid w:val="0"/>
              <w:spacing w:line="360" w:lineRule="exac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投标人自有人员，高级技术职称</w:t>
            </w:r>
            <w:r>
              <w:rPr>
                <w:rFonts w:hint="eastAsia" w:ascii="宋体" w:hAnsi="宋体" w:eastAsia="宋体" w:cs="宋体"/>
                <w:sz w:val="21"/>
                <w:szCs w:val="21"/>
                <w:highlight w:val="none"/>
              </w:rPr>
              <w:t>，公路工程造价经验5年，持有交通运输部颁发的公路工程一级造价工程师证书。</w:t>
            </w:r>
          </w:p>
        </w:tc>
      </w:tr>
      <w:tr w14:paraId="23F5D53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atLeast"/>
          <w:jc w:val="center"/>
        </w:trPr>
        <w:tc>
          <w:tcPr>
            <w:tcW w:w="1771" w:type="dxa"/>
            <w:vAlign w:val="center"/>
          </w:tcPr>
          <w:p w14:paraId="1660C04B">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路基分项负责人</w:t>
            </w:r>
          </w:p>
        </w:tc>
        <w:tc>
          <w:tcPr>
            <w:tcW w:w="1309" w:type="dxa"/>
            <w:vAlign w:val="center"/>
          </w:tcPr>
          <w:p w14:paraId="18BDA9D5">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w:t>
            </w:r>
          </w:p>
        </w:tc>
        <w:tc>
          <w:tcPr>
            <w:tcW w:w="6373" w:type="dxa"/>
            <w:vAlign w:val="center"/>
          </w:tcPr>
          <w:p w14:paraId="3F2906C7">
            <w:pPr>
              <w:keepNext w:val="0"/>
              <w:keepLines w:val="0"/>
              <w:pageBreakBefore w:val="0"/>
              <w:widowControl w:val="0"/>
              <w:kinsoku/>
              <w:wordWrap/>
              <w:overflowPunct/>
              <w:topLinePunct w:val="0"/>
              <w:autoSpaceDE/>
              <w:autoSpaceDN/>
              <w:bidi w:val="0"/>
              <w:adjustRightInd w:val="0"/>
              <w:snapToGrid w:val="0"/>
              <w:spacing w:line="360" w:lineRule="exac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投标人自有人员，高级技术职称</w:t>
            </w:r>
            <w:r>
              <w:rPr>
                <w:rFonts w:hint="eastAsia" w:ascii="宋体" w:hAnsi="宋体" w:eastAsia="宋体" w:cs="宋体"/>
                <w:sz w:val="21"/>
                <w:szCs w:val="21"/>
                <w:highlight w:val="none"/>
              </w:rPr>
              <w:t>，公路路基设计经验5年。</w:t>
            </w:r>
          </w:p>
        </w:tc>
      </w:tr>
      <w:tr w14:paraId="36978C1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atLeast"/>
          <w:jc w:val="center"/>
        </w:trPr>
        <w:tc>
          <w:tcPr>
            <w:tcW w:w="1771" w:type="dxa"/>
            <w:vAlign w:val="center"/>
          </w:tcPr>
          <w:p w14:paraId="29006490">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路面分项负责人</w:t>
            </w:r>
          </w:p>
        </w:tc>
        <w:tc>
          <w:tcPr>
            <w:tcW w:w="1309" w:type="dxa"/>
            <w:vAlign w:val="center"/>
          </w:tcPr>
          <w:p w14:paraId="0F1E9ECA">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w:t>
            </w:r>
          </w:p>
        </w:tc>
        <w:tc>
          <w:tcPr>
            <w:tcW w:w="6373" w:type="dxa"/>
            <w:vAlign w:val="center"/>
          </w:tcPr>
          <w:p w14:paraId="24BE60E2">
            <w:pPr>
              <w:keepNext w:val="0"/>
              <w:keepLines w:val="0"/>
              <w:pageBreakBefore w:val="0"/>
              <w:widowControl w:val="0"/>
              <w:kinsoku/>
              <w:wordWrap/>
              <w:overflowPunct/>
              <w:topLinePunct w:val="0"/>
              <w:autoSpaceDE/>
              <w:autoSpaceDN/>
              <w:bidi w:val="0"/>
              <w:adjustRightInd w:val="0"/>
              <w:snapToGrid w:val="0"/>
              <w:spacing w:line="360" w:lineRule="exac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投标人自有人员，高级技术职称</w:t>
            </w:r>
            <w:r>
              <w:rPr>
                <w:rFonts w:hint="eastAsia" w:ascii="宋体" w:hAnsi="宋体" w:eastAsia="宋体" w:cs="宋体"/>
                <w:sz w:val="21"/>
                <w:szCs w:val="21"/>
                <w:highlight w:val="none"/>
              </w:rPr>
              <w:t>，公路路面设计经验5年。</w:t>
            </w:r>
          </w:p>
        </w:tc>
      </w:tr>
      <w:tr w14:paraId="2797450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85" w:hRule="atLeast"/>
          <w:jc w:val="center"/>
        </w:trPr>
        <w:tc>
          <w:tcPr>
            <w:tcW w:w="1771" w:type="dxa"/>
            <w:vAlign w:val="center"/>
          </w:tcPr>
          <w:p w14:paraId="6EE69EA7">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桥梁分项负责人</w:t>
            </w:r>
          </w:p>
        </w:tc>
        <w:tc>
          <w:tcPr>
            <w:tcW w:w="1309" w:type="dxa"/>
            <w:vAlign w:val="center"/>
          </w:tcPr>
          <w:p w14:paraId="20616B60">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w:t>
            </w:r>
          </w:p>
        </w:tc>
        <w:tc>
          <w:tcPr>
            <w:tcW w:w="6373" w:type="dxa"/>
            <w:vAlign w:val="center"/>
          </w:tcPr>
          <w:p w14:paraId="5460FB58">
            <w:pPr>
              <w:keepNext w:val="0"/>
              <w:keepLines w:val="0"/>
              <w:pageBreakBefore w:val="0"/>
              <w:widowControl w:val="0"/>
              <w:kinsoku/>
              <w:wordWrap/>
              <w:overflowPunct/>
              <w:topLinePunct w:val="0"/>
              <w:autoSpaceDE/>
              <w:autoSpaceDN/>
              <w:bidi w:val="0"/>
              <w:adjustRightInd w:val="0"/>
              <w:snapToGrid w:val="0"/>
              <w:spacing w:line="360" w:lineRule="exac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投标人自有人员，高级技术职称</w:t>
            </w:r>
            <w:r>
              <w:rPr>
                <w:rFonts w:hint="eastAsia" w:ascii="宋体" w:hAnsi="宋体" w:eastAsia="宋体" w:cs="宋体"/>
                <w:sz w:val="21"/>
                <w:szCs w:val="21"/>
                <w:highlight w:val="none"/>
              </w:rPr>
              <w:t>，公路桥梁设计经验5年。</w:t>
            </w:r>
          </w:p>
        </w:tc>
      </w:tr>
      <w:tr w14:paraId="447481C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atLeast"/>
          <w:jc w:val="center"/>
        </w:trPr>
        <w:tc>
          <w:tcPr>
            <w:tcW w:w="1771" w:type="dxa"/>
            <w:shd w:val="clear" w:color="auto" w:fill="auto"/>
            <w:vAlign w:val="center"/>
          </w:tcPr>
          <w:p w14:paraId="61DF81FB">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sz w:val="21"/>
                <w:szCs w:val="21"/>
                <w:highlight w:val="none"/>
                <w:lang w:val="en-US" w:eastAsia="zh-CN"/>
              </w:rPr>
              <w:t>隧道</w:t>
            </w:r>
            <w:r>
              <w:rPr>
                <w:rFonts w:hint="eastAsia" w:ascii="宋体" w:hAnsi="宋体" w:eastAsia="宋体" w:cs="宋体"/>
                <w:sz w:val="21"/>
                <w:szCs w:val="21"/>
                <w:highlight w:val="none"/>
              </w:rPr>
              <w:t>分项负责人</w:t>
            </w:r>
          </w:p>
        </w:tc>
        <w:tc>
          <w:tcPr>
            <w:tcW w:w="1309" w:type="dxa"/>
            <w:shd w:val="clear" w:color="auto" w:fill="auto"/>
            <w:vAlign w:val="center"/>
          </w:tcPr>
          <w:p w14:paraId="3D96E5C7">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sz w:val="21"/>
                <w:szCs w:val="21"/>
                <w:highlight w:val="none"/>
              </w:rPr>
              <w:t>1</w:t>
            </w:r>
          </w:p>
        </w:tc>
        <w:tc>
          <w:tcPr>
            <w:tcW w:w="6373" w:type="dxa"/>
            <w:shd w:val="clear" w:color="auto" w:fill="auto"/>
            <w:vAlign w:val="center"/>
          </w:tcPr>
          <w:p w14:paraId="47B5452A">
            <w:pPr>
              <w:keepNext w:val="0"/>
              <w:keepLines w:val="0"/>
              <w:pageBreakBefore w:val="0"/>
              <w:widowControl w:val="0"/>
              <w:kinsoku/>
              <w:wordWrap/>
              <w:overflowPunct/>
              <w:topLinePunct w:val="0"/>
              <w:autoSpaceDE/>
              <w:autoSpaceDN/>
              <w:bidi w:val="0"/>
              <w:adjustRightInd w:val="0"/>
              <w:snapToGrid w:val="0"/>
              <w:spacing w:line="360" w:lineRule="exact"/>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sz w:val="21"/>
                <w:szCs w:val="21"/>
                <w:highlight w:val="none"/>
                <w:lang w:val="en-US" w:eastAsia="zh-CN"/>
              </w:rPr>
              <w:t>投标人自有人员，高级技术职称</w:t>
            </w:r>
            <w:r>
              <w:rPr>
                <w:rFonts w:hint="eastAsia" w:ascii="宋体" w:hAnsi="宋体" w:eastAsia="宋体" w:cs="宋体"/>
                <w:sz w:val="21"/>
                <w:szCs w:val="21"/>
                <w:highlight w:val="none"/>
              </w:rPr>
              <w:t>，公路</w:t>
            </w:r>
            <w:r>
              <w:rPr>
                <w:rFonts w:hint="eastAsia" w:ascii="宋体" w:hAnsi="宋体" w:eastAsia="宋体" w:cs="宋体"/>
                <w:sz w:val="21"/>
                <w:szCs w:val="21"/>
                <w:highlight w:val="none"/>
                <w:lang w:val="en-US" w:eastAsia="zh-CN"/>
              </w:rPr>
              <w:t>隧道</w:t>
            </w:r>
            <w:r>
              <w:rPr>
                <w:rFonts w:hint="eastAsia" w:ascii="宋体" w:hAnsi="宋体" w:eastAsia="宋体" w:cs="宋体"/>
                <w:sz w:val="21"/>
                <w:szCs w:val="21"/>
                <w:highlight w:val="none"/>
              </w:rPr>
              <w:t>设计经验5年。</w:t>
            </w:r>
          </w:p>
        </w:tc>
      </w:tr>
      <w:tr w14:paraId="2E77E18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atLeast"/>
          <w:jc w:val="center"/>
        </w:trPr>
        <w:tc>
          <w:tcPr>
            <w:tcW w:w="1771" w:type="dxa"/>
            <w:vAlign w:val="center"/>
          </w:tcPr>
          <w:p w14:paraId="56E22A64">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机电分项负责人</w:t>
            </w:r>
          </w:p>
        </w:tc>
        <w:tc>
          <w:tcPr>
            <w:tcW w:w="1309" w:type="dxa"/>
            <w:vAlign w:val="center"/>
          </w:tcPr>
          <w:p w14:paraId="3D811DB6">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w:t>
            </w:r>
          </w:p>
        </w:tc>
        <w:tc>
          <w:tcPr>
            <w:tcW w:w="6373" w:type="dxa"/>
            <w:vAlign w:val="center"/>
          </w:tcPr>
          <w:p w14:paraId="1D5DB1BA">
            <w:pPr>
              <w:keepNext w:val="0"/>
              <w:keepLines w:val="0"/>
              <w:pageBreakBefore w:val="0"/>
              <w:widowControl w:val="0"/>
              <w:kinsoku/>
              <w:wordWrap/>
              <w:overflowPunct/>
              <w:topLinePunct w:val="0"/>
              <w:autoSpaceDE/>
              <w:autoSpaceDN/>
              <w:bidi w:val="0"/>
              <w:adjustRightInd w:val="0"/>
              <w:snapToGrid w:val="0"/>
              <w:spacing w:line="360" w:lineRule="exac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投标人自有人员，高级技术职称</w:t>
            </w:r>
            <w:r>
              <w:rPr>
                <w:rFonts w:hint="eastAsia" w:ascii="宋体" w:hAnsi="宋体" w:eastAsia="宋体" w:cs="宋体"/>
                <w:sz w:val="21"/>
                <w:szCs w:val="21"/>
                <w:highlight w:val="none"/>
              </w:rPr>
              <w:t>，公路机电工程设计经验5年。</w:t>
            </w:r>
          </w:p>
        </w:tc>
      </w:tr>
      <w:tr w14:paraId="7767DFD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atLeast"/>
          <w:jc w:val="center"/>
        </w:trPr>
        <w:tc>
          <w:tcPr>
            <w:tcW w:w="1771" w:type="dxa"/>
            <w:vAlign w:val="center"/>
          </w:tcPr>
          <w:p w14:paraId="48147B72">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交通安全设施</w:t>
            </w:r>
            <w:r>
              <w:rPr>
                <w:rFonts w:hint="eastAsia" w:ascii="宋体" w:hAnsi="宋体" w:eastAsia="宋体" w:cs="宋体"/>
                <w:sz w:val="21"/>
                <w:szCs w:val="21"/>
                <w:highlight w:val="none"/>
              </w:rPr>
              <w:br w:type="textWrapping"/>
            </w:r>
            <w:r>
              <w:rPr>
                <w:rFonts w:hint="eastAsia" w:ascii="宋体" w:hAnsi="宋体" w:eastAsia="宋体" w:cs="宋体"/>
                <w:sz w:val="21"/>
                <w:szCs w:val="21"/>
                <w:highlight w:val="none"/>
              </w:rPr>
              <w:t>分项负责人</w:t>
            </w:r>
          </w:p>
        </w:tc>
        <w:tc>
          <w:tcPr>
            <w:tcW w:w="1309" w:type="dxa"/>
            <w:vAlign w:val="center"/>
          </w:tcPr>
          <w:p w14:paraId="54D0981C">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w:t>
            </w:r>
          </w:p>
        </w:tc>
        <w:tc>
          <w:tcPr>
            <w:tcW w:w="6373" w:type="dxa"/>
            <w:vAlign w:val="center"/>
          </w:tcPr>
          <w:p w14:paraId="61683FE3">
            <w:pPr>
              <w:keepNext w:val="0"/>
              <w:keepLines w:val="0"/>
              <w:pageBreakBefore w:val="0"/>
              <w:widowControl w:val="0"/>
              <w:kinsoku/>
              <w:wordWrap/>
              <w:overflowPunct/>
              <w:topLinePunct w:val="0"/>
              <w:autoSpaceDE/>
              <w:autoSpaceDN/>
              <w:bidi w:val="0"/>
              <w:adjustRightInd w:val="0"/>
              <w:snapToGrid w:val="0"/>
              <w:spacing w:line="360" w:lineRule="exac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投标人自有人员，高级技术职称</w:t>
            </w:r>
            <w:r>
              <w:rPr>
                <w:rFonts w:hint="eastAsia" w:ascii="宋体" w:hAnsi="宋体" w:eastAsia="宋体" w:cs="宋体"/>
                <w:sz w:val="21"/>
                <w:szCs w:val="21"/>
                <w:highlight w:val="none"/>
              </w:rPr>
              <w:t>，公路安全设施设计经验5年。</w:t>
            </w:r>
          </w:p>
        </w:tc>
      </w:tr>
      <w:tr w14:paraId="687393B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atLeast"/>
          <w:jc w:val="center"/>
        </w:trPr>
        <w:tc>
          <w:tcPr>
            <w:tcW w:w="1771" w:type="dxa"/>
            <w:vAlign w:val="center"/>
          </w:tcPr>
          <w:p w14:paraId="67046A3E">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建筑</w:t>
            </w:r>
            <w:r>
              <w:rPr>
                <w:rFonts w:hint="eastAsia" w:ascii="宋体" w:hAnsi="宋体" w:eastAsia="宋体" w:cs="宋体"/>
                <w:sz w:val="21"/>
                <w:szCs w:val="21"/>
                <w:highlight w:val="none"/>
              </w:rPr>
              <w:t>工程</w:t>
            </w:r>
            <w:r>
              <w:rPr>
                <w:rFonts w:hint="eastAsia" w:ascii="宋体" w:hAnsi="宋体" w:eastAsia="宋体" w:cs="宋体"/>
                <w:sz w:val="21"/>
                <w:szCs w:val="21"/>
                <w:highlight w:val="none"/>
              </w:rPr>
              <w:br w:type="textWrapping"/>
            </w:r>
            <w:r>
              <w:rPr>
                <w:rFonts w:hint="eastAsia" w:ascii="宋体" w:hAnsi="宋体" w:eastAsia="宋体" w:cs="宋体"/>
                <w:sz w:val="21"/>
                <w:szCs w:val="21"/>
                <w:highlight w:val="none"/>
              </w:rPr>
              <w:t>分项负责人</w:t>
            </w:r>
          </w:p>
        </w:tc>
        <w:tc>
          <w:tcPr>
            <w:tcW w:w="1309" w:type="dxa"/>
            <w:vAlign w:val="center"/>
          </w:tcPr>
          <w:p w14:paraId="2F6CACA8">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w:t>
            </w:r>
          </w:p>
        </w:tc>
        <w:tc>
          <w:tcPr>
            <w:tcW w:w="6373" w:type="dxa"/>
            <w:vAlign w:val="center"/>
          </w:tcPr>
          <w:p w14:paraId="77288497">
            <w:pPr>
              <w:keepNext w:val="0"/>
              <w:keepLines w:val="0"/>
              <w:pageBreakBefore w:val="0"/>
              <w:widowControl w:val="0"/>
              <w:kinsoku/>
              <w:wordWrap/>
              <w:overflowPunct/>
              <w:topLinePunct w:val="0"/>
              <w:autoSpaceDE/>
              <w:autoSpaceDN/>
              <w:bidi w:val="0"/>
              <w:adjustRightInd w:val="0"/>
              <w:snapToGrid w:val="0"/>
              <w:spacing w:line="360" w:lineRule="exac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投标人自有人员，高级技术职称</w:t>
            </w:r>
            <w:r>
              <w:rPr>
                <w:rFonts w:hint="eastAsia" w:ascii="宋体" w:hAnsi="宋体" w:eastAsia="宋体" w:cs="宋体"/>
                <w:sz w:val="21"/>
                <w:szCs w:val="21"/>
                <w:highlight w:val="none"/>
              </w:rPr>
              <w:t>，</w:t>
            </w:r>
            <w:r>
              <w:rPr>
                <w:rFonts w:hint="eastAsia" w:ascii="宋体" w:hAnsi="宋体" w:eastAsia="宋体" w:cs="宋体"/>
                <w:sz w:val="21"/>
                <w:szCs w:val="21"/>
                <w:highlight w:val="none"/>
                <w:lang w:val="en-US" w:eastAsia="zh-CN"/>
              </w:rPr>
              <w:t>建筑</w:t>
            </w:r>
            <w:r>
              <w:rPr>
                <w:rFonts w:hint="eastAsia" w:ascii="宋体" w:hAnsi="宋体" w:eastAsia="宋体" w:cs="宋体"/>
                <w:sz w:val="21"/>
                <w:szCs w:val="21"/>
                <w:highlight w:val="none"/>
              </w:rPr>
              <w:t>工程设计经验5年。</w:t>
            </w:r>
          </w:p>
        </w:tc>
      </w:tr>
      <w:tr w14:paraId="0507349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atLeast"/>
          <w:jc w:val="center"/>
        </w:trPr>
        <w:tc>
          <w:tcPr>
            <w:tcW w:w="1771" w:type="dxa"/>
            <w:vAlign w:val="center"/>
          </w:tcPr>
          <w:p w14:paraId="34F67486">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后续服务负责人</w:t>
            </w:r>
          </w:p>
        </w:tc>
        <w:tc>
          <w:tcPr>
            <w:tcW w:w="1309" w:type="dxa"/>
            <w:vAlign w:val="center"/>
          </w:tcPr>
          <w:p w14:paraId="6DE1167D">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2</w:t>
            </w:r>
          </w:p>
        </w:tc>
        <w:tc>
          <w:tcPr>
            <w:tcW w:w="6373" w:type="dxa"/>
            <w:vAlign w:val="center"/>
          </w:tcPr>
          <w:p w14:paraId="6F28A322">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必须由本标段的项目负责人或分项负责人担任。</w:t>
            </w:r>
          </w:p>
        </w:tc>
      </w:tr>
    </w:tbl>
    <w:p w14:paraId="175C371E">
      <w:pPr>
        <w:keepLines w:val="0"/>
        <w:pageBreakBefore w:val="0"/>
        <w:kinsoku/>
        <w:wordWrap/>
        <w:overflowPunct/>
        <w:topLinePunct w:val="0"/>
        <w:autoSpaceDE/>
        <w:autoSpaceDN/>
        <w:bidi w:val="0"/>
        <w:spacing w:before="100" w:beforeAutospacing="1" w:line="360" w:lineRule="exact"/>
        <w:jc w:val="center"/>
        <w:outlineLvl w:val="2"/>
        <w:rPr>
          <w:rFonts w:hint="eastAsia" w:ascii="宋体" w:hAnsi="宋体" w:eastAsia="宋体" w:cs="宋体"/>
          <w:b/>
          <w:sz w:val="21"/>
          <w:szCs w:val="21"/>
          <w:highlight w:val="none"/>
        </w:rPr>
      </w:pPr>
      <w:r>
        <w:rPr>
          <w:rFonts w:hint="eastAsia" w:ascii="宋体" w:hAnsi="宋体" w:eastAsia="宋体" w:cs="宋体"/>
          <w:b/>
          <w:sz w:val="21"/>
          <w:szCs w:val="21"/>
          <w:highlight w:val="none"/>
        </w:rPr>
        <w:br w:type="page"/>
      </w:r>
      <w:bookmarkEnd w:id="7"/>
    </w:p>
    <w:p w14:paraId="758E9DB7">
      <w:pPr>
        <w:keepLines w:val="0"/>
        <w:pageBreakBefore w:val="0"/>
        <w:widowControl/>
        <w:numPr>
          <w:ilvl w:val="0"/>
          <w:numId w:val="1"/>
        </w:numPr>
        <w:kinsoku/>
        <w:wordWrap/>
        <w:overflowPunct/>
        <w:topLinePunct w:val="0"/>
        <w:autoSpaceDE/>
        <w:autoSpaceDN/>
        <w:bidi w:val="0"/>
        <w:spacing w:line="360" w:lineRule="exact"/>
        <w:jc w:val="left"/>
        <w:rPr>
          <w:rFonts w:hint="eastAsia" w:ascii="宋体" w:hAnsi="宋体" w:eastAsia="宋体" w:cs="宋体"/>
          <w:b/>
          <w:sz w:val="21"/>
          <w:szCs w:val="21"/>
          <w:highlight w:val="none"/>
        </w:rPr>
      </w:pPr>
      <w:r>
        <w:rPr>
          <w:rFonts w:hint="eastAsia" w:ascii="宋体" w:hAnsi="宋体" w:eastAsia="宋体" w:cs="宋体"/>
          <w:b/>
          <w:sz w:val="21"/>
          <w:szCs w:val="21"/>
          <w:highlight w:val="none"/>
        </w:rPr>
        <w:t>评标办法</w:t>
      </w:r>
    </w:p>
    <w:p w14:paraId="2BB3F7EA">
      <w:pPr>
        <w:keepLines w:val="0"/>
        <w:pageBreakBefore w:val="0"/>
        <w:widowControl/>
        <w:numPr>
          <w:ilvl w:val="0"/>
          <w:numId w:val="0"/>
        </w:numPr>
        <w:kinsoku/>
        <w:wordWrap/>
        <w:overflowPunct/>
        <w:topLinePunct w:val="0"/>
        <w:autoSpaceDE/>
        <w:autoSpaceDN/>
        <w:bidi w:val="0"/>
        <w:spacing w:line="360" w:lineRule="exact"/>
        <w:jc w:val="center"/>
        <w:rPr>
          <w:rFonts w:hint="eastAsia" w:ascii="宋体" w:hAnsi="宋体" w:eastAsia="宋体" w:cs="宋体"/>
          <w:b/>
          <w:bCs/>
          <w:w w:val="102"/>
          <w:sz w:val="21"/>
          <w:szCs w:val="21"/>
          <w:highlight w:val="none"/>
        </w:rPr>
      </w:pPr>
      <w:r>
        <w:rPr>
          <w:rFonts w:hint="eastAsia" w:ascii="宋体" w:hAnsi="宋体" w:eastAsia="宋体" w:cs="宋体"/>
          <w:b/>
          <w:bCs/>
          <w:w w:val="102"/>
          <w:sz w:val="21"/>
          <w:szCs w:val="21"/>
          <w:highlight w:val="none"/>
        </w:rPr>
        <w:t>评标办法（综合评估法）</w:t>
      </w:r>
    </w:p>
    <w:p w14:paraId="6E681761">
      <w:pPr>
        <w:keepLines w:val="0"/>
        <w:kinsoku/>
        <w:wordWrap/>
        <w:overflowPunct/>
        <w:topLinePunct w:val="0"/>
        <w:autoSpaceDE/>
        <w:autoSpaceDN/>
        <w:bidi w:val="0"/>
        <w:spacing w:line="360" w:lineRule="exact"/>
        <w:rPr>
          <w:rFonts w:hint="eastAsia" w:ascii="宋体" w:hAnsi="宋体" w:eastAsia="宋体" w:cs="宋体"/>
          <w:b/>
          <w:bCs/>
          <w:w w:val="105"/>
          <w:sz w:val="21"/>
          <w:szCs w:val="21"/>
          <w:highlight w:val="none"/>
        </w:rPr>
      </w:pPr>
      <w:r>
        <w:rPr>
          <w:rFonts w:hint="eastAsia" w:ascii="宋体" w:hAnsi="宋体" w:eastAsia="宋体" w:cs="宋体"/>
          <w:b/>
          <w:bCs/>
          <w:w w:val="105"/>
          <w:sz w:val="21"/>
          <w:szCs w:val="21"/>
          <w:highlight w:val="none"/>
        </w:rPr>
        <w:t>评标办法前附表</w:t>
      </w:r>
    </w:p>
    <w:tbl>
      <w:tblPr>
        <w:tblStyle w:val="6"/>
        <w:tblW w:w="9562"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853"/>
        <w:gridCol w:w="1173"/>
        <w:gridCol w:w="7536"/>
      </w:tblGrid>
      <w:tr w14:paraId="32610D5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blHeader/>
          <w:jc w:val="center"/>
        </w:trPr>
        <w:tc>
          <w:tcPr>
            <w:tcW w:w="2026" w:type="dxa"/>
            <w:gridSpan w:val="2"/>
            <w:shd w:val="clear" w:color="auto" w:fill="auto"/>
            <w:vAlign w:val="center"/>
          </w:tcPr>
          <w:p w14:paraId="1D213532">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条款号</w:t>
            </w:r>
          </w:p>
        </w:tc>
        <w:tc>
          <w:tcPr>
            <w:tcW w:w="7536" w:type="dxa"/>
            <w:shd w:val="clear" w:color="auto" w:fill="auto"/>
            <w:vAlign w:val="center"/>
          </w:tcPr>
          <w:p w14:paraId="38DC70F2">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评审因素与评审标准</w:t>
            </w:r>
          </w:p>
        </w:tc>
      </w:tr>
      <w:tr w14:paraId="630F527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853" w:type="dxa"/>
            <w:shd w:val="clear" w:color="auto" w:fill="auto"/>
            <w:vAlign w:val="center"/>
          </w:tcPr>
          <w:p w14:paraId="24493249">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w:t>
            </w:r>
          </w:p>
        </w:tc>
        <w:tc>
          <w:tcPr>
            <w:tcW w:w="1173" w:type="dxa"/>
            <w:shd w:val="clear" w:color="auto" w:fill="auto"/>
            <w:vAlign w:val="center"/>
          </w:tcPr>
          <w:p w14:paraId="0733A57C">
            <w:pPr>
              <w:keepNext w:val="0"/>
              <w:keepLines w:val="0"/>
              <w:pageBreakBefore w:val="0"/>
              <w:widowControl w:val="0"/>
              <w:tabs>
                <w:tab w:val="left" w:pos="735"/>
              </w:tabs>
              <w:kinsoku/>
              <w:wordWrap/>
              <w:overflowPunct/>
              <w:topLinePunct w:val="0"/>
              <w:autoSpaceDE/>
              <w:autoSpaceDN/>
              <w:bidi w:val="0"/>
              <w:adjustRightInd/>
              <w:snapToGrid/>
              <w:spacing w:line="360" w:lineRule="exact"/>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评标方法</w:t>
            </w:r>
          </w:p>
        </w:tc>
        <w:tc>
          <w:tcPr>
            <w:tcW w:w="7536" w:type="dxa"/>
            <w:shd w:val="clear" w:color="auto" w:fill="auto"/>
          </w:tcPr>
          <w:p w14:paraId="2A5C2284">
            <w:pPr>
              <w:pStyle w:val="13"/>
              <w:keepNext w:val="0"/>
              <w:keepLines w:val="0"/>
              <w:pageBreakBefore w:val="0"/>
              <w:widowControl w:val="0"/>
              <w:shd w:val="clear" w:color="auto" w:fill="auto"/>
              <w:tabs>
                <w:tab w:val="left" w:pos="735"/>
              </w:tabs>
              <w:kinsoku/>
              <w:wordWrap/>
              <w:overflowPunct/>
              <w:topLinePunct w:val="0"/>
              <w:autoSpaceDE/>
              <w:autoSpaceDN/>
              <w:bidi w:val="0"/>
              <w:adjustRightInd/>
              <w:snapToGrid/>
              <w:spacing w:before="0" w:line="360" w:lineRule="exact"/>
              <w:ind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综合评分相等时，评标委员会依次按照以下优先顺序推荐中标候选人：</w:t>
            </w:r>
          </w:p>
          <w:p w14:paraId="3B43418B">
            <w:pPr>
              <w:pStyle w:val="13"/>
              <w:keepNext w:val="0"/>
              <w:keepLines w:val="0"/>
              <w:pageBreakBefore w:val="0"/>
              <w:widowControl w:val="0"/>
              <w:shd w:val="clear" w:color="auto" w:fill="auto"/>
              <w:tabs>
                <w:tab w:val="left" w:pos="735"/>
                <w:tab w:val="left" w:pos="1070"/>
              </w:tabs>
              <w:kinsoku/>
              <w:wordWrap/>
              <w:overflowPunct/>
              <w:topLinePunct w:val="0"/>
              <w:autoSpaceDE/>
              <w:autoSpaceDN/>
              <w:bidi w:val="0"/>
              <w:adjustRightInd/>
              <w:snapToGrid/>
              <w:spacing w:before="0" w:line="360" w:lineRule="exact"/>
              <w:ind w:firstLine="420" w:firstLineChars="20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（1）评标价低的投标人优先；</w:t>
            </w:r>
          </w:p>
          <w:p w14:paraId="6E8ED529">
            <w:pPr>
              <w:pStyle w:val="13"/>
              <w:keepNext w:val="0"/>
              <w:keepLines w:val="0"/>
              <w:pageBreakBefore w:val="0"/>
              <w:widowControl w:val="0"/>
              <w:shd w:val="clear" w:color="auto" w:fill="auto"/>
              <w:tabs>
                <w:tab w:val="left" w:pos="735"/>
                <w:tab w:val="left" w:pos="1078"/>
              </w:tabs>
              <w:kinsoku/>
              <w:wordWrap/>
              <w:overflowPunct/>
              <w:topLinePunct w:val="0"/>
              <w:autoSpaceDE/>
              <w:autoSpaceDN/>
              <w:bidi w:val="0"/>
              <w:adjustRightInd/>
              <w:snapToGrid/>
              <w:spacing w:before="0" w:line="360" w:lineRule="exact"/>
              <w:ind w:firstLine="420" w:firstLineChars="20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（2）</w:t>
            </w:r>
            <w:r>
              <w:rPr>
                <w:rFonts w:hint="eastAsia" w:ascii="宋体" w:hAnsi="宋体" w:eastAsia="宋体" w:cs="宋体"/>
                <w:bCs/>
                <w:sz w:val="21"/>
                <w:szCs w:val="21"/>
                <w:highlight w:val="none"/>
              </w:rPr>
              <w:t>信誉</w:t>
            </w:r>
            <w:r>
              <w:rPr>
                <w:rFonts w:hint="eastAsia" w:ascii="宋体" w:hAnsi="宋体" w:eastAsia="宋体" w:cs="宋体"/>
                <w:sz w:val="21"/>
                <w:szCs w:val="21"/>
                <w:highlight w:val="none"/>
              </w:rPr>
              <w:t>得分较高的投标人优先；</w:t>
            </w:r>
          </w:p>
          <w:p w14:paraId="6C73FF09">
            <w:pPr>
              <w:keepNext w:val="0"/>
              <w:keepLines w:val="0"/>
              <w:pageBreakBefore w:val="0"/>
              <w:widowControl w:val="0"/>
              <w:tabs>
                <w:tab w:val="left" w:pos="735"/>
              </w:tabs>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bCs/>
                <w:sz w:val="21"/>
                <w:szCs w:val="21"/>
                <w:highlight w:val="none"/>
              </w:rPr>
            </w:pPr>
            <w:r>
              <w:rPr>
                <w:rFonts w:hint="eastAsia" w:ascii="宋体" w:hAnsi="宋体" w:eastAsia="宋体" w:cs="宋体"/>
                <w:bCs/>
                <w:sz w:val="21"/>
                <w:szCs w:val="21"/>
                <w:highlight w:val="none"/>
              </w:rPr>
              <w:t>（3）评标委员会投票决定。</w:t>
            </w:r>
          </w:p>
        </w:tc>
      </w:tr>
      <w:tr w14:paraId="22D91B9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853" w:type="dxa"/>
            <w:shd w:val="clear" w:color="auto" w:fill="auto"/>
            <w:vAlign w:val="center"/>
          </w:tcPr>
          <w:p w14:paraId="792B4873">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2.1.1</w:t>
            </w:r>
          </w:p>
          <w:p w14:paraId="0B3DF190">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2.1.3</w:t>
            </w:r>
          </w:p>
        </w:tc>
        <w:tc>
          <w:tcPr>
            <w:tcW w:w="1173" w:type="dxa"/>
            <w:shd w:val="clear" w:color="auto" w:fill="auto"/>
            <w:vAlign w:val="center"/>
          </w:tcPr>
          <w:p w14:paraId="719B6684">
            <w:pPr>
              <w:keepNext w:val="0"/>
              <w:keepLines w:val="0"/>
              <w:pageBreakBefore w:val="0"/>
              <w:widowControl w:val="0"/>
              <w:tabs>
                <w:tab w:val="left" w:pos="735"/>
              </w:tabs>
              <w:kinsoku/>
              <w:wordWrap/>
              <w:overflowPunct/>
              <w:topLinePunct w:val="0"/>
              <w:autoSpaceDE/>
              <w:autoSpaceDN/>
              <w:bidi w:val="0"/>
              <w:adjustRightInd/>
              <w:snapToGrid/>
              <w:spacing w:line="360" w:lineRule="exact"/>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形式评审与响应性评审标准</w:t>
            </w:r>
          </w:p>
        </w:tc>
        <w:tc>
          <w:tcPr>
            <w:tcW w:w="7536" w:type="dxa"/>
            <w:shd w:val="clear" w:color="auto" w:fill="auto"/>
          </w:tcPr>
          <w:p w14:paraId="66C8FCF6">
            <w:pPr>
              <w:pStyle w:val="13"/>
              <w:keepNext w:val="0"/>
              <w:keepLines w:val="0"/>
              <w:pageBreakBefore w:val="0"/>
              <w:widowControl w:val="0"/>
              <w:shd w:val="clear" w:color="auto" w:fill="auto"/>
              <w:tabs>
                <w:tab w:val="left" w:pos="735"/>
              </w:tabs>
              <w:kinsoku/>
              <w:wordWrap/>
              <w:overflowPunct/>
              <w:topLinePunct w:val="0"/>
              <w:autoSpaceDE/>
              <w:autoSpaceDN/>
              <w:bidi w:val="0"/>
              <w:adjustRightInd/>
              <w:snapToGrid/>
              <w:spacing w:before="0" w:line="360" w:lineRule="exact"/>
              <w:jc w:val="both"/>
              <w:textAlignment w:val="auto"/>
              <w:rPr>
                <w:rFonts w:hint="eastAsia" w:ascii="宋体" w:hAnsi="宋体" w:eastAsia="宋体" w:cs="宋体"/>
                <w:sz w:val="21"/>
                <w:szCs w:val="21"/>
                <w:highlight w:val="none"/>
              </w:rPr>
            </w:pPr>
            <w:r>
              <w:rPr>
                <w:rFonts w:hint="eastAsia" w:ascii="宋体" w:hAnsi="宋体" w:eastAsia="宋体" w:cs="宋体"/>
                <w:bCs/>
                <w:sz w:val="21"/>
                <w:szCs w:val="21"/>
                <w:highlight w:val="none"/>
              </w:rPr>
              <w:t>第一个信封（商务及技术文件）评审标准：</w:t>
            </w:r>
          </w:p>
          <w:p w14:paraId="123E3B50">
            <w:pPr>
              <w:pStyle w:val="13"/>
              <w:keepNext w:val="0"/>
              <w:keepLines w:val="0"/>
              <w:pageBreakBefore w:val="0"/>
              <w:widowControl w:val="0"/>
              <w:shd w:val="clear" w:color="auto" w:fill="auto"/>
              <w:tabs>
                <w:tab w:val="left" w:pos="735"/>
                <w:tab w:val="left" w:pos="946"/>
              </w:tabs>
              <w:kinsoku/>
              <w:wordWrap/>
              <w:overflowPunct/>
              <w:topLinePunct w:val="0"/>
              <w:autoSpaceDE/>
              <w:autoSpaceDN/>
              <w:bidi w:val="0"/>
              <w:adjustRightInd/>
              <w:snapToGrid/>
              <w:spacing w:before="0" w:line="360" w:lineRule="exact"/>
              <w:ind w:firstLine="420" w:firstLineChars="20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（1）投标文件按照招标文件规定的格式、内容填写，字迹清晰可辨：</w:t>
            </w:r>
          </w:p>
          <w:p w14:paraId="0643EA21">
            <w:pPr>
              <w:pStyle w:val="13"/>
              <w:keepNext w:val="0"/>
              <w:keepLines w:val="0"/>
              <w:pageBreakBefore w:val="0"/>
              <w:widowControl w:val="0"/>
              <w:shd w:val="clear" w:color="auto" w:fill="auto"/>
              <w:tabs>
                <w:tab w:val="left" w:pos="566"/>
                <w:tab w:val="left" w:pos="735"/>
              </w:tabs>
              <w:kinsoku/>
              <w:wordWrap/>
              <w:overflowPunct/>
              <w:topLinePunct w:val="0"/>
              <w:autoSpaceDE/>
              <w:autoSpaceDN/>
              <w:bidi w:val="0"/>
              <w:adjustRightInd/>
              <w:snapToGrid/>
              <w:spacing w:before="0" w:line="360" w:lineRule="exact"/>
              <w:ind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a.投标函按招标文件规定填报了项目名称、标段号、补遗书编号（如有</w:t>
            </w:r>
            <w:r>
              <w:rPr>
                <w:rFonts w:hint="eastAsia" w:eastAsia="宋体" w:cs="宋体"/>
                <w:sz w:val="21"/>
                <w:szCs w:val="21"/>
                <w:highlight w:val="none"/>
                <w:lang w:eastAsia="zh-CN"/>
              </w:rPr>
              <w:t>）</w:t>
            </w:r>
            <w:r>
              <w:rPr>
                <w:rFonts w:hint="eastAsia" w:ascii="宋体" w:hAnsi="宋体" w:eastAsia="宋体" w:cs="宋体"/>
                <w:sz w:val="21"/>
                <w:szCs w:val="21"/>
                <w:highlight w:val="none"/>
              </w:rPr>
              <w:t>、勘察设计服务期限、工程质量要求及安全目标；</w:t>
            </w:r>
          </w:p>
          <w:p w14:paraId="456EECCC">
            <w:pPr>
              <w:pStyle w:val="13"/>
              <w:keepNext w:val="0"/>
              <w:keepLines w:val="0"/>
              <w:pageBreakBefore w:val="0"/>
              <w:widowControl w:val="0"/>
              <w:shd w:val="clear" w:color="auto" w:fill="auto"/>
              <w:tabs>
                <w:tab w:val="left" w:pos="168"/>
                <w:tab w:val="left" w:pos="735"/>
              </w:tabs>
              <w:kinsoku/>
              <w:wordWrap/>
              <w:overflowPunct/>
              <w:topLinePunct w:val="0"/>
              <w:autoSpaceDE/>
              <w:autoSpaceDN/>
              <w:bidi w:val="0"/>
              <w:adjustRightInd/>
              <w:snapToGrid/>
              <w:spacing w:before="0" w:line="360" w:lineRule="exact"/>
              <w:ind w:firstLine="420" w:firstLineChars="20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b.投标文件组成齐全完整，内容均按规定填写。</w:t>
            </w:r>
          </w:p>
          <w:p w14:paraId="5B33CADF">
            <w:pPr>
              <w:pStyle w:val="13"/>
              <w:keepNext w:val="0"/>
              <w:keepLines w:val="0"/>
              <w:pageBreakBefore w:val="0"/>
              <w:widowControl w:val="0"/>
              <w:shd w:val="clear" w:color="auto" w:fill="auto"/>
              <w:tabs>
                <w:tab w:val="left" w:pos="735"/>
                <w:tab w:val="left" w:pos="948"/>
              </w:tabs>
              <w:kinsoku/>
              <w:wordWrap/>
              <w:overflowPunct/>
              <w:topLinePunct w:val="0"/>
              <w:autoSpaceDE/>
              <w:autoSpaceDN/>
              <w:bidi w:val="0"/>
              <w:adjustRightInd/>
              <w:snapToGrid/>
              <w:spacing w:before="0" w:line="360" w:lineRule="exact"/>
              <w:ind w:firstLine="420" w:firstLineChars="20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（2）投标文件上法定代表人或其委托代理人的签字、投标人的单位章盖章齐全，符合招标文件规定。</w:t>
            </w:r>
          </w:p>
          <w:p w14:paraId="57B6AB8B">
            <w:pPr>
              <w:pStyle w:val="13"/>
              <w:keepNext w:val="0"/>
              <w:keepLines w:val="0"/>
              <w:pageBreakBefore w:val="0"/>
              <w:widowControl w:val="0"/>
              <w:shd w:val="clear" w:color="auto" w:fill="auto"/>
              <w:tabs>
                <w:tab w:val="left" w:pos="735"/>
                <w:tab w:val="left" w:pos="948"/>
              </w:tabs>
              <w:kinsoku/>
              <w:wordWrap/>
              <w:overflowPunct/>
              <w:topLinePunct w:val="0"/>
              <w:autoSpaceDE/>
              <w:autoSpaceDN/>
              <w:bidi w:val="0"/>
              <w:adjustRightInd/>
              <w:snapToGrid/>
              <w:spacing w:before="0" w:line="360" w:lineRule="exact"/>
              <w:ind w:firstLine="420" w:firstLineChars="20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（3）投标人按照招标文件的规定提供了投标保证金：</w:t>
            </w:r>
          </w:p>
          <w:p w14:paraId="314D934C">
            <w:pPr>
              <w:keepNext w:val="0"/>
              <w:keepLines w:val="0"/>
              <w:pageBreakBefore w:val="0"/>
              <w:widowControl w:val="0"/>
              <w:tabs>
                <w:tab w:val="left" w:pos="735"/>
              </w:tabs>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a</w:t>
            </w:r>
            <w:r>
              <w:rPr>
                <w:rFonts w:hint="eastAsia" w:ascii="宋体" w:hAnsi="宋体" w:eastAsia="宋体" w:cs="宋体"/>
                <w:bCs/>
                <w:sz w:val="21"/>
                <w:szCs w:val="21"/>
                <w:highlight w:val="none"/>
              </w:rPr>
              <w:t>.</w:t>
            </w:r>
            <w:r>
              <w:rPr>
                <w:rFonts w:hint="eastAsia" w:ascii="宋体" w:hAnsi="宋体" w:eastAsia="宋体" w:cs="宋体"/>
                <w:sz w:val="21"/>
                <w:szCs w:val="21"/>
                <w:highlight w:val="none"/>
              </w:rPr>
              <w:t>投标保证金金额符合招标文件规定的金额，且投标保证金有效期不少于投标有效期；</w:t>
            </w:r>
          </w:p>
          <w:p w14:paraId="7D159E6F">
            <w:pPr>
              <w:pStyle w:val="13"/>
              <w:keepNext w:val="0"/>
              <w:keepLines w:val="0"/>
              <w:pageBreakBefore w:val="0"/>
              <w:widowControl w:val="0"/>
              <w:shd w:val="clear" w:color="auto" w:fill="auto"/>
              <w:kinsoku/>
              <w:wordWrap/>
              <w:overflowPunct/>
              <w:topLinePunct w:val="0"/>
              <w:autoSpaceDE/>
              <w:autoSpaceDN/>
              <w:bidi w:val="0"/>
              <w:adjustRightInd/>
              <w:snapToGrid/>
              <w:spacing w:before="0" w:line="360" w:lineRule="exact"/>
              <w:ind w:firstLine="420" w:firstLineChars="200"/>
              <w:jc w:val="both"/>
              <w:textAlignment w:val="auto"/>
              <w:rPr>
                <w:rFonts w:hint="eastAsia" w:ascii="宋体" w:hAnsi="宋体" w:eastAsia="宋体" w:cs="宋体"/>
                <w:sz w:val="21"/>
                <w:szCs w:val="21"/>
                <w:highlight w:val="none"/>
              </w:rPr>
            </w:pPr>
            <w:r>
              <w:rPr>
                <w:rStyle w:val="17"/>
                <w:rFonts w:hint="eastAsia" w:ascii="宋体" w:hAnsi="宋体" w:eastAsia="宋体" w:cs="宋体"/>
                <w:color w:val="auto"/>
                <w:sz w:val="21"/>
                <w:szCs w:val="21"/>
                <w:highlight w:val="none"/>
                <w:shd w:val="clear" w:color="auto" w:fill="auto"/>
                <w:lang w:eastAsia="zh-CN"/>
              </w:rPr>
              <w:t>b.</w:t>
            </w:r>
            <w:r>
              <w:rPr>
                <w:rStyle w:val="15"/>
                <w:rFonts w:hint="eastAsia" w:ascii="宋体" w:hAnsi="宋体" w:eastAsia="宋体" w:cs="宋体"/>
                <w:color w:val="auto"/>
                <w:sz w:val="21"/>
                <w:szCs w:val="21"/>
                <w:highlight w:val="none"/>
                <w:shd w:val="clear" w:color="auto" w:fill="auto"/>
              </w:rPr>
              <w:t>若投标保证金采用现金或支票形式提交，投标人应在招标文件规定的递交截止时间之前，将投标保证金由投标人的基本账户转入招标人指定账户；</w:t>
            </w:r>
          </w:p>
          <w:p w14:paraId="586E97C1">
            <w:pPr>
              <w:pStyle w:val="13"/>
              <w:keepNext w:val="0"/>
              <w:keepLines w:val="0"/>
              <w:pageBreakBefore w:val="0"/>
              <w:widowControl w:val="0"/>
              <w:shd w:val="clear" w:color="auto" w:fill="auto"/>
              <w:kinsoku/>
              <w:wordWrap/>
              <w:overflowPunct/>
              <w:topLinePunct w:val="0"/>
              <w:autoSpaceDE/>
              <w:autoSpaceDN/>
              <w:bidi w:val="0"/>
              <w:adjustRightInd/>
              <w:snapToGrid/>
              <w:spacing w:before="0" w:line="360" w:lineRule="exact"/>
              <w:ind w:firstLine="420" w:firstLineChars="20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bidi="en-US"/>
              </w:rPr>
              <w:t>c</w:t>
            </w:r>
            <w:r>
              <w:rPr>
                <w:rFonts w:hint="eastAsia" w:ascii="宋体" w:hAnsi="宋体" w:eastAsia="宋体" w:cs="宋体"/>
                <w:b/>
                <w:bCs/>
                <w:sz w:val="21"/>
                <w:szCs w:val="21"/>
                <w:highlight w:val="none"/>
                <w:lang w:bidi="en-US"/>
              </w:rPr>
              <w:t>.</w:t>
            </w:r>
            <w:r>
              <w:rPr>
                <w:rFonts w:hint="eastAsia" w:ascii="宋体" w:hAnsi="宋体" w:eastAsia="宋体" w:cs="宋体"/>
                <w:sz w:val="21"/>
                <w:szCs w:val="21"/>
                <w:highlight w:val="none"/>
                <w:lang w:bidi="zh-TW"/>
              </w:rPr>
              <w:t>若投标保证金采用保函</w:t>
            </w:r>
            <w:r>
              <w:rPr>
                <w:rFonts w:hint="eastAsia" w:ascii="宋体" w:hAnsi="宋体" w:eastAsia="宋体" w:cs="宋体"/>
                <w:sz w:val="21"/>
                <w:szCs w:val="21"/>
                <w:highlight w:val="none"/>
                <w:lang w:eastAsia="zh-CN" w:bidi="zh-TW"/>
              </w:rPr>
              <w:t>（</w:t>
            </w:r>
            <w:r>
              <w:rPr>
                <w:rFonts w:hint="eastAsia" w:ascii="宋体" w:hAnsi="宋体" w:eastAsia="宋体" w:cs="宋体"/>
                <w:sz w:val="21"/>
                <w:szCs w:val="21"/>
                <w:highlight w:val="none"/>
                <w:lang w:val="en-US" w:eastAsia="zh-CN" w:bidi="zh-TW"/>
              </w:rPr>
              <w:t>保单</w:t>
            </w:r>
            <w:r>
              <w:rPr>
                <w:rFonts w:hint="eastAsia" w:ascii="宋体" w:hAnsi="宋体" w:eastAsia="宋体" w:cs="宋体"/>
                <w:sz w:val="21"/>
                <w:szCs w:val="21"/>
                <w:highlight w:val="none"/>
                <w:lang w:eastAsia="zh-CN" w:bidi="zh-TW"/>
              </w:rPr>
              <w:t>）</w:t>
            </w:r>
            <w:r>
              <w:rPr>
                <w:rFonts w:hint="eastAsia" w:ascii="宋体" w:hAnsi="宋体" w:eastAsia="宋体" w:cs="宋体"/>
                <w:sz w:val="21"/>
                <w:szCs w:val="21"/>
                <w:highlight w:val="none"/>
                <w:lang w:bidi="zh-TW"/>
              </w:rPr>
              <w:t>形式提交，保函</w:t>
            </w:r>
            <w:r>
              <w:rPr>
                <w:rFonts w:hint="eastAsia" w:ascii="宋体" w:hAnsi="宋体" w:eastAsia="宋体" w:cs="宋体"/>
                <w:sz w:val="21"/>
                <w:szCs w:val="21"/>
                <w:highlight w:val="none"/>
                <w:lang w:eastAsia="zh-CN" w:bidi="zh-TW"/>
              </w:rPr>
              <w:t>（</w:t>
            </w:r>
            <w:r>
              <w:rPr>
                <w:rFonts w:hint="eastAsia" w:ascii="宋体" w:hAnsi="宋体" w:eastAsia="宋体" w:cs="宋体"/>
                <w:sz w:val="21"/>
                <w:szCs w:val="21"/>
                <w:highlight w:val="none"/>
                <w:lang w:val="en-US" w:eastAsia="zh-CN" w:bidi="zh-TW"/>
              </w:rPr>
              <w:t>保单</w:t>
            </w:r>
            <w:r>
              <w:rPr>
                <w:rFonts w:hint="eastAsia" w:ascii="宋体" w:hAnsi="宋体" w:eastAsia="宋体" w:cs="宋体"/>
                <w:sz w:val="21"/>
                <w:szCs w:val="21"/>
                <w:highlight w:val="none"/>
                <w:lang w:eastAsia="zh-CN" w:bidi="zh-TW"/>
              </w:rPr>
              <w:t>）</w:t>
            </w:r>
            <w:r>
              <w:rPr>
                <w:rFonts w:hint="eastAsia" w:ascii="宋体" w:hAnsi="宋体" w:eastAsia="宋体" w:cs="宋体"/>
                <w:sz w:val="21"/>
                <w:szCs w:val="21"/>
                <w:highlight w:val="none"/>
                <w:lang w:bidi="zh-TW"/>
              </w:rPr>
              <w:t>的实质性内容</w:t>
            </w:r>
            <w:r>
              <w:rPr>
                <w:rFonts w:hint="eastAsia" w:ascii="宋体" w:hAnsi="宋体" w:eastAsia="宋体" w:cs="宋体"/>
                <w:bCs/>
                <w:sz w:val="21"/>
                <w:szCs w:val="21"/>
                <w:highlight w:val="none"/>
              </w:rPr>
              <w:t>应满足招标文件要求</w:t>
            </w:r>
            <w:r>
              <w:rPr>
                <w:rFonts w:hint="eastAsia" w:ascii="宋体" w:hAnsi="宋体" w:eastAsia="宋体" w:cs="宋体"/>
                <w:bCs/>
                <w:sz w:val="21"/>
                <w:szCs w:val="21"/>
                <w:highlight w:val="none"/>
                <w:lang w:val="zh-CN"/>
              </w:rPr>
              <w:t>。</w:t>
            </w:r>
          </w:p>
          <w:p w14:paraId="57547A8D">
            <w:pPr>
              <w:pStyle w:val="13"/>
              <w:keepNext w:val="0"/>
              <w:keepLines w:val="0"/>
              <w:pageBreakBefore w:val="0"/>
              <w:widowControl w:val="0"/>
              <w:shd w:val="clear" w:color="auto" w:fill="auto"/>
              <w:tabs>
                <w:tab w:val="left" w:pos="950"/>
              </w:tabs>
              <w:kinsoku/>
              <w:wordWrap/>
              <w:overflowPunct/>
              <w:topLinePunct w:val="0"/>
              <w:autoSpaceDE/>
              <w:autoSpaceDN/>
              <w:bidi w:val="0"/>
              <w:adjustRightInd/>
              <w:snapToGrid/>
              <w:spacing w:before="0" w:line="360" w:lineRule="exact"/>
              <w:ind w:firstLine="420" w:firstLineChars="200"/>
              <w:jc w:val="both"/>
              <w:textAlignment w:val="auto"/>
              <w:rPr>
                <w:rFonts w:hint="eastAsia" w:ascii="宋体" w:hAnsi="宋体" w:eastAsia="宋体" w:cs="宋体"/>
                <w:sz w:val="21"/>
                <w:szCs w:val="21"/>
                <w:highlight w:val="none"/>
              </w:rPr>
            </w:pPr>
            <w:r>
              <w:rPr>
                <w:rStyle w:val="15"/>
                <w:rFonts w:hint="eastAsia" w:ascii="宋体" w:hAnsi="宋体" w:eastAsia="宋体" w:cs="宋体"/>
                <w:color w:val="auto"/>
                <w:sz w:val="21"/>
                <w:szCs w:val="21"/>
                <w:highlight w:val="none"/>
                <w:shd w:val="clear" w:color="auto" w:fill="auto"/>
              </w:rPr>
              <w:t>（</w:t>
            </w:r>
            <w:r>
              <w:rPr>
                <w:rStyle w:val="15"/>
                <w:rFonts w:hint="eastAsia" w:ascii="宋体" w:hAnsi="宋体" w:eastAsia="宋体" w:cs="宋体"/>
                <w:color w:val="auto"/>
                <w:sz w:val="21"/>
                <w:szCs w:val="21"/>
                <w:highlight w:val="none"/>
                <w:shd w:val="clear" w:color="auto" w:fill="auto"/>
                <w:lang w:eastAsia="zh-CN"/>
              </w:rPr>
              <w:t>4</w:t>
            </w:r>
            <w:r>
              <w:rPr>
                <w:rStyle w:val="15"/>
                <w:rFonts w:hint="eastAsia" w:ascii="宋体" w:hAnsi="宋体" w:eastAsia="宋体" w:cs="宋体"/>
                <w:color w:val="auto"/>
                <w:sz w:val="21"/>
                <w:szCs w:val="21"/>
                <w:highlight w:val="none"/>
                <w:shd w:val="clear" w:color="auto" w:fill="auto"/>
              </w:rPr>
              <w:t>）投标人法定代表人授权委托代理人签署投标文件的，须提交授权委托书，且授权人和被授权人均在授权委托书上签名。</w:t>
            </w:r>
          </w:p>
          <w:p w14:paraId="1A78F952">
            <w:pPr>
              <w:pStyle w:val="13"/>
              <w:keepNext w:val="0"/>
              <w:keepLines w:val="0"/>
              <w:pageBreakBefore w:val="0"/>
              <w:widowControl w:val="0"/>
              <w:shd w:val="clear" w:color="auto" w:fill="auto"/>
              <w:tabs>
                <w:tab w:val="left" w:pos="948"/>
              </w:tabs>
              <w:kinsoku/>
              <w:wordWrap/>
              <w:overflowPunct/>
              <w:topLinePunct w:val="0"/>
              <w:autoSpaceDE/>
              <w:autoSpaceDN/>
              <w:bidi w:val="0"/>
              <w:adjustRightInd/>
              <w:snapToGrid/>
              <w:spacing w:before="0" w:line="360" w:lineRule="exact"/>
              <w:ind w:firstLine="420" w:firstLineChars="200"/>
              <w:jc w:val="both"/>
              <w:textAlignment w:val="auto"/>
              <w:rPr>
                <w:rFonts w:hint="eastAsia" w:ascii="宋体" w:hAnsi="宋体" w:eastAsia="宋体" w:cs="宋体"/>
                <w:sz w:val="21"/>
                <w:szCs w:val="21"/>
                <w:highlight w:val="none"/>
              </w:rPr>
            </w:pPr>
            <w:r>
              <w:rPr>
                <w:rStyle w:val="15"/>
                <w:rFonts w:hint="eastAsia" w:ascii="宋体" w:hAnsi="宋体" w:eastAsia="宋体" w:cs="宋体"/>
                <w:color w:val="auto"/>
                <w:sz w:val="21"/>
                <w:szCs w:val="21"/>
                <w:highlight w:val="none"/>
                <w:shd w:val="clear" w:color="auto" w:fill="auto"/>
              </w:rPr>
              <w:t>（</w:t>
            </w:r>
            <w:r>
              <w:rPr>
                <w:rStyle w:val="15"/>
                <w:rFonts w:hint="eastAsia" w:ascii="宋体" w:hAnsi="宋体" w:eastAsia="宋体" w:cs="宋体"/>
                <w:color w:val="auto"/>
                <w:sz w:val="21"/>
                <w:szCs w:val="21"/>
                <w:highlight w:val="none"/>
                <w:shd w:val="clear" w:color="auto" w:fill="auto"/>
                <w:lang w:eastAsia="zh-CN"/>
              </w:rPr>
              <w:t>5</w:t>
            </w:r>
            <w:r>
              <w:rPr>
                <w:rStyle w:val="15"/>
                <w:rFonts w:hint="eastAsia" w:ascii="宋体" w:hAnsi="宋体" w:eastAsia="宋体" w:cs="宋体"/>
                <w:color w:val="auto"/>
                <w:sz w:val="21"/>
                <w:szCs w:val="21"/>
                <w:highlight w:val="none"/>
                <w:shd w:val="clear" w:color="auto" w:fill="auto"/>
              </w:rPr>
              <w:t>）投标人法定代表人亲自签署投标文件的，提供了法定代表人身份证明，且法定代表人在法定代表人身份证明上签名。</w:t>
            </w:r>
          </w:p>
          <w:p w14:paraId="14FCACDF">
            <w:pPr>
              <w:pStyle w:val="13"/>
              <w:keepNext w:val="0"/>
              <w:keepLines w:val="0"/>
              <w:pageBreakBefore w:val="0"/>
              <w:widowControl w:val="0"/>
              <w:shd w:val="clear" w:color="auto" w:fill="auto"/>
              <w:tabs>
                <w:tab w:val="left" w:pos="1078"/>
              </w:tabs>
              <w:kinsoku/>
              <w:wordWrap/>
              <w:overflowPunct/>
              <w:topLinePunct w:val="0"/>
              <w:autoSpaceDE/>
              <w:autoSpaceDN/>
              <w:bidi w:val="0"/>
              <w:adjustRightInd/>
              <w:snapToGrid/>
              <w:spacing w:before="0" w:line="360" w:lineRule="exact"/>
              <w:ind w:firstLine="420" w:firstLineChars="200"/>
              <w:jc w:val="both"/>
              <w:textAlignment w:val="auto"/>
              <w:rPr>
                <w:rFonts w:hint="eastAsia" w:ascii="宋体" w:hAnsi="宋体" w:eastAsia="宋体" w:cs="宋体"/>
                <w:sz w:val="21"/>
                <w:szCs w:val="21"/>
                <w:highlight w:val="none"/>
                <w:lang w:eastAsia="zh-CN"/>
              </w:rPr>
            </w:pPr>
            <w:r>
              <w:rPr>
                <w:rStyle w:val="15"/>
                <w:rFonts w:hint="eastAsia" w:ascii="宋体" w:hAnsi="宋体" w:eastAsia="宋体" w:cs="宋体"/>
                <w:color w:val="auto"/>
                <w:sz w:val="21"/>
                <w:szCs w:val="21"/>
                <w:highlight w:val="none"/>
                <w:shd w:val="clear" w:color="auto" w:fill="auto"/>
              </w:rPr>
              <w:t>（</w:t>
            </w:r>
            <w:r>
              <w:rPr>
                <w:rStyle w:val="15"/>
                <w:rFonts w:hint="eastAsia" w:ascii="宋体" w:hAnsi="宋体" w:eastAsia="宋体" w:cs="宋体"/>
                <w:color w:val="auto"/>
                <w:sz w:val="21"/>
                <w:szCs w:val="21"/>
                <w:highlight w:val="none"/>
                <w:shd w:val="clear" w:color="auto" w:fill="auto"/>
                <w:lang w:eastAsia="zh-CN"/>
              </w:rPr>
              <w:t>6</w:t>
            </w:r>
            <w:r>
              <w:rPr>
                <w:rStyle w:val="15"/>
                <w:rFonts w:hint="eastAsia" w:ascii="宋体" w:hAnsi="宋体" w:eastAsia="宋体" w:cs="宋体"/>
                <w:color w:val="auto"/>
                <w:sz w:val="21"/>
                <w:szCs w:val="21"/>
                <w:highlight w:val="none"/>
                <w:shd w:val="clear" w:color="auto" w:fill="auto"/>
              </w:rPr>
              <w:t>）投标人以联合体形式投标时，投标人按照招标文件提供的格式签订了联合体协议书，明确各方承担连带责任，并明确了联合体牵头人</w:t>
            </w:r>
            <w:r>
              <w:rPr>
                <w:rStyle w:val="15"/>
                <w:rFonts w:hint="eastAsia" w:ascii="宋体" w:hAnsi="宋体" w:eastAsia="宋体" w:cs="宋体"/>
                <w:color w:val="auto"/>
                <w:sz w:val="21"/>
                <w:szCs w:val="21"/>
                <w:highlight w:val="none"/>
                <w:shd w:val="clear" w:color="auto" w:fill="auto"/>
                <w:lang w:eastAsia="zh-CN"/>
              </w:rPr>
              <w:t>。</w:t>
            </w:r>
          </w:p>
          <w:p w14:paraId="6546CA7F">
            <w:pPr>
              <w:pStyle w:val="13"/>
              <w:keepNext w:val="0"/>
              <w:keepLines w:val="0"/>
              <w:pageBreakBefore w:val="0"/>
              <w:widowControl w:val="0"/>
              <w:shd w:val="clear" w:color="auto" w:fill="auto"/>
              <w:tabs>
                <w:tab w:val="left" w:pos="948"/>
              </w:tabs>
              <w:kinsoku/>
              <w:wordWrap/>
              <w:overflowPunct/>
              <w:topLinePunct w:val="0"/>
              <w:autoSpaceDE/>
              <w:autoSpaceDN/>
              <w:bidi w:val="0"/>
              <w:adjustRightInd/>
              <w:snapToGrid/>
              <w:spacing w:before="0" w:line="360" w:lineRule="exact"/>
              <w:ind w:firstLine="420" w:firstLineChars="200"/>
              <w:jc w:val="both"/>
              <w:textAlignment w:val="auto"/>
              <w:rPr>
                <w:rFonts w:hint="eastAsia" w:ascii="宋体" w:hAnsi="宋体" w:eastAsia="宋体" w:cs="宋体"/>
                <w:sz w:val="21"/>
                <w:szCs w:val="21"/>
                <w:highlight w:val="none"/>
              </w:rPr>
            </w:pPr>
            <w:r>
              <w:rPr>
                <w:rStyle w:val="15"/>
                <w:rFonts w:hint="eastAsia" w:ascii="宋体" w:hAnsi="宋体" w:eastAsia="宋体" w:cs="宋体"/>
                <w:color w:val="auto"/>
                <w:sz w:val="21"/>
                <w:szCs w:val="21"/>
                <w:highlight w:val="none"/>
                <w:shd w:val="clear" w:color="auto" w:fill="auto"/>
              </w:rPr>
              <w:t>（</w:t>
            </w:r>
            <w:r>
              <w:rPr>
                <w:rStyle w:val="15"/>
                <w:rFonts w:hint="eastAsia" w:ascii="宋体" w:hAnsi="宋体" w:eastAsia="宋体" w:cs="宋体"/>
                <w:color w:val="auto"/>
                <w:sz w:val="21"/>
                <w:szCs w:val="21"/>
                <w:highlight w:val="none"/>
                <w:shd w:val="clear" w:color="auto" w:fill="auto"/>
                <w:lang w:eastAsia="zh-CN"/>
              </w:rPr>
              <w:t>7</w:t>
            </w:r>
            <w:r>
              <w:rPr>
                <w:rStyle w:val="15"/>
                <w:rFonts w:hint="eastAsia" w:ascii="宋体" w:hAnsi="宋体" w:eastAsia="宋体" w:cs="宋体"/>
                <w:color w:val="auto"/>
                <w:sz w:val="21"/>
                <w:szCs w:val="21"/>
                <w:highlight w:val="none"/>
                <w:shd w:val="clear" w:color="auto" w:fill="auto"/>
              </w:rPr>
              <w:t>）投标人</w:t>
            </w:r>
            <w:r>
              <w:rPr>
                <w:rStyle w:val="15"/>
                <w:rFonts w:hint="eastAsia" w:ascii="宋体" w:hAnsi="宋体" w:eastAsia="宋体" w:cs="宋体"/>
                <w:color w:val="auto"/>
                <w:sz w:val="21"/>
                <w:szCs w:val="21"/>
                <w:highlight w:val="none"/>
                <w:shd w:val="clear" w:color="auto" w:fill="auto"/>
                <w:lang w:eastAsia="zh-CN"/>
              </w:rPr>
              <w:t>如有</w:t>
            </w:r>
            <w:r>
              <w:rPr>
                <w:rStyle w:val="15"/>
                <w:rFonts w:hint="eastAsia" w:ascii="宋体" w:hAnsi="宋体" w:eastAsia="宋体" w:cs="宋体"/>
                <w:color w:val="auto"/>
                <w:sz w:val="21"/>
                <w:szCs w:val="21"/>
                <w:highlight w:val="none"/>
                <w:shd w:val="clear" w:color="auto" w:fill="auto"/>
              </w:rPr>
              <w:t>分包计划</w:t>
            </w:r>
            <w:r>
              <w:rPr>
                <w:rStyle w:val="15"/>
                <w:rFonts w:hint="eastAsia" w:ascii="宋体" w:hAnsi="宋体" w:eastAsia="宋体" w:cs="宋体"/>
                <w:color w:val="auto"/>
                <w:sz w:val="21"/>
                <w:szCs w:val="21"/>
                <w:highlight w:val="none"/>
                <w:shd w:val="clear" w:color="auto" w:fill="auto"/>
                <w:lang w:eastAsia="zh-CN"/>
              </w:rPr>
              <w:t>，</w:t>
            </w:r>
            <w:r>
              <w:rPr>
                <w:rStyle w:val="15"/>
                <w:rFonts w:hint="eastAsia" w:ascii="宋体" w:hAnsi="宋体" w:eastAsia="宋体" w:cs="宋体"/>
                <w:color w:val="auto"/>
                <w:sz w:val="21"/>
                <w:szCs w:val="21"/>
                <w:highlight w:val="none"/>
                <w:shd w:val="clear" w:color="auto" w:fill="auto"/>
              </w:rPr>
              <w:t>符合招标文件第二章</w:t>
            </w:r>
            <w:r>
              <w:rPr>
                <w:rStyle w:val="15"/>
                <w:rFonts w:hint="eastAsia" w:ascii="宋体" w:hAnsi="宋体" w:eastAsia="宋体" w:cs="宋体"/>
                <w:color w:val="auto"/>
                <w:sz w:val="21"/>
                <w:szCs w:val="21"/>
                <w:highlight w:val="none"/>
                <w:shd w:val="clear" w:color="auto" w:fill="auto"/>
                <w:lang w:eastAsia="zh-CN"/>
              </w:rPr>
              <w:t>“投标人须知”第1.11款规定，且按招标文件第六章“投标文件格式”的要求填写了“拟分包项目情况表”。</w:t>
            </w:r>
          </w:p>
          <w:p w14:paraId="4FA299D8">
            <w:pPr>
              <w:pStyle w:val="13"/>
              <w:keepNext w:val="0"/>
              <w:keepLines w:val="0"/>
              <w:pageBreakBefore w:val="0"/>
              <w:widowControl w:val="0"/>
              <w:shd w:val="clear" w:color="auto" w:fill="auto"/>
              <w:tabs>
                <w:tab w:val="left" w:pos="962"/>
              </w:tabs>
              <w:kinsoku/>
              <w:wordWrap/>
              <w:overflowPunct/>
              <w:topLinePunct w:val="0"/>
              <w:autoSpaceDE/>
              <w:autoSpaceDN/>
              <w:bidi w:val="0"/>
              <w:adjustRightInd/>
              <w:snapToGrid/>
              <w:spacing w:before="0" w:line="360" w:lineRule="exact"/>
              <w:ind w:firstLine="420" w:firstLineChars="200"/>
              <w:jc w:val="both"/>
              <w:textAlignment w:val="auto"/>
              <w:rPr>
                <w:rFonts w:hint="eastAsia" w:ascii="宋体" w:hAnsi="宋体" w:eastAsia="宋体" w:cs="宋体"/>
                <w:sz w:val="21"/>
                <w:szCs w:val="21"/>
                <w:highlight w:val="none"/>
              </w:rPr>
            </w:pPr>
            <w:r>
              <w:rPr>
                <w:rStyle w:val="15"/>
                <w:rFonts w:hint="eastAsia" w:ascii="宋体" w:hAnsi="宋体" w:eastAsia="宋体" w:cs="宋体"/>
                <w:color w:val="auto"/>
                <w:sz w:val="21"/>
                <w:szCs w:val="21"/>
                <w:highlight w:val="none"/>
                <w:shd w:val="clear" w:color="auto" w:fill="auto"/>
              </w:rPr>
              <w:t>（</w:t>
            </w:r>
            <w:r>
              <w:rPr>
                <w:rStyle w:val="15"/>
                <w:rFonts w:hint="eastAsia" w:ascii="宋体" w:hAnsi="宋体" w:eastAsia="宋体" w:cs="宋体"/>
                <w:color w:val="auto"/>
                <w:sz w:val="21"/>
                <w:szCs w:val="21"/>
                <w:highlight w:val="none"/>
                <w:shd w:val="clear" w:color="auto" w:fill="auto"/>
                <w:lang w:eastAsia="zh-CN"/>
              </w:rPr>
              <w:t>8</w:t>
            </w:r>
            <w:r>
              <w:rPr>
                <w:rStyle w:val="15"/>
                <w:rFonts w:hint="eastAsia" w:ascii="宋体" w:hAnsi="宋体" w:eastAsia="宋体" w:cs="宋体"/>
                <w:color w:val="auto"/>
                <w:sz w:val="21"/>
                <w:szCs w:val="21"/>
                <w:highlight w:val="none"/>
                <w:shd w:val="clear" w:color="auto" w:fill="auto"/>
              </w:rPr>
              <w:t>）同一投标人未提交两个以上不同的投标文件，但招标文件要求提交备选投标的除外。</w:t>
            </w:r>
          </w:p>
          <w:p w14:paraId="27162129">
            <w:pPr>
              <w:pStyle w:val="13"/>
              <w:keepNext w:val="0"/>
              <w:keepLines w:val="0"/>
              <w:pageBreakBefore w:val="0"/>
              <w:widowControl w:val="0"/>
              <w:shd w:val="clear" w:color="auto" w:fill="auto"/>
              <w:tabs>
                <w:tab w:val="left" w:pos="1181"/>
              </w:tabs>
              <w:kinsoku/>
              <w:wordWrap/>
              <w:overflowPunct/>
              <w:topLinePunct w:val="0"/>
              <w:autoSpaceDE/>
              <w:autoSpaceDN/>
              <w:bidi w:val="0"/>
              <w:adjustRightInd/>
              <w:snapToGrid/>
              <w:spacing w:before="0" w:line="360" w:lineRule="exact"/>
              <w:ind w:firstLine="420" w:firstLineChars="200"/>
              <w:jc w:val="both"/>
              <w:textAlignment w:val="auto"/>
              <w:rPr>
                <w:rFonts w:hint="eastAsia" w:ascii="宋体" w:hAnsi="宋体" w:eastAsia="宋体" w:cs="宋体"/>
                <w:sz w:val="21"/>
                <w:szCs w:val="21"/>
                <w:highlight w:val="none"/>
              </w:rPr>
            </w:pPr>
            <w:r>
              <w:rPr>
                <w:rStyle w:val="15"/>
                <w:rFonts w:hint="eastAsia" w:ascii="宋体" w:hAnsi="宋体" w:eastAsia="宋体" w:cs="宋体"/>
                <w:color w:val="auto"/>
                <w:sz w:val="21"/>
                <w:szCs w:val="21"/>
                <w:highlight w:val="none"/>
                <w:shd w:val="clear" w:color="auto" w:fill="auto"/>
              </w:rPr>
              <w:t>（</w:t>
            </w:r>
            <w:r>
              <w:rPr>
                <w:rStyle w:val="15"/>
                <w:rFonts w:hint="eastAsia" w:ascii="宋体" w:hAnsi="宋体" w:eastAsia="宋体" w:cs="宋体"/>
                <w:color w:val="auto"/>
                <w:sz w:val="21"/>
                <w:szCs w:val="21"/>
                <w:highlight w:val="none"/>
                <w:shd w:val="clear" w:color="auto" w:fill="auto"/>
                <w:lang w:eastAsia="zh-CN"/>
              </w:rPr>
              <w:t>9</w:t>
            </w:r>
            <w:r>
              <w:rPr>
                <w:rStyle w:val="15"/>
                <w:rFonts w:hint="eastAsia" w:ascii="宋体" w:hAnsi="宋体" w:eastAsia="宋体" w:cs="宋体"/>
                <w:color w:val="auto"/>
                <w:sz w:val="21"/>
                <w:szCs w:val="21"/>
                <w:highlight w:val="none"/>
                <w:shd w:val="clear" w:color="auto" w:fill="auto"/>
              </w:rPr>
              <w:t>）投标文件中未出现有关投标报价的内容。</w:t>
            </w:r>
          </w:p>
          <w:p w14:paraId="58CF8113">
            <w:pPr>
              <w:pStyle w:val="13"/>
              <w:keepNext w:val="0"/>
              <w:keepLines w:val="0"/>
              <w:pageBreakBefore w:val="0"/>
              <w:widowControl w:val="0"/>
              <w:shd w:val="clear" w:color="auto" w:fill="auto"/>
              <w:tabs>
                <w:tab w:val="left" w:pos="936"/>
              </w:tabs>
              <w:kinsoku/>
              <w:wordWrap/>
              <w:overflowPunct/>
              <w:topLinePunct w:val="0"/>
              <w:autoSpaceDE/>
              <w:autoSpaceDN/>
              <w:bidi w:val="0"/>
              <w:adjustRightInd/>
              <w:snapToGrid/>
              <w:spacing w:before="0" w:line="360" w:lineRule="exact"/>
              <w:ind w:firstLine="420" w:firstLineChars="200"/>
              <w:jc w:val="both"/>
              <w:textAlignment w:val="auto"/>
              <w:rPr>
                <w:rFonts w:hint="eastAsia" w:ascii="宋体" w:hAnsi="宋体" w:eastAsia="宋体" w:cs="宋体"/>
                <w:sz w:val="21"/>
                <w:szCs w:val="21"/>
                <w:highlight w:val="none"/>
              </w:rPr>
            </w:pPr>
            <w:r>
              <w:rPr>
                <w:rStyle w:val="15"/>
                <w:rFonts w:hint="eastAsia" w:ascii="宋体" w:hAnsi="宋体" w:eastAsia="宋体" w:cs="宋体"/>
                <w:color w:val="auto"/>
                <w:sz w:val="21"/>
                <w:szCs w:val="21"/>
                <w:highlight w:val="none"/>
                <w:shd w:val="clear" w:color="auto" w:fill="auto"/>
              </w:rPr>
              <w:t>（1</w:t>
            </w:r>
            <w:r>
              <w:rPr>
                <w:rStyle w:val="15"/>
                <w:rFonts w:hint="eastAsia" w:ascii="宋体" w:hAnsi="宋体" w:eastAsia="宋体" w:cs="宋体"/>
                <w:color w:val="auto"/>
                <w:sz w:val="21"/>
                <w:szCs w:val="21"/>
                <w:highlight w:val="none"/>
                <w:shd w:val="clear" w:color="auto" w:fill="auto"/>
                <w:lang w:eastAsia="zh-CN"/>
              </w:rPr>
              <w:t>0</w:t>
            </w:r>
            <w:r>
              <w:rPr>
                <w:rStyle w:val="15"/>
                <w:rFonts w:hint="eastAsia" w:ascii="宋体" w:hAnsi="宋体" w:eastAsia="宋体" w:cs="宋体"/>
                <w:color w:val="auto"/>
                <w:sz w:val="21"/>
                <w:szCs w:val="21"/>
                <w:highlight w:val="none"/>
                <w:shd w:val="clear" w:color="auto" w:fill="auto"/>
              </w:rPr>
              <w:t>）投标文件载明的招标项目完成期限未超过招标文件规定的时限。</w:t>
            </w:r>
          </w:p>
          <w:p w14:paraId="4F65E469">
            <w:pPr>
              <w:pStyle w:val="13"/>
              <w:keepNext w:val="0"/>
              <w:keepLines w:val="0"/>
              <w:pageBreakBefore w:val="0"/>
              <w:widowControl w:val="0"/>
              <w:shd w:val="clear" w:color="auto" w:fill="auto"/>
              <w:tabs>
                <w:tab w:val="left" w:pos="1181"/>
              </w:tabs>
              <w:kinsoku/>
              <w:wordWrap/>
              <w:overflowPunct/>
              <w:topLinePunct w:val="0"/>
              <w:autoSpaceDE/>
              <w:autoSpaceDN/>
              <w:bidi w:val="0"/>
              <w:adjustRightInd/>
              <w:snapToGrid/>
              <w:spacing w:before="0" w:line="360" w:lineRule="exact"/>
              <w:ind w:firstLine="420" w:firstLineChars="200"/>
              <w:jc w:val="both"/>
              <w:textAlignment w:val="auto"/>
              <w:rPr>
                <w:rFonts w:hint="eastAsia" w:ascii="宋体" w:hAnsi="宋体" w:eastAsia="宋体" w:cs="宋体"/>
                <w:sz w:val="21"/>
                <w:szCs w:val="21"/>
                <w:highlight w:val="none"/>
              </w:rPr>
            </w:pPr>
            <w:r>
              <w:rPr>
                <w:rStyle w:val="15"/>
                <w:rFonts w:hint="eastAsia" w:ascii="宋体" w:hAnsi="宋体" w:eastAsia="宋体" w:cs="宋体"/>
                <w:color w:val="auto"/>
                <w:sz w:val="21"/>
                <w:szCs w:val="21"/>
                <w:highlight w:val="none"/>
                <w:shd w:val="clear" w:color="auto" w:fill="auto"/>
              </w:rPr>
              <w:t>（1</w:t>
            </w:r>
            <w:r>
              <w:rPr>
                <w:rStyle w:val="15"/>
                <w:rFonts w:hint="eastAsia" w:ascii="宋体" w:hAnsi="宋体" w:eastAsia="宋体" w:cs="宋体"/>
                <w:color w:val="auto"/>
                <w:sz w:val="21"/>
                <w:szCs w:val="21"/>
                <w:highlight w:val="none"/>
                <w:shd w:val="clear" w:color="auto" w:fill="auto"/>
                <w:lang w:eastAsia="zh-CN"/>
              </w:rPr>
              <w:t>1</w:t>
            </w:r>
            <w:r>
              <w:rPr>
                <w:rStyle w:val="15"/>
                <w:rFonts w:hint="eastAsia" w:ascii="宋体" w:hAnsi="宋体" w:eastAsia="宋体" w:cs="宋体"/>
                <w:color w:val="auto"/>
                <w:sz w:val="21"/>
                <w:szCs w:val="21"/>
                <w:highlight w:val="none"/>
                <w:shd w:val="clear" w:color="auto" w:fill="auto"/>
              </w:rPr>
              <w:t>）投标文件对招标文件的实质性要求和条件作出响应。</w:t>
            </w:r>
          </w:p>
          <w:p w14:paraId="3ABE7D03">
            <w:pPr>
              <w:pStyle w:val="13"/>
              <w:keepNext w:val="0"/>
              <w:keepLines w:val="0"/>
              <w:pageBreakBefore w:val="0"/>
              <w:widowControl w:val="0"/>
              <w:shd w:val="clear" w:color="auto" w:fill="auto"/>
              <w:tabs>
                <w:tab w:val="left" w:pos="1176"/>
              </w:tabs>
              <w:kinsoku/>
              <w:wordWrap/>
              <w:overflowPunct/>
              <w:topLinePunct w:val="0"/>
              <w:autoSpaceDE/>
              <w:autoSpaceDN/>
              <w:bidi w:val="0"/>
              <w:adjustRightInd/>
              <w:snapToGrid/>
              <w:spacing w:before="0" w:line="360" w:lineRule="exact"/>
              <w:ind w:firstLine="420" w:firstLineChars="200"/>
              <w:jc w:val="both"/>
              <w:textAlignment w:val="auto"/>
              <w:rPr>
                <w:rFonts w:hint="eastAsia" w:ascii="宋体" w:hAnsi="宋体" w:eastAsia="宋体" w:cs="宋体"/>
                <w:sz w:val="21"/>
                <w:szCs w:val="21"/>
                <w:highlight w:val="none"/>
              </w:rPr>
            </w:pPr>
            <w:r>
              <w:rPr>
                <w:rStyle w:val="15"/>
                <w:rFonts w:hint="eastAsia" w:ascii="宋体" w:hAnsi="宋体" w:eastAsia="宋体" w:cs="宋体"/>
                <w:color w:val="auto"/>
                <w:sz w:val="21"/>
                <w:szCs w:val="21"/>
                <w:highlight w:val="none"/>
                <w:shd w:val="clear" w:color="auto" w:fill="auto"/>
              </w:rPr>
              <w:t>（1</w:t>
            </w:r>
            <w:r>
              <w:rPr>
                <w:rStyle w:val="15"/>
                <w:rFonts w:hint="eastAsia" w:ascii="宋体" w:hAnsi="宋体" w:eastAsia="宋体" w:cs="宋体"/>
                <w:color w:val="auto"/>
                <w:sz w:val="21"/>
                <w:szCs w:val="21"/>
                <w:highlight w:val="none"/>
                <w:shd w:val="clear" w:color="auto" w:fill="auto"/>
                <w:lang w:eastAsia="zh-CN"/>
              </w:rPr>
              <w:t>2</w:t>
            </w:r>
            <w:r>
              <w:rPr>
                <w:rStyle w:val="15"/>
                <w:rFonts w:hint="eastAsia" w:ascii="宋体" w:hAnsi="宋体" w:eastAsia="宋体" w:cs="宋体"/>
                <w:color w:val="auto"/>
                <w:sz w:val="21"/>
                <w:szCs w:val="21"/>
                <w:highlight w:val="none"/>
                <w:shd w:val="clear" w:color="auto" w:fill="auto"/>
              </w:rPr>
              <w:t>）权利义务符合招标文件规定</w:t>
            </w:r>
            <w:r>
              <w:rPr>
                <w:rStyle w:val="16"/>
                <w:rFonts w:hint="eastAsia" w:ascii="宋体" w:hAnsi="宋体" w:eastAsia="宋体" w:cs="宋体"/>
                <w:b w:val="0"/>
                <w:color w:val="auto"/>
                <w:sz w:val="21"/>
                <w:szCs w:val="21"/>
                <w:highlight w:val="none"/>
              </w:rPr>
              <w:t>：</w:t>
            </w:r>
          </w:p>
          <w:p w14:paraId="0AFC3F03">
            <w:pPr>
              <w:pStyle w:val="13"/>
              <w:keepNext w:val="0"/>
              <w:keepLines w:val="0"/>
              <w:pageBreakBefore w:val="0"/>
              <w:widowControl w:val="0"/>
              <w:shd w:val="clear" w:color="auto" w:fill="auto"/>
              <w:tabs>
                <w:tab w:val="left" w:pos="569"/>
              </w:tabs>
              <w:kinsoku/>
              <w:wordWrap/>
              <w:overflowPunct/>
              <w:topLinePunct w:val="0"/>
              <w:autoSpaceDE/>
              <w:autoSpaceDN/>
              <w:bidi w:val="0"/>
              <w:adjustRightInd/>
              <w:snapToGrid/>
              <w:spacing w:before="0" w:line="360" w:lineRule="exact"/>
              <w:ind w:firstLine="420" w:firstLineChars="200"/>
              <w:jc w:val="both"/>
              <w:textAlignment w:val="auto"/>
              <w:rPr>
                <w:rFonts w:hint="eastAsia" w:ascii="宋体" w:hAnsi="宋体" w:eastAsia="宋体" w:cs="宋体"/>
                <w:sz w:val="21"/>
                <w:szCs w:val="21"/>
                <w:highlight w:val="none"/>
              </w:rPr>
            </w:pPr>
            <w:r>
              <w:rPr>
                <w:rStyle w:val="15"/>
                <w:rFonts w:hint="eastAsia" w:ascii="宋体" w:hAnsi="宋体" w:eastAsia="宋体" w:cs="宋体"/>
                <w:color w:val="auto"/>
                <w:sz w:val="21"/>
                <w:szCs w:val="21"/>
                <w:highlight w:val="none"/>
                <w:shd w:val="clear" w:color="auto" w:fill="auto"/>
              </w:rPr>
              <w:t>a.投标人应接受招标文件规定的风险划分原则，未提出新的风险划分办法；</w:t>
            </w:r>
          </w:p>
          <w:p w14:paraId="38F70438">
            <w:pPr>
              <w:pStyle w:val="13"/>
              <w:keepNext w:val="0"/>
              <w:keepLines w:val="0"/>
              <w:pageBreakBefore w:val="0"/>
              <w:widowControl w:val="0"/>
              <w:shd w:val="clear" w:color="auto" w:fill="auto"/>
              <w:tabs>
                <w:tab w:val="left" w:pos="710"/>
              </w:tabs>
              <w:kinsoku/>
              <w:wordWrap/>
              <w:overflowPunct/>
              <w:topLinePunct w:val="0"/>
              <w:autoSpaceDE/>
              <w:autoSpaceDN/>
              <w:bidi w:val="0"/>
              <w:adjustRightInd/>
              <w:snapToGrid/>
              <w:spacing w:before="0" w:line="360" w:lineRule="exact"/>
              <w:ind w:firstLine="420" w:firstLineChars="200"/>
              <w:jc w:val="both"/>
              <w:textAlignment w:val="auto"/>
              <w:rPr>
                <w:rFonts w:hint="eastAsia" w:ascii="宋体" w:hAnsi="宋体" w:eastAsia="宋体" w:cs="宋体"/>
                <w:sz w:val="21"/>
                <w:szCs w:val="21"/>
                <w:highlight w:val="none"/>
              </w:rPr>
            </w:pPr>
            <w:r>
              <w:rPr>
                <w:rStyle w:val="15"/>
                <w:rFonts w:hint="eastAsia" w:ascii="宋体" w:hAnsi="宋体" w:eastAsia="宋体" w:cs="宋体"/>
                <w:color w:val="auto"/>
                <w:sz w:val="21"/>
                <w:szCs w:val="21"/>
                <w:highlight w:val="none"/>
                <w:shd w:val="clear" w:color="auto" w:fill="auto"/>
              </w:rPr>
              <w:t>b.投标人未增加发包人的责任范围，或减少投标人义务；</w:t>
            </w:r>
          </w:p>
          <w:p w14:paraId="709CD7A2">
            <w:pPr>
              <w:pStyle w:val="13"/>
              <w:keepNext w:val="0"/>
              <w:keepLines w:val="0"/>
              <w:pageBreakBefore w:val="0"/>
              <w:widowControl w:val="0"/>
              <w:shd w:val="clear" w:color="auto" w:fill="auto"/>
              <w:kinsoku/>
              <w:wordWrap/>
              <w:overflowPunct/>
              <w:topLinePunct w:val="0"/>
              <w:autoSpaceDE/>
              <w:autoSpaceDN/>
              <w:bidi w:val="0"/>
              <w:adjustRightInd/>
              <w:snapToGrid/>
              <w:spacing w:before="0" w:line="360" w:lineRule="exact"/>
              <w:ind w:firstLine="420" w:firstLineChars="200"/>
              <w:jc w:val="both"/>
              <w:textAlignment w:val="auto"/>
              <w:rPr>
                <w:rFonts w:hint="eastAsia" w:ascii="宋体" w:hAnsi="宋体" w:eastAsia="宋体" w:cs="宋体"/>
                <w:sz w:val="21"/>
                <w:szCs w:val="21"/>
                <w:highlight w:val="none"/>
              </w:rPr>
            </w:pPr>
            <w:r>
              <w:rPr>
                <w:rStyle w:val="17"/>
                <w:rFonts w:hint="eastAsia" w:ascii="宋体" w:hAnsi="宋体" w:eastAsia="宋体" w:cs="宋体"/>
                <w:color w:val="auto"/>
                <w:sz w:val="21"/>
                <w:szCs w:val="21"/>
                <w:highlight w:val="none"/>
                <w:shd w:val="clear" w:color="auto" w:fill="auto"/>
                <w:lang w:eastAsia="zh-CN"/>
              </w:rPr>
              <w:t>c.</w:t>
            </w:r>
            <w:r>
              <w:rPr>
                <w:rStyle w:val="15"/>
                <w:rFonts w:hint="eastAsia" w:ascii="宋体" w:hAnsi="宋体" w:eastAsia="宋体" w:cs="宋体"/>
                <w:color w:val="auto"/>
                <w:sz w:val="21"/>
                <w:szCs w:val="21"/>
                <w:highlight w:val="none"/>
                <w:shd w:val="clear" w:color="auto" w:fill="auto"/>
              </w:rPr>
              <w:t>投标人未提出不同的支付办法；</w:t>
            </w:r>
          </w:p>
          <w:p w14:paraId="25DD506E">
            <w:pPr>
              <w:pStyle w:val="13"/>
              <w:keepNext w:val="0"/>
              <w:keepLines w:val="0"/>
              <w:pageBreakBefore w:val="0"/>
              <w:widowControl w:val="0"/>
              <w:shd w:val="clear" w:color="auto" w:fill="auto"/>
              <w:tabs>
                <w:tab w:val="left" w:pos="703"/>
              </w:tabs>
              <w:kinsoku/>
              <w:wordWrap/>
              <w:overflowPunct/>
              <w:topLinePunct w:val="0"/>
              <w:autoSpaceDE/>
              <w:autoSpaceDN/>
              <w:bidi w:val="0"/>
              <w:adjustRightInd/>
              <w:snapToGrid/>
              <w:spacing w:before="0" w:line="360" w:lineRule="exact"/>
              <w:ind w:firstLine="420" w:firstLineChars="200"/>
              <w:jc w:val="both"/>
              <w:textAlignment w:val="auto"/>
              <w:rPr>
                <w:rFonts w:hint="eastAsia" w:ascii="宋体" w:hAnsi="宋体" w:eastAsia="宋体" w:cs="宋体"/>
                <w:sz w:val="21"/>
                <w:szCs w:val="21"/>
                <w:highlight w:val="none"/>
              </w:rPr>
            </w:pPr>
            <w:r>
              <w:rPr>
                <w:rStyle w:val="15"/>
                <w:rFonts w:hint="eastAsia" w:ascii="宋体" w:hAnsi="宋体" w:eastAsia="宋体" w:cs="宋体"/>
                <w:color w:val="auto"/>
                <w:sz w:val="21"/>
                <w:szCs w:val="21"/>
                <w:highlight w:val="none"/>
                <w:shd w:val="clear" w:color="auto" w:fill="auto"/>
              </w:rPr>
              <w:t>d.投标人对合同纠纷、事故处理办法未提出异议；</w:t>
            </w:r>
          </w:p>
          <w:p w14:paraId="544DE4E1">
            <w:pPr>
              <w:pStyle w:val="13"/>
              <w:keepNext w:val="0"/>
              <w:keepLines w:val="0"/>
              <w:pageBreakBefore w:val="0"/>
              <w:widowControl w:val="0"/>
              <w:shd w:val="clear" w:color="auto" w:fill="auto"/>
              <w:tabs>
                <w:tab w:val="left" w:pos="689"/>
              </w:tabs>
              <w:kinsoku/>
              <w:wordWrap/>
              <w:overflowPunct/>
              <w:topLinePunct w:val="0"/>
              <w:autoSpaceDE/>
              <w:autoSpaceDN/>
              <w:bidi w:val="0"/>
              <w:adjustRightInd/>
              <w:snapToGrid/>
              <w:spacing w:before="0" w:line="360" w:lineRule="exact"/>
              <w:ind w:firstLine="420" w:firstLineChars="200"/>
              <w:jc w:val="both"/>
              <w:textAlignment w:val="auto"/>
              <w:rPr>
                <w:rFonts w:hint="eastAsia" w:ascii="宋体" w:hAnsi="宋体" w:eastAsia="宋体" w:cs="宋体"/>
                <w:sz w:val="21"/>
                <w:szCs w:val="21"/>
                <w:highlight w:val="none"/>
              </w:rPr>
            </w:pPr>
            <w:r>
              <w:rPr>
                <w:rStyle w:val="15"/>
                <w:rFonts w:hint="eastAsia" w:ascii="宋体" w:hAnsi="宋体" w:eastAsia="宋体" w:cs="宋体"/>
                <w:color w:val="auto"/>
                <w:sz w:val="21"/>
                <w:szCs w:val="21"/>
                <w:highlight w:val="none"/>
                <w:shd w:val="clear" w:color="auto" w:fill="auto"/>
              </w:rPr>
              <w:t>e.投标人在投标活动中无欺诈行为；</w:t>
            </w:r>
          </w:p>
          <w:p w14:paraId="4314CBA8">
            <w:pPr>
              <w:pStyle w:val="13"/>
              <w:keepNext w:val="0"/>
              <w:keepLines w:val="0"/>
              <w:pageBreakBefore w:val="0"/>
              <w:widowControl w:val="0"/>
              <w:shd w:val="clear" w:color="auto" w:fill="auto"/>
              <w:tabs>
                <w:tab w:val="left" w:pos="679"/>
              </w:tabs>
              <w:kinsoku/>
              <w:wordWrap/>
              <w:overflowPunct/>
              <w:topLinePunct w:val="0"/>
              <w:autoSpaceDE/>
              <w:autoSpaceDN/>
              <w:bidi w:val="0"/>
              <w:adjustRightInd/>
              <w:snapToGrid/>
              <w:spacing w:before="0" w:line="360" w:lineRule="exact"/>
              <w:ind w:firstLine="420" w:firstLineChars="200"/>
              <w:jc w:val="both"/>
              <w:textAlignment w:val="auto"/>
              <w:rPr>
                <w:rFonts w:hint="eastAsia" w:ascii="宋体" w:hAnsi="宋体" w:eastAsia="宋体" w:cs="宋体"/>
                <w:sz w:val="21"/>
                <w:szCs w:val="21"/>
                <w:highlight w:val="none"/>
              </w:rPr>
            </w:pPr>
            <w:r>
              <w:rPr>
                <w:rStyle w:val="15"/>
                <w:rFonts w:hint="eastAsia" w:ascii="宋体" w:hAnsi="宋体" w:eastAsia="宋体" w:cs="宋体"/>
                <w:color w:val="auto"/>
                <w:sz w:val="21"/>
                <w:szCs w:val="21"/>
                <w:highlight w:val="none"/>
                <w:shd w:val="clear" w:color="auto" w:fill="auto"/>
                <w:lang w:eastAsia="zh-CN"/>
              </w:rPr>
              <w:t>f</w:t>
            </w:r>
            <w:r>
              <w:rPr>
                <w:rStyle w:val="15"/>
                <w:rFonts w:hint="eastAsia" w:ascii="宋体" w:hAnsi="宋体" w:eastAsia="宋体" w:cs="宋体"/>
                <w:color w:val="auto"/>
                <w:sz w:val="21"/>
                <w:szCs w:val="21"/>
                <w:highlight w:val="none"/>
                <w:shd w:val="clear" w:color="auto" w:fill="auto"/>
              </w:rPr>
              <w:t>.投标人未对合同条款有重要保留。</w:t>
            </w:r>
          </w:p>
          <w:p w14:paraId="32070E50">
            <w:pPr>
              <w:keepNext w:val="0"/>
              <w:keepLines w:val="0"/>
              <w:pageBreakBefore w:val="0"/>
              <w:widowControl w:val="0"/>
              <w:tabs>
                <w:tab w:val="left" w:pos="735"/>
              </w:tabs>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sz w:val="21"/>
                <w:szCs w:val="21"/>
                <w:highlight w:val="none"/>
              </w:rPr>
            </w:pPr>
          </w:p>
          <w:p w14:paraId="719A3FFB">
            <w:pPr>
              <w:pStyle w:val="13"/>
              <w:keepNext w:val="0"/>
              <w:keepLines w:val="0"/>
              <w:pageBreakBefore w:val="0"/>
              <w:widowControl w:val="0"/>
              <w:shd w:val="clear" w:color="auto" w:fill="auto"/>
              <w:kinsoku/>
              <w:wordWrap/>
              <w:overflowPunct/>
              <w:topLinePunct w:val="0"/>
              <w:autoSpaceDE/>
              <w:autoSpaceDN/>
              <w:bidi w:val="0"/>
              <w:adjustRightInd/>
              <w:snapToGrid/>
              <w:spacing w:before="0" w:line="360" w:lineRule="exact"/>
              <w:jc w:val="left"/>
              <w:textAlignment w:val="auto"/>
              <w:rPr>
                <w:rFonts w:hint="eastAsia" w:ascii="宋体" w:hAnsi="宋体" w:eastAsia="宋体" w:cs="宋体"/>
                <w:sz w:val="21"/>
                <w:szCs w:val="21"/>
                <w:highlight w:val="none"/>
              </w:rPr>
            </w:pPr>
            <w:r>
              <w:rPr>
                <w:rStyle w:val="16"/>
                <w:rFonts w:hint="eastAsia" w:ascii="宋体" w:hAnsi="宋体" w:eastAsia="宋体" w:cs="宋体"/>
                <w:b w:val="0"/>
                <w:color w:val="auto"/>
                <w:sz w:val="21"/>
                <w:szCs w:val="21"/>
                <w:highlight w:val="none"/>
              </w:rPr>
              <w:t>第二个信封（报价文件）评审标准：</w:t>
            </w:r>
          </w:p>
          <w:p w14:paraId="1443E719">
            <w:pPr>
              <w:keepNext w:val="0"/>
              <w:keepLines w:val="0"/>
              <w:pageBreakBefore w:val="0"/>
              <w:widowControl w:val="0"/>
              <w:tabs>
                <w:tab w:val="left" w:pos="735"/>
              </w:tabs>
              <w:kinsoku/>
              <w:wordWrap/>
              <w:overflowPunct/>
              <w:topLinePunct w:val="0"/>
              <w:autoSpaceDE/>
              <w:autoSpaceDN/>
              <w:bidi w:val="0"/>
              <w:adjustRightInd/>
              <w:snapToGrid/>
              <w:spacing w:line="360" w:lineRule="exact"/>
              <w:ind w:firstLine="420" w:firstLineChars="200"/>
              <w:textAlignment w:val="auto"/>
              <w:rPr>
                <w:rStyle w:val="15"/>
                <w:rFonts w:hint="eastAsia" w:ascii="宋体" w:hAnsi="宋体" w:eastAsia="宋体" w:cs="宋体"/>
                <w:color w:val="auto"/>
                <w:sz w:val="21"/>
                <w:szCs w:val="21"/>
                <w:highlight w:val="none"/>
                <w:shd w:val="clear" w:color="auto" w:fill="auto"/>
                <w:lang w:eastAsia="zh-CN"/>
              </w:rPr>
            </w:pPr>
            <w:r>
              <w:rPr>
                <w:rStyle w:val="15"/>
                <w:rFonts w:hint="eastAsia" w:ascii="宋体" w:hAnsi="宋体" w:eastAsia="宋体" w:cs="宋体"/>
                <w:color w:val="auto"/>
                <w:sz w:val="21"/>
                <w:szCs w:val="21"/>
                <w:highlight w:val="none"/>
                <w:shd w:val="clear" w:color="auto" w:fill="auto"/>
              </w:rPr>
              <w:t>（1）投标文件按照招标文件规定的格式、内容填写，字迹清晰可辨，内容齐全完整：</w:t>
            </w:r>
          </w:p>
          <w:p w14:paraId="6CDC9BDE">
            <w:pPr>
              <w:pStyle w:val="13"/>
              <w:keepNext w:val="0"/>
              <w:keepLines w:val="0"/>
              <w:pageBreakBefore w:val="0"/>
              <w:widowControl w:val="0"/>
              <w:shd w:val="clear" w:color="auto" w:fill="auto"/>
              <w:tabs>
                <w:tab w:val="left" w:pos="569"/>
              </w:tabs>
              <w:kinsoku/>
              <w:wordWrap/>
              <w:overflowPunct/>
              <w:topLinePunct w:val="0"/>
              <w:autoSpaceDE/>
              <w:autoSpaceDN/>
              <w:bidi w:val="0"/>
              <w:adjustRightInd/>
              <w:snapToGrid/>
              <w:spacing w:before="0" w:line="360" w:lineRule="exact"/>
              <w:ind w:firstLine="420" w:firstLineChars="200"/>
              <w:jc w:val="left"/>
              <w:textAlignment w:val="auto"/>
              <w:rPr>
                <w:rFonts w:hint="eastAsia" w:ascii="宋体" w:hAnsi="宋体" w:eastAsia="宋体" w:cs="宋体"/>
                <w:sz w:val="21"/>
                <w:szCs w:val="21"/>
                <w:highlight w:val="none"/>
              </w:rPr>
            </w:pPr>
            <w:r>
              <w:rPr>
                <w:rStyle w:val="15"/>
                <w:rFonts w:hint="eastAsia" w:ascii="宋体" w:hAnsi="宋体" w:eastAsia="宋体" w:cs="宋体"/>
                <w:color w:val="auto"/>
                <w:sz w:val="21"/>
                <w:szCs w:val="21"/>
                <w:highlight w:val="none"/>
                <w:shd w:val="clear" w:color="auto" w:fill="auto"/>
              </w:rPr>
              <w:t>a.投标函按招标文件规定填报了项目名称、标段号、补遗书编号（如有</w:t>
            </w:r>
            <w:r>
              <w:rPr>
                <w:rStyle w:val="15"/>
                <w:rFonts w:hint="eastAsia" w:eastAsia="宋体" w:cs="宋体"/>
                <w:color w:val="auto"/>
                <w:sz w:val="21"/>
                <w:szCs w:val="21"/>
                <w:highlight w:val="none"/>
                <w:shd w:val="clear" w:color="auto" w:fill="auto"/>
                <w:lang w:eastAsia="zh-CN"/>
              </w:rPr>
              <w:t>）</w:t>
            </w:r>
            <w:r>
              <w:rPr>
                <w:rStyle w:val="15"/>
                <w:rFonts w:hint="eastAsia" w:ascii="宋体" w:hAnsi="宋体" w:eastAsia="宋体" w:cs="宋体"/>
                <w:color w:val="auto"/>
                <w:sz w:val="21"/>
                <w:szCs w:val="21"/>
                <w:highlight w:val="none"/>
                <w:shd w:val="clear" w:color="auto" w:fill="auto"/>
              </w:rPr>
              <w:t>、投标价（包括大写金额和小写金额</w:t>
            </w:r>
            <w:r>
              <w:rPr>
                <w:rStyle w:val="15"/>
                <w:rFonts w:hint="eastAsia" w:eastAsia="宋体" w:cs="宋体"/>
                <w:color w:val="auto"/>
                <w:sz w:val="21"/>
                <w:szCs w:val="21"/>
                <w:highlight w:val="none"/>
                <w:shd w:val="clear" w:color="auto" w:fill="auto"/>
                <w:lang w:eastAsia="zh-CN" w:bidi="en-US"/>
              </w:rPr>
              <w:t>）</w:t>
            </w:r>
            <w:r>
              <w:rPr>
                <w:rStyle w:val="15"/>
                <w:rFonts w:hint="eastAsia" w:ascii="宋体" w:hAnsi="宋体" w:eastAsia="宋体" w:cs="宋体"/>
                <w:color w:val="auto"/>
                <w:sz w:val="21"/>
                <w:szCs w:val="21"/>
                <w:highlight w:val="none"/>
                <w:shd w:val="clear" w:color="auto" w:fill="auto"/>
                <w:lang w:bidi="en-US"/>
              </w:rPr>
              <w:t>；</w:t>
            </w:r>
          </w:p>
          <w:p w14:paraId="33646134">
            <w:pPr>
              <w:pStyle w:val="13"/>
              <w:keepNext w:val="0"/>
              <w:keepLines w:val="0"/>
              <w:pageBreakBefore w:val="0"/>
              <w:widowControl w:val="0"/>
              <w:shd w:val="clear" w:color="auto" w:fill="auto"/>
              <w:tabs>
                <w:tab w:val="left" w:pos="593"/>
              </w:tabs>
              <w:kinsoku/>
              <w:wordWrap/>
              <w:overflowPunct/>
              <w:topLinePunct w:val="0"/>
              <w:autoSpaceDE/>
              <w:autoSpaceDN/>
              <w:bidi w:val="0"/>
              <w:adjustRightInd/>
              <w:snapToGrid/>
              <w:spacing w:before="0" w:line="360" w:lineRule="exact"/>
              <w:ind w:firstLine="420" w:firstLineChars="200"/>
              <w:jc w:val="left"/>
              <w:textAlignment w:val="auto"/>
              <w:rPr>
                <w:rFonts w:hint="eastAsia" w:ascii="宋体" w:hAnsi="宋体" w:eastAsia="宋体" w:cs="宋体"/>
                <w:sz w:val="21"/>
                <w:szCs w:val="21"/>
                <w:highlight w:val="none"/>
              </w:rPr>
            </w:pPr>
            <w:r>
              <w:rPr>
                <w:rStyle w:val="15"/>
                <w:rFonts w:hint="eastAsia" w:ascii="宋体" w:hAnsi="宋体" w:eastAsia="宋体" w:cs="宋体"/>
                <w:color w:val="auto"/>
                <w:sz w:val="21"/>
                <w:szCs w:val="21"/>
                <w:highlight w:val="none"/>
                <w:shd w:val="clear" w:color="auto" w:fill="auto"/>
              </w:rPr>
              <w:t>b.已标价报价清单说明文字与招标文件规定一致，未进行实质性修改和删减；</w:t>
            </w:r>
          </w:p>
          <w:p w14:paraId="2386E802">
            <w:pPr>
              <w:pStyle w:val="13"/>
              <w:keepNext w:val="0"/>
              <w:keepLines w:val="0"/>
              <w:pageBreakBefore w:val="0"/>
              <w:widowControl w:val="0"/>
              <w:shd w:val="clear" w:color="auto" w:fill="auto"/>
              <w:kinsoku/>
              <w:wordWrap/>
              <w:overflowPunct/>
              <w:topLinePunct w:val="0"/>
              <w:autoSpaceDE/>
              <w:autoSpaceDN/>
              <w:bidi w:val="0"/>
              <w:adjustRightInd/>
              <w:snapToGrid/>
              <w:spacing w:before="0" w:line="360" w:lineRule="exact"/>
              <w:ind w:firstLine="420" w:firstLineChars="200"/>
              <w:jc w:val="left"/>
              <w:textAlignment w:val="auto"/>
              <w:rPr>
                <w:rFonts w:hint="eastAsia" w:ascii="宋体" w:hAnsi="宋体" w:eastAsia="宋体" w:cs="宋体"/>
                <w:sz w:val="21"/>
                <w:szCs w:val="21"/>
                <w:highlight w:val="none"/>
              </w:rPr>
            </w:pPr>
            <w:r>
              <w:rPr>
                <w:rStyle w:val="17"/>
                <w:rFonts w:hint="eastAsia" w:ascii="宋体" w:hAnsi="宋体" w:eastAsia="宋体" w:cs="宋体"/>
                <w:color w:val="auto"/>
                <w:sz w:val="21"/>
                <w:szCs w:val="21"/>
                <w:highlight w:val="none"/>
                <w:shd w:val="clear" w:color="auto" w:fill="auto"/>
                <w:lang w:eastAsia="zh-CN"/>
              </w:rPr>
              <w:t>c.</w:t>
            </w:r>
            <w:r>
              <w:rPr>
                <w:rStyle w:val="15"/>
                <w:rFonts w:hint="eastAsia" w:ascii="宋体" w:hAnsi="宋体" w:eastAsia="宋体" w:cs="宋体"/>
                <w:color w:val="auto"/>
                <w:sz w:val="21"/>
                <w:szCs w:val="21"/>
                <w:highlight w:val="none"/>
                <w:shd w:val="clear" w:color="auto" w:fill="auto"/>
              </w:rPr>
              <w:t>投标文件组成齐全完整，内容均按规定填写。</w:t>
            </w:r>
          </w:p>
          <w:p w14:paraId="6F6E6209">
            <w:pPr>
              <w:pStyle w:val="13"/>
              <w:keepNext w:val="0"/>
              <w:keepLines w:val="0"/>
              <w:pageBreakBefore w:val="0"/>
              <w:widowControl w:val="0"/>
              <w:shd w:val="clear" w:color="auto" w:fill="auto"/>
              <w:tabs>
                <w:tab w:val="left" w:pos="948"/>
              </w:tabs>
              <w:kinsoku/>
              <w:wordWrap/>
              <w:overflowPunct/>
              <w:topLinePunct w:val="0"/>
              <w:autoSpaceDE/>
              <w:autoSpaceDN/>
              <w:bidi w:val="0"/>
              <w:adjustRightInd/>
              <w:snapToGrid/>
              <w:spacing w:before="0" w:line="360" w:lineRule="exact"/>
              <w:ind w:firstLine="420" w:firstLineChars="200"/>
              <w:jc w:val="both"/>
              <w:textAlignment w:val="auto"/>
              <w:rPr>
                <w:rFonts w:hint="eastAsia" w:ascii="宋体" w:hAnsi="宋体" w:eastAsia="宋体" w:cs="宋体"/>
                <w:sz w:val="21"/>
                <w:szCs w:val="21"/>
                <w:highlight w:val="none"/>
              </w:rPr>
            </w:pPr>
            <w:r>
              <w:rPr>
                <w:rStyle w:val="15"/>
                <w:rFonts w:hint="eastAsia" w:ascii="宋体" w:hAnsi="宋体" w:eastAsia="宋体" w:cs="宋体"/>
                <w:color w:val="auto"/>
                <w:sz w:val="21"/>
                <w:szCs w:val="21"/>
                <w:highlight w:val="none"/>
                <w:shd w:val="clear" w:color="auto" w:fill="auto"/>
              </w:rPr>
              <w:t>（2）投标文件上法定代表人或其委托代理人的签字、投标人的单位章盖章齐全，符合招标文件规定。</w:t>
            </w:r>
          </w:p>
          <w:p w14:paraId="18A24A52">
            <w:pPr>
              <w:pStyle w:val="13"/>
              <w:keepNext w:val="0"/>
              <w:keepLines w:val="0"/>
              <w:pageBreakBefore w:val="0"/>
              <w:widowControl w:val="0"/>
              <w:shd w:val="clear" w:color="auto" w:fill="auto"/>
              <w:tabs>
                <w:tab w:val="left" w:pos="1075"/>
              </w:tabs>
              <w:kinsoku/>
              <w:wordWrap/>
              <w:overflowPunct/>
              <w:topLinePunct w:val="0"/>
              <w:autoSpaceDE/>
              <w:autoSpaceDN/>
              <w:bidi w:val="0"/>
              <w:adjustRightInd/>
              <w:snapToGrid/>
              <w:spacing w:before="0" w:line="360" w:lineRule="exact"/>
              <w:ind w:firstLine="420" w:firstLineChars="200"/>
              <w:jc w:val="both"/>
              <w:textAlignment w:val="auto"/>
              <w:rPr>
                <w:rFonts w:hint="eastAsia" w:ascii="宋体" w:hAnsi="宋体" w:eastAsia="宋体" w:cs="宋体"/>
                <w:sz w:val="21"/>
                <w:szCs w:val="21"/>
                <w:highlight w:val="none"/>
              </w:rPr>
            </w:pPr>
            <w:r>
              <w:rPr>
                <w:rStyle w:val="15"/>
                <w:rFonts w:hint="eastAsia" w:ascii="宋体" w:hAnsi="宋体" w:eastAsia="宋体" w:cs="宋体"/>
                <w:color w:val="auto"/>
                <w:sz w:val="21"/>
                <w:szCs w:val="21"/>
                <w:highlight w:val="none"/>
                <w:shd w:val="clear" w:color="auto" w:fill="auto"/>
              </w:rPr>
              <w:t>（3）投标报价未超过招标文件设定的最高投标限价。</w:t>
            </w:r>
          </w:p>
          <w:p w14:paraId="07997F68">
            <w:pPr>
              <w:pStyle w:val="13"/>
              <w:keepNext w:val="0"/>
              <w:keepLines w:val="0"/>
              <w:pageBreakBefore w:val="0"/>
              <w:widowControl w:val="0"/>
              <w:shd w:val="clear" w:color="auto" w:fill="auto"/>
              <w:tabs>
                <w:tab w:val="left" w:pos="1075"/>
              </w:tabs>
              <w:kinsoku/>
              <w:wordWrap/>
              <w:overflowPunct/>
              <w:topLinePunct w:val="0"/>
              <w:autoSpaceDE/>
              <w:autoSpaceDN/>
              <w:bidi w:val="0"/>
              <w:adjustRightInd/>
              <w:snapToGrid/>
              <w:spacing w:before="0" w:line="360" w:lineRule="exact"/>
              <w:ind w:firstLine="420" w:firstLineChars="200"/>
              <w:jc w:val="both"/>
              <w:textAlignment w:val="auto"/>
              <w:rPr>
                <w:rFonts w:hint="eastAsia" w:ascii="宋体" w:hAnsi="宋体" w:eastAsia="宋体" w:cs="宋体"/>
                <w:sz w:val="21"/>
                <w:szCs w:val="21"/>
                <w:highlight w:val="none"/>
              </w:rPr>
            </w:pPr>
            <w:r>
              <w:rPr>
                <w:rStyle w:val="15"/>
                <w:rFonts w:hint="eastAsia" w:ascii="宋体" w:hAnsi="宋体" w:eastAsia="宋体" w:cs="宋体"/>
                <w:color w:val="auto"/>
                <w:sz w:val="21"/>
                <w:szCs w:val="21"/>
                <w:highlight w:val="none"/>
                <w:shd w:val="clear" w:color="auto" w:fill="auto"/>
              </w:rPr>
              <w:t>（4）投标报价的大写金额能够确定具体数值。</w:t>
            </w:r>
          </w:p>
          <w:p w14:paraId="5CCB2DDA">
            <w:pPr>
              <w:pStyle w:val="13"/>
              <w:keepNext w:val="0"/>
              <w:keepLines w:val="0"/>
              <w:pageBreakBefore w:val="0"/>
              <w:widowControl w:val="0"/>
              <w:shd w:val="clear" w:color="auto" w:fill="auto"/>
              <w:tabs>
                <w:tab w:val="left" w:pos="965"/>
              </w:tabs>
              <w:kinsoku/>
              <w:wordWrap/>
              <w:overflowPunct/>
              <w:topLinePunct w:val="0"/>
              <w:autoSpaceDE/>
              <w:autoSpaceDN/>
              <w:bidi w:val="0"/>
              <w:adjustRightInd/>
              <w:snapToGrid/>
              <w:spacing w:before="0" w:line="360" w:lineRule="exact"/>
              <w:ind w:firstLine="420" w:firstLineChars="200"/>
              <w:jc w:val="both"/>
              <w:textAlignment w:val="auto"/>
              <w:rPr>
                <w:rFonts w:hint="eastAsia" w:ascii="宋体" w:hAnsi="宋体" w:eastAsia="宋体" w:cs="宋体"/>
                <w:sz w:val="21"/>
                <w:szCs w:val="21"/>
                <w:highlight w:val="none"/>
              </w:rPr>
            </w:pPr>
            <w:r>
              <w:rPr>
                <w:rStyle w:val="15"/>
                <w:rFonts w:hint="eastAsia" w:ascii="宋体" w:hAnsi="宋体" w:eastAsia="宋体" w:cs="宋体"/>
                <w:color w:val="auto"/>
                <w:sz w:val="21"/>
                <w:szCs w:val="21"/>
                <w:highlight w:val="none"/>
                <w:shd w:val="clear" w:color="auto" w:fill="auto"/>
              </w:rPr>
              <w:t>（5）同一投标人未提交两个以上不同的投标报价，但招标文件要求提交备选投标的除外。</w:t>
            </w:r>
          </w:p>
        </w:tc>
      </w:tr>
      <w:tr w14:paraId="3E07E3D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853" w:type="dxa"/>
            <w:shd w:val="clear" w:color="auto" w:fill="auto"/>
            <w:vAlign w:val="center"/>
          </w:tcPr>
          <w:p w14:paraId="184A802F">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20"/>
                <w:sz w:val="21"/>
                <w:szCs w:val="21"/>
                <w:highlight w:val="none"/>
              </w:rPr>
            </w:pPr>
            <w:r>
              <w:rPr>
                <w:rFonts w:hint="eastAsia" w:ascii="宋体" w:hAnsi="宋体" w:eastAsia="宋体" w:cs="宋体"/>
                <w:kern w:val="20"/>
                <w:sz w:val="21"/>
                <w:szCs w:val="21"/>
                <w:highlight w:val="none"/>
              </w:rPr>
              <w:t>2.1.2</w:t>
            </w:r>
          </w:p>
        </w:tc>
        <w:tc>
          <w:tcPr>
            <w:tcW w:w="1173" w:type="dxa"/>
            <w:shd w:val="clear" w:color="auto" w:fill="auto"/>
            <w:vAlign w:val="center"/>
          </w:tcPr>
          <w:p w14:paraId="39C40A47">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20"/>
                <w:sz w:val="21"/>
                <w:szCs w:val="21"/>
                <w:highlight w:val="none"/>
              </w:rPr>
            </w:pPr>
            <w:r>
              <w:rPr>
                <w:rFonts w:hint="eastAsia" w:ascii="宋体" w:hAnsi="宋体" w:eastAsia="宋体" w:cs="宋体"/>
                <w:kern w:val="20"/>
                <w:sz w:val="21"/>
                <w:szCs w:val="21"/>
                <w:highlight w:val="none"/>
              </w:rPr>
              <w:t>资格</w:t>
            </w:r>
          </w:p>
          <w:p w14:paraId="009EE646">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20"/>
                <w:sz w:val="21"/>
                <w:szCs w:val="21"/>
                <w:highlight w:val="none"/>
              </w:rPr>
            </w:pPr>
            <w:r>
              <w:rPr>
                <w:rFonts w:hint="eastAsia" w:ascii="宋体" w:hAnsi="宋体" w:eastAsia="宋体" w:cs="宋体"/>
                <w:kern w:val="20"/>
                <w:sz w:val="21"/>
                <w:szCs w:val="21"/>
                <w:highlight w:val="none"/>
              </w:rPr>
              <w:t>评审标准</w:t>
            </w:r>
          </w:p>
        </w:tc>
        <w:tc>
          <w:tcPr>
            <w:tcW w:w="7536" w:type="dxa"/>
            <w:shd w:val="clear" w:color="auto" w:fill="auto"/>
          </w:tcPr>
          <w:p w14:paraId="49C04364">
            <w:pPr>
              <w:pStyle w:val="13"/>
              <w:keepNext w:val="0"/>
              <w:keepLines w:val="0"/>
              <w:pageBreakBefore w:val="0"/>
              <w:widowControl w:val="0"/>
              <w:shd w:val="clear" w:color="auto" w:fill="auto"/>
              <w:tabs>
                <w:tab w:val="left" w:pos="946"/>
              </w:tabs>
              <w:kinsoku/>
              <w:wordWrap/>
              <w:overflowPunct/>
              <w:topLinePunct w:val="0"/>
              <w:autoSpaceDE/>
              <w:autoSpaceDN/>
              <w:bidi w:val="0"/>
              <w:adjustRightInd/>
              <w:snapToGrid/>
              <w:spacing w:before="0" w:line="360" w:lineRule="exact"/>
              <w:ind w:firstLine="420" w:firstLineChars="200"/>
              <w:jc w:val="both"/>
              <w:textAlignment w:val="auto"/>
              <w:rPr>
                <w:rStyle w:val="15"/>
                <w:rFonts w:hint="eastAsia" w:ascii="宋体" w:hAnsi="宋体" w:eastAsia="宋体" w:cs="宋体"/>
                <w:color w:val="auto"/>
                <w:sz w:val="21"/>
                <w:szCs w:val="21"/>
                <w:highlight w:val="none"/>
                <w:shd w:val="clear" w:color="auto" w:fill="auto"/>
              </w:rPr>
            </w:pPr>
            <w:r>
              <w:rPr>
                <w:rStyle w:val="15"/>
                <w:rFonts w:hint="eastAsia" w:ascii="宋体" w:hAnsi="宋体" w:eastAsia="宋体" w:cs="宋体"/>
                <w:color w:val="auto"/>
                <w:sz w:val="21"/>
                <w:szCs w:val="21"/>
                <w:highlight w:val="none"/>
                <w:shd w:val="clear" w:color="auto" w:fill="auto"/>
              </w:rPr>
              <w:t>（1）投标人具备有效的营业执照、勘察资质证书、设计资质证书和基本账户开户许可证明材料。</w:t>
            </w:r>
          </w:p>
          <w:p w14:paraId="624754DC">
            <w:pPr>
              <w:pStyle w:val="13"/>
              <w:keepNext w:val="0"/>
              <w:keepLines w:val="0"/>
              <w:pageBreakBefore w:val="0"/>
              <w:widowControl w:val="0"/>
              <w:shd w:val="clear" w:color="auto" w:fill="auto"/>
              <w:tabs>
                <w:tab w:val="left" w:pos="1073"/>
              </w:tabs>
              <w:kinsoku/>
              <w:wordWrap/>
              <w:overflowPunct/>
              <w:topLinePunct w:val="0"/>
              <w:autoSpaceDE/>
              <w:autoSpaceDN/>
              <w:bidi w:val="0"/>
              <w:adjustRightInd/>
              <w:snapToGrid/>
              <w:spacing w:before="0" w:line="360" w:lineRule="exact"/>
              <w:ind w:firstLine="420" w:firstLineChars="200"/>
              <w:jc w:val="both"/>
              <w:textAlignment w:val="auto"/>
              <w:rPr>
                <w:rStyle w:val="15"/>
                <w:rFonts w:hint="eastAsia" w:ascii="宋体" w:hAnsi="宋体" w:eastAsia="宋体" w:cs="宋体"/>
                <w:color w:val="auto"/>
                <w:sz w:val="21"/>
                <w:szCs w:val="21"/>
                <w:highlight w:val="none"/>
                <w:shd w:val="clear" w:color="auto" w:fill="auto"/>
              </w:rPr>
            </w:pPr>
            <w:r>
              <w:rPr>
                <w:rStyle w:val="15"/>
                <w:rFonts w:hint="eastAsia" w:ascii="宋体" w:hAnsi="宋体" w:eastAsia="宋体" w:cs="宋体"/>
                <w:color w:val="auto"/>
                <w:sz w:val="21"/>
                <w:szCs w:val="21"/>
                <w:highlight w:val="none"/>
                <w:shd w:val="clear" w:color="auto" w:fill="auto"/>
              </w:rPr>
              <w:t>（2）投标人的资质等级符合招标文件规定。</w:t>
            </w:r>
          </w:p>
          <w:p w14:paraId="61702BFE">
            <w:pPr>
              <w:pStyle w:val="13"/>
              <w:keepNext w:val="0"/>
              <w:keepLines w:val="0"/>
              <w:pageBreakBefore w:val="0"/>
              <w:widowControl w:val="0"/>
              <w:shd w:val="clear" w:color="auto" w:fill="auto"/>
              <w:tabs>
                <w:tab w:val="left" w:pos="1078"/>
              </w:tabs>
              <w:kinsoku/>
              <w:wordWrap/>
              <w:overflowPunct/>
              <w:topLinePunct w:val="0"/>
              <w:autoSpaceDE/>
              <w:autoSpaceDN/>
              <w:bidi w:val="0"/>
              <w:adjustRightInd/>
              <w:snapToGrid/>
              <w:spacing w:before="0" w:line="360" w:lineRule="exact"/>
              <w:ind w:firstLine="420" w:firstLineChars="200"/>
              <w:jc w:val="both"/>
              <w:textAlignment w:val="auto"/>
              <w:rPr>
                <w:rStyle w:val="15"/>
                <w:rFonts w:hint="eastAsia" w:ascii="宋体" w:hAnsi="宋体" w:eastAsia="宋体" w:cs="宋体"/>
                <w:color w:val="auto"/>
                <w:sz w:val="21"/>
                <w:szCs w:val="21"/>
                <w:highlight w:val="none"/>
                <w:shd w:val="clear" w:color="auto" w:fill="auto"/>
              </w:rPr>
            </w:pPr>
            <w:r>
              <w:rPr>
                <w:rStyle w:val="15"/>
                <w:rFonts w:hint="eastAsia" w:ascii="宋体" w:hAnsi="宋体" w:eastAsia="宋体" w:cs="宋体"/>
                <w:color w:val="auto"/>
                <w:sz w:val="21"/>
                <w:szCs w:val="21"/>
                <w:highlight w:val="none"/>
                <w:shd w:val="clear" w:color="auto" w:fill="auto"/>
              </w:rPr>
              <w:t>（3）投标人的类似项目业绩符合招标文件规定。</w:t>
            </w:r>
          </w:p>
          <w:p w14:paraId="29CB581B">
            <w:pPr>
              <w:pStyle w:val="13"/>
              <w:keepNext w:val="0"/>
              <w:keepLines w:val="0"/>
              <w:pageBreakBefore w:val="0"/>
              <w:widowControl w:val="0"/>
              <w:shd w:val="clear" w:color="auto" w:fill="auto"/>
              <w:tabs>
                <w:tab w:val="left" w:pos="1075"/>
              </w:tabs>
              <w:kinsoku/>
              <w:wordWrap/>
              <w:overflowPunct/>
              <w:topLinePunct w:val="0"/>
              <w:autoSpaceDE/>
              <w:autoSpaceDN/>
              <w:bidi w:val="0"/>
              <w:adjustRightInd/>
              <w:snapToGrid/>
              <w:spacing w:before="0" w:line="360" w:lineRule="exact"/>
              <w:ind w:firstLine="420" w:firstLineChars="200"/>
              <w:jc w:val="both"/>
              <w:textAlignment w:val="auto"/>
              <w:rPr>
                <w:rStyle w:val="15"/>
                <w:rFonts w:hint="eastAsia" w:ascii="宋体" w:hAnsi="宋体" w:eastAsia="宋体" w:cs="宋体"/>
                <w:color w:val="auto"/>
                <w:sz w:val="21"/>
                <w:szCs w:val="21"/>
                <w:highlight w:val="none"/>
                <w:shd w:val="clear" w:color="auto" w:fill="auto"/>
              </w:rPr>
            </w:pPr>
            <w:r>
              <w:rPr>
                <w:rStyle w:val="15"/>
                <w:rFonts w:hint="eastAsia" w:ascii="宋体" w:hAnsi="宋体" w:eastAsia="宋体" w:cs="宋体"/>
                <w:color w:val="auto"/>
                <w:sz w:val="21"/>
                <w:szCs w:val="21"/>
                <w:highlight w:val="none"/>
                <w:shd w:val="clear" w:color="auto" w:fill="auto"/>
              </w:rPr>
              <w:t>（4）投标人的信誉符合招标文件规定。</w:t>
            </w:r>
          </w:p>
          <w:p w14:paraId="6B941AB7">
            <w:pPr>
              <w:pStyle w:val="13"/>
              <w:keepNext w:val="0"/>
              <w:keepLines w:val="0"/>
              <w:pageBreakBefore w:val="0"/>
              <w:widowControl w:val="0"/>
              <w:shd w:val="clear" w:color="auto" w:fill="auto"/>
              <w:tabs>
                <w:tab w:val="left" w:pos="1078"/>
              </w:tabs>
              <w:kinsoku/>
              <w:wordWrap/>
              <w:overflowPunct/>
              <w:topLinePunct w:val="0"/>
              <w:autoSpaceDE/>
              <w:autoSpaceDN/>
              <w:bidi w:val="0"/>
              <w:adjustRightInd/>
              <w:snapToGrid/>
              <w:spacing w:before="0" w:line="360" w:lineRule="exact"/>
              <w:ind w:firstLine="420" w:firstLineChars="200"/>
              <w:jc w:val="both"/>
              <w:textAlignment w:val="auto"/>
              <w:rPr>
                <w:rStyle w:val="15"/>
                <w:rFonts w:hint="eastAsia" w:ascii="宋体" w:hAnsi="宋体" w:eastAsia="宋体" w:cs="宋体"/>
                <w:color w:val="auto"/>
                <w:sz w:val="21"/>
                <w:szCs w:val="21"/>
                <w:highlight w:val="none"/>
                <w:shd w:val="clear" w:color="auto" w:fill="auto"/>
              </w:rPr>
            </w:pPr>
            <w:r>
              <w:rPr>
                <w:rStyle w:val="15"/>
                <w:rFonts w:hint="eastAsia" w:ascii="宋体" w:hAnsi="宋体" w:eastAsia="宋体" w:cs="宋体"/>
                <w:color w:val="auto"/>
                <w:sz w:val="21"/>
                <w:szCs w:val="21"/>
                <w:highlight w:val="none"/>
                <w:shd w:val="clear" w:color="auto" w:fill="auto"/>
              </w:rPr>
              <w:t>（5）投标人的项目负责人资格符合招标文件规定。</w:t>
            </w:r>
          </w:p>
          <w:p w14:paraId="12226D97">
            <w:pPr>
              <w:pStyle w:val="13"/>
              <w:keepNext w:val="0"/>
              <w:keepLines w:val="0"/>
              <w:pageBreakBefore w:val="0"/>
              <w:widowControl w:val="0"/>
              <w:shd w:val="clear" w:color="auto" w:fill="auto"/>
              <w:tabs>
                <w:tab w:val="left" w:pos="1078"/>
              </w:tabs>
              <w:kinsoku/>
              <w:wordWrap/>
              <w:overflowPunct/>
              <w:topLinePunct w:val="0"/>
              <w:autoSpaceDE/>
              <w:autoSpaceDN/>
              <w:bidi w:val="0"/>
              <w:adjustRightInd/>
              <w:snapToGrid/>
              <w:spacing w:before="0" w:line="360" w:lineRule="exact"/>
              <w:ind w:firstLine="420" w:firstLineChars="200"/>
              <w:jc w:val="both"/>
              <w:textAlignment w:val="auto"/>
              <w:rPr>
                <w:rStyle w:val="15"/>
                <w:rFonts w:hint="eastAsia" w:ascii="宋体" w:hAnsi="宋体" w:eastAsia="宋体" w:cs="宋体"/>
                <w:color w:val="auto"/>
                <w:sz w:val="21"/>
                <w:szCs w:val="21"/>
                <w:highlight w:val="none"/>
                <w:shd w:val="clear" w:color="auto" w:fill="auto"/>
                <w:lang w:eastAsia="zh-CN"/>
              </w:rPr>
            </w:pPr>
            <w:r>
              <w:rPr>
                <w:rStyle w:val="15"/>
                <w:rFonts w:hint="eastAsia" w:ascii="宋体" w:hAnsi="宋体" w:eastAsia="宋体" w:cs="宋体"/>
                <w:color w:val="auto"/>
                <w:sz w:val="21"/>
                <w:szCs w:val="21"/>
                <w:highlight w:val="none"/>
                <w:shd w:val="clear" w:color="auto" w:fill="auto"/>
                <w:lang w:eastAsia="zh-CN"/>
              </w:rPr>
              <w:t>（</w:t>
            </w:r>
            <w:r>
              <w:rPr>
                <w:rStyle w:val="15"/>
                <w:rFonts w:hint="eastAsia" w:ascii="宋体" w:hAnsi="宋体" w:eastAsia="宋体" w:cs="宋体"/>
                <w:color w:val="auto"/>
                <w:sz w:val="21"/>
                <w:szCs w:val="21"/>
                <w:highlight w:val="none"/>
                <w:shd w:val="clear" w:color="auto" w:fill="auto"/>
                <w:lang w:val="en-US" w:eastAsia="zh-CN"/>
              </w:rPr>
              <w:t>6</w:t>
            </w:r>
            <w:r>
              <w:rPr>
                <w:rStyle w:val="15"/>
                <w:rFonts w:hint="eastAsia" w:ascii="宋体" w:hAnsi="宋体" w:eastAsia="宋体" w:cs="宋体"/>
                <w:color w:val="auto"/>
                <w:sz w:val="21"/>
                <w:szCs w:val="21"/>
                <w:highlight w:val="none"/>
                <w:shd w:val="clear" w:color="auto" w:fill="auto"/>
                <w:lang w:eastAsia="zh-CN"/>
              </w:rPr>
              <w:t>）</w:t>
            </w:r>
            <w:r>
              <w:rPr>
                <w:rStyle w:val="15"/>
                <w:rFonts w:hint="eastAsia" w:ascii="宋体" w:hAnsi="宋体" w:eastAsia="宋体" w:cs="宋体"/>
                <w:color w:val="auto"/>
                <w:sz w:val="21"/>
                <w:szCs w:val="21"/>
                <w:highlight w:val="none"/>
                <w:shd w:val="clear" w:color="auto" w:fill="auto"/>
              </w:rPr>
              <w:t>投标人的</w:t>
            </w:r>
            <w:r>
              <w:rPr>
                <w:rStyle w:val="15"/>
                <w:rFonts w:hint="eastAsia" w:ascii="宋体" w:hAnsi="宋体" w:eastAsia="宋体" w:cs="宋体"/>
                <w:color w:val="auto"/>
                <w:sz w:val="21"/>
                <w:szCs w:val="21"/>
                <w:highlight w:val="none"/>
                <w:shd w:val="clear" w:color="auto" w:fill="auto"/>
                <w:lang w:val="en-US" w:eastAsia="zh-CN"/>
              </w:rPr>
              <w:t>分项</w:t>
            </w:r>
            <w:r>
              <w:rPr>
                <w:rStyle w:val="15"/>
                <w:rFonts w:hint="eastAsia" w:ascii="宋体" w:hAnsi="宋体" w:eastAsia="宋体" w:cs="宋体"/>
                <w:color w:val="auto"/>
                <w:sz w:val="21"/>
                <w:szCs w:val="21"/>
                <w:highlight w:val="none"/>
                <w:shd w:val="clear" w:color="auto" w:fill="auto"/>
              </w:rPr>
              <w:t>负责人资格符合招标文件规定。</w:t>
            </w:r>
          </w:p>
          <w:p w14:paraId="014A12BA">
            <w:pPr>
              <w:pStyle w:val="13"/>
              <w:keepNext w:val="0"/>
              <w:keepLines w:val="0"/>
              <w:pageBreakBefore w:val="0"/>
              <w:widowControl w:val="0"/>
              <w:shd w:val="clear" w:color="auto" w:fill="auto"/>
              <w:tabs>
                <w:tab w:val="left" w:pos="1073"/>
              </w:tabs>
              <w:kinsoku/>
              <w:wordWrap/>
              <w:overflowPunct/>
              <w:topLinePunct w:val="0"/>
              <w:autoSpaceDE/>
              <w:autoSpaceDN/>
              <w:bidi w:val="0"/>
              <w:adjustRightInd/>
              <w:snapToGrid/>
              <w:spacing w:before="0" w:line="360" w:lineRule="exact"/>
              <w:ind w:firstLine="420" w:firstLineChars="200"/>
              <w:jc w:val="both"/>
              <w:textAlignment w:val="auto"/>
              <w:rPr>
                <w:rStyle w:val="15"/>
                <w:rFonts w:hint="eastAsia" w:ascii="宋体" w:hAnsi="宋体" w:eastAsia="宋体" w:cs="宋体"/>
                <w:color w:val="auto"/>
                <w:sz w:val="21"/>
                <w:szCs w:val="21"/>
                <w:highlight w:val="none"/>
                <w:shd w:val="clear" w:color="auto" w:fill="auto"/>
              </w:rPr>
            </w:pPr>
            <w:r>
              <w:rPr>
                <w:rStyle w:val="15"/>
                <w:rFonts w:hint="eastAsia" w:ascii="宋体" w:hAnsi="宋体" w:eastAsia="宋体" w:cs="宋体"/>
                <w:color w:val="auto"/>
                <w:sz w:val="21"/>
                <w:szCs w:val="21"/>
                <w:highlight w:val="none"/>
                <w:shd w:val="clear" w:color="auto" w:fill="auto"/>
              </w:rPr>
              <w:t>（</w:t>
            </w:r>
            <w:r>
              <w:rPr>
                <w:rStyle w:val="15"/>
                <w:rFonts w:hint="eastAsia" w:ascii="宋体" w:hAnsi="宋体" w:eastAsia="宋体" w:cs="宋体"/>
                <w:color w:val="auto"/>
                <w:sz w:val="21"/>
                <w:szCs w:val="21"/>
                <w:highlight w:val="none"/>
                <w:shd w:val="clear" w:color="auto" w:fill="auto"/>
                <w:lang w:val="en-US" w:eastAsia="zh-CN"/>
              </w:rPr>
              <w:t>7</w:t>
            </w:r>
            <w:r>
              <w:rPr>
                <w:rStyle w:val="15"/>
                <w:rFonts w:hint="eastAsia" w:ascii="宋体" w:hAnsi="宋体" w:eastAsia="宋体" w:cs="宋体"/>
                <w:color w:val="auto"/>
                <w:sz w:val="21"/>
                <w:szCs w:val="21"/>
                <w:highlight w:val="none"/>
                <w:shd w:val="clear" w:color="auto" w:fill="auto"/>
              </w:rPr>
              <w:t>）投标人不存在第二章“投标人须知”第1.4.3项或第1.4.4项规定的任何一种情形。</w:t>
            </w:r>
          </w:p>
          <w:p w14:paraId="58815020">
            <w:pPr>
              <w:pStyle w:val="13"/>
              <w:keepNext w:val="0"/>
              <w:keepLines w:val="0"/>
              <w:pageBreakBefore w:val="0"/>
              <w:widowControl w:val="0"/>
              <w:shd w:val="clear" w:color="auto" w:fill="auto"/>
              <w:tabs>
                <w:tab w:val="left" w:pos="1073"/>
              </w:tabs>
              <w:kinsoku/>
              <w:wordWrap/>
              <w:overflowPunct/>
              <w:topLinePunct w:val="0"/>
              <w:autoSpaceDE/>
              <w:autoSpaceDN/>
              <w:bidi w:val="0"/>
              <w:adjustRightInd/>
              <w:snapToGrid/>
              <w:spacing w:before="0" w:line="360" w:lineRule="exact"/>
              <w:ind w:firstLine="420" w:firstLineChars="200"/>
              <w:jc w:val="both"/>
              <w:textAlignment w:val="auto"/>
              <w:rPr>
                <w:rStyle w:val="15"/>
                <w:rFonts w:hint="eastAsia" w:ascii="宋体" w:hAnsi="宋体" w:eastAsia="宋体" w:cs="宋体"/>
                <w:color w:val="auto"/>
                <w:sz w:val="21"/>
                <w:szCs w:val="21"/>
                <w:highlight w:val="none"/>
                <w:shd w:val="clear" w:color="auto" w:fill="auto"/>
              </w:rPr>
            </w:pPr>
            <w:r>
              <w:rPr>
                <w:rStyle w:val="15"/>
                <w:rFonts w:hint="eastAsia" w:ascii="宋体" w:hAnsi="宋体" w:eastAsia="宋体" w:cs="宋体"/>
                <w:color w:val="auto"/>
                <w:sz w:val="21"/>
                <w:szCs w:val="21"/>
                <w:highlight w:val="none"/>
                <w:shd w:val="clear" w:color="auto" w:fill="auto"/>
              </w:rPr>
              <w:t>（</w:t>
            </w:r>
            <w:r>
              <w:rPr>
                <w:rStyle w:val="15"/>
                <w:rFonts w:hint="eastAsia" w:ascii="宋体" w:hAnsi="宋体" w:eastAsia="宋体" w:cs="宋体"/>
                <w:color w:val="auto"/>
                <w:sz w:val="21"/>
                <w:szCs w:val="21"/>
                <w:highlight w:val="none"/>
                <w:shd w:val="clear" w:color="auto" w:fill="auto"/>
                <w:lang w:val="en-US" w:eastAsia="zh-CN"/>
              </w:rPr>
              <w:t>8</w:t>
            </w:r>
            <w:r>
              <w:rPr>
                <w:rStyle w:val="15"/>
                <w:rFonts w:hint="eastAsia" w:ascii="宋体" w:hAnsi="宋体" w:eastAsia="宋体" w:cs="宋体"/>
                <w:color w:val="auto"/>
                <w:sz w:val="21"/>
                <w:szCs w:val="21"/>
                <w:highlight w:val="none"/>
                <w:shd w:val="clear" w:color="auto" w:fill="auto"/>
              </w:rPr>
              <w:t>）投标人符合第二章“投标人须知”第1.4.5项规定。</w:t>
            </w:r>
          </w:p>
          <w:p w14:paraId="549C101A">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Style w:val="15"/>
                <w:rFonts w:hint="eastAsia" w:ascii="宋体" w:hAnsi="宋体" w:eastAsia="宋体" w:cs="宋体"/>
                <w:color w:val="auto"/>
                <w:kern w:val="0"/>
                <w:sz w:val="21"/>
                <w:szCs w:val="21"/>
                <w:highlight w:val="none"/>
                <w:shd w:val="clear" w:color="auto" w:fill="auto"/>
              </w:rPr>
            </w:pPr>
            <w:r>
              <w:rPr>
                <w:rStyle w:val="15"/>
                <w:rFonts w:hint="eastAsia" w:ascii="宋体" w:hAnsi="宋体" w:eastAsia="宋体" w:cs="宋体"/>
                <w:color w:val="auto"/>
                <w:kern w:val="0"/>
                <w:sz w:val="21"/>
                <w:szCs w:val="21"/>
                <w:highlight w:val="none"/>
                <w:shd w:val="clear" w:color="auto" w:fill="auto"/>
              </w:rPr>
              <w:t>（</w:t>
            </w:r>
            <w:r>
              <w:rPr>
                <w:rStyle w:val="15"/>
                <w:rFonts w:hint="eastAsia" w:ascii="宋体" w:hAnsi="宋体" w:eastAsia="宋体" w:cs="宋体"/>
                <w:color w:val="auto"/>
                <w:kern w:val="0"/>
                <w:sz w:val="21"/>
                <w:szCs w:val="21"/>
                <w:highlight w:val="none"/>
                <w:shd w:val="clear" w:color="auto" w:fill="auto"/>
                <w:lang w:val="en-US" w:eastAsia="zh-CN"/>
              </w:rPr>
              <w:t>9</w:t>
            </w:r>
            <w:r>
              <w:rPr>
                <w:rStyle w:val="15"/>
                <w:rFonts w:hint="eastAsia" w:ascii="宋体" w:hAnsi="宋体" w:eastAsia="宋体" w:cs="宋体"/>
                <w:color w:val="auto"/>
                <w:kern w:val="0"/>
                <w:sz w:val="21"/>
                <w:szCs w:val="21"/>
                <w:highlight w:val="none"/>
                <w:shd w:val="clear" w:color="auto" w:fill="auto"/>
              </w:rPr>
              <w:t>）以联合体形式参与投标的，联合体各方均未再以自己名义单独或参加其他联合体在同一标段中投标；独立参与投标的，投标人未同时参加联合体在同一标段中投标。</w:t>
            </w:r>
          </w:p>
        </w:tc>
      </w:tr>
    </w:tbl>
    <w:p w14:paraId="61AECA07">
      <w:pPr>
        <w:keepLines w:val="0"/>
        <w:kinsoku/>
        <w:wordWrap/>
        <w:overflowPunct/>
        <w:topLinePunct w:val="0"/>
        <w:autoSpaceDE/>
        <w:autoSpaceDN/>
        <w:bidi w:val="0"/>
        <w:spacing w:line="360" w:lineRule="exact"/>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br w:type="page"/>
      </w:r>
    </w:p>
    <w:tbl>
      <w:tblPr>
        <w:tblStyle w:val="6"/>
        <w:tblW w:w="9562"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853"/>
        <w:gridCol w:w="1173"/>
        <w:gridCol w:w="7536"/>
      </w:tblGrid>
      <w:tr w14:paraId="4A15CC9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3" w:type="dxa"/>
            <w:shd w:val="clear" w:color="auto" w:fill="auto"/>
            <w:vAlign w:val="center"/>
          </w:tcPr>
          <w:p w14:paraId="1171939E">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条款号</w:t>
            </w:r>
          </w:p>
        </w:tc>
        <w:tc>
          <w:tcPr>
            <w:tcW w:w="1173" w:type="dxa"/>
            <w:shd w:val="clear" w:color="auto" w:fill="auto"/>
            <w:vAlign w:val="center"/>
          </w:tcPr>
          <w:p w14:paraId="30ADBFAA">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条款内容</w:t>
            </w:r>
          </w:p>
        </w:tc>
        <w:tc>
          <w:tcPr>
            <w:tcW w:w="7536" w:type="dxa"/>
            <w:shd w:val="clear" w:color="auto" w:fill="auto"/>
            <w:vAlign w:val="center"/>
          </w:tcPr>
          <w:p w14:paraId="676C6AFE">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编列内容</w:t>
            </w:r>
          </w:p>
        </w:tc>
      </w:tr>
      <w:tr w14:paraId="3C65CCE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336" w:hRule="atLeast"/>
          <w:jc w:val="center"/>
        </w:trPr>
        <w:tc>
          <w:tcPr>
            <w:tcW w:w="853" w:type="dxa"/>
            <w:shd w:val="clear" w:color="auto" w:fill="auto"/>
            <w:vAlign w:val="center"/>
          </w:tcPr>
          <w:p w14:paraId="3E9CC7A0">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20"/>
                <w:sz w:val="21"/>
                <w:szCs w:val="21"/>
                <w:highlight w:val="none"/>
              </w:rPr>
            </w:pPr>
            <w:r>
              <w:rPr>
                <w:rFonts w:hint="eastAsia" w:ascii="宋体" w:hAnsi="宋体" w:eastAsia="宋体" w:cs="宋体"/>
                <w:kern w:val="20"/>
                <w:sz w:val="21"/>
                <w:szCs w:val="21"/>
                <w:highlight w:val="none"/>
              </w:rPr>
              <w:t>2.2.1</w:t>
            </w:r>
          </w:p>
        </w:tc>
        <w:tc>
          <w:tcPr>
            <w:tcW w:w="1173" w:type="dxa"/>
            <w:shd w:val="clear" w:color="auto" w:fill="auto"/>
            <w:vAlign w:val="center"/>
          </w:tcPr>
          <w:p w14:paraId="01B613B7">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Style w:val="16"/>
                <w:rFonts w:hint="eastAsia" w:ascii="宋体" w:hAnsi="宋体" w:eastAsia="宋体" w:cs="宋体"/>
                <w:b w:val="0"/>
                <w:color w:val="auto"/>
                <w:sz w:val="21"/>
                <w:szCs w:val="21"/>
                <w:highlight w:val="none"/>
                <w:lang w:eastAsia="zh-CN"/>
              </w:rPr>
            </w:pPr>
            <w:r>
              <w:rPr>
                <w:rStyle w:val="16"/>
                <w:rFonts w:hint="eastAsia" w:ascii="宋体" w:hAnsi="宋体" w:eastAsia="宋体" w:cs="宋体"/>
                <w:b w:val="0"/>
                <w:color w:val="auto"/>
                <w:sz w:val="21"/>
                <w:szCs w:val="21"/>
                <w:highlight w:val="none"/>
              </w:rPr>
              <w:t>分值构成</w:t>
            </w:r>
          </w:p>
          <w:p w14:paraId="60D5C24C">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20"/>
                <w:sz w:val="21"/>
                <w:szCs w:val="21"/>
                <w:highlight w:val="none"/>
              </w:rPr>
            </w:pPr>
            <w:r>
              <w:rPr>
                <w:rStyle w:val="16"/>
                <w:rFonts w:hint="eastAsia" w:ascii="宋体" w:hAnsi="宋体" w:eastAsia="宋体" w:cs="宋体"/>
                <w:b w:val="0"/>
                <w:color w:val="auto"/>
                <w:sz w:val="21"/>
                <w:szCs w:val="21"/>
                <w:highlight w:val="none"/>
                <w:lang w:eastAsia="zh-CN"/>
              </w:rPr>
              <w:t>（</w:t>
            </w:r>
            <w:r>
              <w:rPr>
                <w:rStyle w:val="16"/>
                <w:rFonts w:hint="eastAsia" w:ascii="宋体" w:hAnsi="宋体" w:eastAsia="宋体" w:cs="宋体"/>
                <w:b w:val="0"/>
                <w:color w:val="auto"/>
                <w:sz w:val="21"/>
                <w:szCs w:val="21"/>
                <w:highlight w:val="none"/>
              </w:rPr>
              <w:t>总分</w:t>
            </w:r>
            <w:r>
              <w:rPr>
                <w:rStyle w:val="16"/>
                <w:rFonts w:hint="eastAsia" w:ascii="宋体" w:hAnsi="宋体" w:eastAsia="宋体" w:cs="宋体"/>
                <w:b w:val="0"/>
                <w:color w:val="auto"/>
                <w:sz w:val="21"/>
                <w:szCs w:val="21"/>
                <w:highlight w:val="none"/>
              </w:rPr>
              <w:br w:type="textWrapping"/>
            </w:r>
            <w:r>
              <w:rPr>
                <w:rStyle w:val="16"/>
                <w:rFonts w:hint="eastAsia" w:ascii="宋体" w:hAnsi="宋体" w:eastAsia="宋体" w:cs="宋体"/>
                <w:b w:val="0"/>
                <w:color w:val="auto"/>
                <w:sz w:val="21"/>
                <w:szCs w:val="21"/>
                <w:highlight w:val="none"/>
              </w:rPr>
              <w:t>100分）</w:t>
            </w:r>
          </w:p>
        </w:tc>
        <w:tc>
          <w:tcPr>
            <w:tcW w:w="7536" w:type="dxa"/>
            <w:shd w:val="clear" w:color="auto" w:fill="auto"/>
          </w:tcPr>
          <w:p w14:paraId="532CD6CD">
            <w:pPr>
              <w:pStyle w:val="13"/>
              <w:keepNext w:val="0"/>
              <w:keepLines w:val="0"/>
              <w:pageBreakBefore w:val="0"/>
              <w:widowControl w:val="0"/>
              <w:shd w:val="clear" w:color="auto" w:fill="auto"/>
              <w:kinsoku/>
              <w:wordWrap/>
              <w:overflowPunct/>
              <w:topLinePunct w:val="0"/>
              <w:autoSpaceDE/>
              <w:autoSpaceDN/>
              <w:bidi w:val="0"/>
              <w:spacing w:before="0" w:line="360" w:lineRule="exact"/>
              <w:ind w:firstLine="420" w:firstLineChars="200"/>
              <w:jc w:val="left"/>
              <w:rPr>
                <w:rStyle w:val="16"/>
                <w:rFonts w:hint="eastAsia" w:ascii="宋体" w:hAnsi="宋体" w:eastAsia="宋体" w:cs="宋体"/>
                <w:b w:val="0"/>
                <w:color w:val="auto"/>
                <w:sz w:val="21"/>
                <w:szCs w:val="21"/>
                <w:highlight w:val="none"/>
              </w:rPr>
            </w:pPr>
            <w:r>
              <w:rPr>
                <w:rStyle w:val="16"/>
                <w:rFonts w:hint="eastAsia" w:ascii="宋体" w:hAnsi="宋体" w:eastAsia="宋体" w:cs="宋体"/>
                <w:b w:val="0"/>
                <w:color w:val="auto"/>
                <w:sz w:val="21"/>
                <w:szCs w:val="21"/>
                <w:highlight w:val="none"/>
              </w:rPr>
              <w:t>第一个信封（商务及技术文件）评分分值构成：</w:t>
            </w:r>
          </w:p>
          <w:p w14:paraId="234851F9">
            <w:pPr>
              <w:pStyle w:val="13"/>
              <w:keepNext w:val="0"/>
              <w:keepLines w:val="0"/>
              <w:pageBreakBefore w:val="0"/>
              <w:widowControl w:val="0"/>
              <w:shd w:val="clear" w:color="auto" w:fill="auto"/>
              <w:kinsoku/>
              <w:wordWrap/>
              <w:overflowPunct/>
              <w:topLinePunct w:val="0"/>
              <w:autoSpaceDE/>
              <w:autoSpaceDN/>
              <w:bidi w:val="0"/>
              <w:spacing w:before="0" w:line="360" w:lineRule="exact"/>
              <w:ind w:firstLine="420" w:firstLineChars="200"/>
              <w:jc w:val="left"/>
              <w:rPr>
                <w:rStyle w:val="16"/>
                <w:rFonts w:hint="eastAsia" w:ascii="宋体" w:hAnsi="宋体" w:eastAsia="宋体" w:cs="宋体"/>
                <w:b w:val="0"/>
                <w:color w:val="auto"/>
                <w:sz w:val="21"/>
                <w:szCs w:val="21"/>
                <w:highlight w:val="none"/>
              </w:rPr>
            </w:pPr>
            <w:r>
              <w:rPr>
                <w:rStyle w:val="16"/>
                <w:rFonts w:hint="eastAsia" w:ascii="宋体" w:hAnsi="宋体" w:eastAsia="宋体" w:cs="宋体"/>
                <w:b w:val="0"/>
                <w:color w:val="auto"/>
                <w:sz w:val="21"/>
                <w:szCs w:val="21"/>
                <w:highlight w:val="none"/>
              </w:rPr>
              <w:t>技术建议书：</w:t>
            </w:r>
            <w:r>
              <w:rPr>
                <w:rStyle w:val="16"/>
                <w:rFonts w:hint="eastAsia" w:ascii="宋体" w:hAnsi="宋体" w:eastAsia="宋体" w:cs="宋体"/>
                <w:b w:val="0"/>
                <w:color w:val="auto"/>
                <w:sz w:val="21"/>
                <w:szCs w:val="21"/>
                <w:highlight w:val="none"/>
                <w:u w:val="single"/>
                <w:lang w:val="en-US" w:eastAsia="zh-CN"/>
              </w:rPr>
              <w:t>45</w:t>
            </w:r>
            <w:r>
              <w:rPr>
                <w:rStyle w:val="16"/>
                <w:rFonts w:hint="eastAsia" w:ascii="宋体" w:hAnsi="宋体" w:eastAsia="宋体" w:cs="宋体"/>
                <w:b w:val="0"/>
                <w:color w:val="auto"/>
                <w:sz w:val="21"/>
                <w:szCs w:val="21"/>
                <w:highlight w:val="none"/>
              </w:rPr>
              <w:t>分</w:t>
            </w:r>
          </w:p>
          <w:p w14:paraId="07039FE2">
            <w:pPr>
              <w:pStyle w:val="13"/>
              <w:keepNext w:val="0"/>
              <w:keepLines w:val="0"/>
              <w:pageBreakBefore w:val="0"/>
              <w:widowControl w:val="0"/>
              <w:shd w:val="clear" w:color="auto" w:fill="auto"/>
              <w:kinsoku/>
              <w:wordWrap/>
              <w:overflowPunct/>
              <w:topLinePunct w:val="0"/>
              <w:autoSpaceDE/>
              <w:autoSpaceDN/>
              <w:bidi w:val="0"/>
              <w:spacing w:before="0" w:line="360" w:lineRule="exact"/>
              <w:ind w:firstLine="420" w:firstLineChars="200"/>
              <w:jc w:val="left"/>
              <w:rPr>
                <w:rStyle w:val="16"/>
                <w:rFonts w:hint="eastAsia" w:ascii="宋体" w:hAnsi="宋体" w:eastAsia="宋体" w:cs="宋体"/>
                <w:b w:val="0"/>
                <w:color w:val="auto"/>
                <w:sz w:val="21"/>
                <w:szCs w:val="21"/>
                <w:highlight w:val="none"/>
              </w:rPr>
            </w:pPr>
            <w:r>
              <w:rPr>
                <w:rStyle w:val="16"/>
                <w:rFonts w:hint="eastAsia" w:ascii="宋体" w:hAnsi="宋体" w:eastAsia="宋体" w:cs="宋体"/>
                <w:b w:val="0"/>
                <w:color w:val="auto"/>
                <w:sz w:val="21"/>
                <w:szCs w:val="21"/>
                <w:highlight w:val="none"/>
              </w:rPr>
              <w:t>主要人员：</w:t>
            </w:r>
            <w:r>
              <w:rPr>
                <w:rStyle w:val="16"/>
                <w:rFonts w:hint="eastAsia" w:ascii="宋体" w:hAnsi="宋体" w:eastAsia="宋体" w:cs="宋体"/>
                <w:b w:val="0"/>
                <w:color w:val="auto"/>
                <w:sz w:val="21"/>
                <w:szCs w:val="21"/>
                <w:highlight w:val="none"/>
                <w:u w:val="single"/>
                <w:lang w:eastAsia="zh-CN"/>
              </w:rPr>
              <w:t>2</w:t>
            </w:r>
            <w:r>
              <w:rPr>
                <w:rStyle w:val="16"/>
                <w:rFonts w:hint="eastAsia" w:ascii="宋体" w:hAnsi="宋体" w:eastAsia="宋体" w:cs="宋体"/>
                <w:b w:val="0"/>
                <w:color w:val="auto"/>
                <w:sz w:val="21"/>
                <w:szCs w:val="21"/>
                <w:highlight w:val="none"/>
                <w:u w:val="single"/>
                <w:lang w:val="en-US" w:eastAsia="zh-CN"/>
              </w:rPr>
              <w:t>0</w:t>
            </w:r>
            <w:r>
              <w:rPr>
                <w:rStyle w:val="16"/>
                <w:rFonts w:hint="eastAsia" w:ascii="宋体" w:hAnsi="宋体" w:eastAsia="宋体" w:cs="宋体"/>
                <w:b w:val="0"/>
                <w:color w:val="auto"/>
                <w:sz w:val="21"/>
                <w:szCs w:val="21"/>
                <w:highlight w:val="none"/>
              </w:rPr>
              <w:t>分</w:t>
            </w:r>
          </w:p>
          <w:p w14:paraId="3A0ADA78">
            <w:pPr>
              <w:pStyle w:val="13"/>
              <w:keepNext w:val="0"/>
              <w:keepLines w:val="0"/>
              <w:pageBreakBefore w:val="0"/>
              <w:widowControl w:val="0"/>
              <w:shd w:val="clear" w:color="auto" w:fill="auto"/>
              <w:kinsoku/>
              <w:wordWrap/>
              <w:overflowPunct/>
              <w:topLinePunct w:val="0"/>
              <w:autoSpaceDE/>
              <w:autoSpaceDN/>
              <w:bidi w:val="0"/>
              <w:spacing w:before="0" w:line="360" w:lineRule="exact"/>
              <w:ind w:firstLine="420" w:firstLineChars="200"/>
              <w:jc w:val="left"/>
              <w:rPr>
                <w:rStyle w:val="16"/>
                <w:rFonts w:hint="eastAsia" w:ascii="宋体" w:hAnsi="宋体" w:eastAsia="宋体" w:cs="宋体"/>
                <w:b w:val="0"/>
                <w:color w:val="auto"/>
                <w:sz w:val="21"/>
                <w:szCs w:val="21"/>
                <w:highlight w:val="none"/>
              </w:rPr>
            </w:pPr>
            <w:r>
              <w:rPr>
                <w:rStyle w:val="16"/>
                <w:rFonts w:hint="eastAsia" w:ascii="宋体" w:hAnsi="宋体" w:eastAsia="宋体" w:cs="宋体"/>
                <w:b w:val="0"/>
                <w:color w:val="auto"/>
                <w:sz w:val="21"/>
                <w:szCs w:val="21"/>
                <w:highlight w:val="none"/>
              </w:rPr>
              <w:t>业绩：</w:t>
            </w:r>
            <w:r>
              <w:rPr>
                <w:rStyle w:val="16"/>
                <w:rFonts w:hint="eastAsia" w:ascii="宋体" w:hAnsi="宋体" w:eastAsia="宋体" w:cs="宋体"/>
                <w:b w:val="0"/>
                <w:color w:val="auto"/>
                <w:sz w:val="21"/>
                <w:szCs w:val="21"/>
                <w:highlight w:val="none"/>
                <w:u w:val="single"/>
                <w:lang w:eastAsia="zh-CN"/>
              </w:rPr>
              <w:t>2</w:t>
            </w:r>
            <w:r>
              <w:rPr>
                <w:rStyle w:val="16"/>
                <w:rFonts w:hint="eastAsia" w:ascii="宋体" w:hAnsi="宋体" w:eastAsia="宋体" w:cs="宋体"/>
                <w:b w:val="0"/>
                <w:color w:val="auto"/>
                <w:sz w:val="21"/>
                <w:szCs w:val="21"/>
                <w:highlight w:val="none"/>
                <w:u w:val="single"/>
                <w:lang w:val="en-US" w:eastAsia="zh-CN"/>
              </w:rPr>
              <w:t>0</w:t>
            </w:r>
            <w:r>
              <w:rPr>
                <w:rStyle w:val="16"/>
                <w:rFonts w:hint="eastAsia" w:ascii="宋体" w:hAnsi="宋体" w:eastAsia="宋体" w:cs="宋体"/>
                <w:b w:val="0"/>
                <w:color w:val="auto"/>
                <w:sz w:val="21"/>
                <w:szCs w:val="21"/>
                <w:highlight w:val="none"/>
              </w:rPr>
              <w:t>分</w:t>
            </w:r>
          </w:p>
          <w:p w14:paraId="47BE433E">
            <w:pPr>
              <w:pStyle w:val="13"/>
              <w:keepNext w:val="0"/>
              <w:keepLines w:val="0"/>
              <w:pageBreakBefore w:val="0"/>
              <w:widowControl w:val="0"/>
              <w:shd w:val="clear" w:color="auto" w:fill="auto"/>
              <w:kinsoku/>
              <w:wordWrap/>
              <w:overflowPunct/>
              <w:topLinePunct w:val="0"/>
              <w:autoSpaceDE/>
              <w:autoSpaceDN/>
              <w:bidi w:val="0"/>
              <w:spacing w:before="0" w:line="360" w:lineRule="exact"/>
              <w:ind w:firstLine="420" w:firstLineChars="200"/>
              <w:jc w:val="left"/>
              <w:rPr>
                <w:rStyle w:val="16"/>
                <w:rFonts w:hint="eastAsia" w:ascii="宋体" w:hAnsi="宋体" w:eastAsia="宋体" w:cs="宋体"/>
                <w:b w:val="0"/>
                <w:color w:val="auto"/>
                <w:sz w:val="21"/>
                <w:szCs w:val="21"/>
                <w:highlight w:val="none"/>
                <w:lang w:eastAsia="zh-CN"/>
              </w:rPr>
            </w:pPr>
            <w:r>
              <w:rPr>
                <w:rStyle w:val="16"/>
                <w:rFonts w:hint="eastAsia" w:ascii="宋体" w:hAnsi="宋体" w:eastAsia="宋体" w:cs="宋体"/>
                <w:b w:val="0"/>
                <w:color w:val="auto"/>
                <w:sz w:val="21"/>
                <w:szCs w:val="21"/>
                <w:highlight w:val="none"/>
              </w:rPr>
              <w:t>履约信誉：</w:t>
            </w:r>
            <w:r>
              <w:rPr>
                <w:rStyle w:val="16"/>
                <w:rFonts w:hint="eastAsia" w:ascii="宋体" w:hAnsi="宋体" w:eastAsia="宋体" w:cs="宋体"/>
                <w:b w:val="0"/>
                <w:color w:val="auto"/>
                <w:sz w:val="21"/>
                <w:szCs w:val="21"/>
                <w:highlight w:val="none"/>
                <w:u w:val="single"/>
                <w:lang w:val="en-US" w:eastAsia="zh-CN"/>
              </w:rPr>
              <w:t>5</w:t>
            </w:r>
            <w:r>
              <w:rPr>
                <w:rStyle w:val="16"/>
                <w:rFonts w:hint="eastAsia" w:ascii="宋体" w:hAnsi="宋体" w:eastAsia="宋体" w:cs="宋体"/>
                <w:b w:val="0"/>
                <w:color w:val="auto"/>
                <w:sz w:val="21"/>
                <w:szCs w:val="21"/>
                <w:highlight w:val="none"/>
              </w:rPr>
              <w:t>分</w:t>
            </w:r>
          </w:p>
          <w:p w14:paraId="13B48A2A">
            <w:pPr>
              <w:pStyle w:val="13"/>
              <w:keepNext w:val="0"/>
              <w:keepLines w:val="0"/>
              <w:pageBreakBefore w:val="0"/>
              <w:widowControl w:val="0"/>
              <w:shd w:val="clear" w:color="auto" w:fill="auto"/>
              <w:kinsoku/>
              <w:wordWrap/>
              <w:overflowPunct/>
              <w:topLinePunct w:val="0"/>
              <w:autoSpaceDE/>
              <w:autoSpaceDN/>
              <w:bidi w:val="0"/>
              <w:spacing w:before="0" w:line="360" w:lineRule="exact"/>
              <w:ind w:firstLine="420" w:firstLineChars="200"/>
              <w:jc w:val="left"/>
              <w:rPr>
                <w:rFonts w:hint="eastAsia" w:ascii="宋体" w:hAnsi="宋体" w:eastAsia="宋体" w:cs="宋体"/>
                <w:bCs/>
                <w:sz w:val="21"/>
                <w:szCs w:val="21"/>
                <w:highlight w:val="none"/>
                <w:lang w:val="zh-TW" w:bidi="zh-TW"/>
              </w:rPr>
            </w:pPr>
            <w:r>
              <w:rPr>
                <w:rStyle w:val="16"/>
                <w:rFonts w:hint="eastAsia" w:ascii="宋体" w:hAnsi="宋体" w:eastAsia="宋体" w:cs="宋体"/>
                <w:b w:val="0"/>
                <w:color w:val="auto"/>
                <w:sz w:val="21"/>
                <w:szCs w:val="21"/>
                <w:highlight w:val="none"/>
              </w:rPr>
              <w:t>第二个信封（报价文件）评分分值构成：</w:t>
            </w:r>
          </w:p>
          <w:p w14:paraId="66258B95">
            <w:pPr>
              <w:keepNext w:val="0"/>
              <w:keepLines w:val="0"/>
              <w:pageBreakBefore w:val="0"/>
              <w:widowControl w:val="0"/>
              <w:kinsoku/>
              <w:wordWrap/>
              <w:overflowPunct/>
              <w:topLinePunct w:val="0"/>
              <w:autoSpaceDE/>
              <w:autoSpaceDN/>
              <w:bidi w:val="0"/>
              <w:spacing w:line="360" w:lineRule="exact"/>
              <w:ind w:firstLine="420" w:firstLineChars="200"/>
              <w:rPr>
                <w:rFonts w:hint="eastAsia" w:ascii="宋体" w:hAnsi="宋体" w:eastAsia="宋体" w:cs="宋体"/>
                <w:kern w:val="20"/>
                <w:sz w:val="21"/>
                <w:szCs w:val="21"/>
                <w:highlight w:val="none"/>
              </w:rPr>
            </w:pPr>
            <w:r>
              <w:rPr>
                <w:rStyle w:val="16"/>
                <w:rFonts w:hint="eastAsia" w:ascii="宋体" w:hAnsi="宋体" w:eastAsia="宋体" w:cs="宋体"/>
                <w:b w:val="0"/>
                <w:color w:val="auto"/>
                <w:sz w:val="21"/>
                <w:szCs w:val="21"/>
                <w:highlight w:val="none"/>
              </w:rPr>
              <w:t>评标价：</w:t>
            </w:r>
            <w:r>
              <w:rPr>
                <w:rStyle w:val="16"/>
                <w:rFonts w:hint="eastAsia" w:ascii="宋体" w:hAnsi="宋体" w:eastAsia="宋体" w:cs="宋体"/>
                <w:b w:val="0"/>
                <w:color w:val="auto"/>
                <w:sz w:val="21"/>
                <w:szCs w:val="21"/>
                <w:highlight w:val="none"/>
                <w:u w:val="single"/>
                <w:lang w:eastAsia="zh-CN"/>
              </w:rPr>
              <w:t>10</w:t>
            </w:r>
            <w:r>
              <w:rPr>
                <w:rStyle w:val="16"/>
                <w:rFonts w:hint="eastAsia" w:ascii="宋体" w:hAnsi="宋体" w:eastAsia="宋体" w:cs="宋体"/>
                <w:b w:val="0"/>
                <w:color w:val="auto"/>
                <w:sz w:val="21"/>
                <w:szCs w:val="21"/>
                <w:highlight w:val="none"/>
              </w:rPr>
              <w:t>分</w:t>
            </w:r>
          </w:p>
        </w:tc>
      </w:tr>
      <w:tr w14:paraId="1E70B9F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853" w:type="dxa"/>
            <w:shd w:val="clear" w:color="auto" w:fill="auto"/>
            <w:vAlign w:val="center"/>
          </w:tcPr>
          <w:p w14:paraId="2C010870">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20"/>
                <w:sz w:val="21"/>
                <w:szCs w:val="21"/>
                <w:highlight w:val="none"/>
              </w:rPr>
            </w:pPr>
            <w:r>
              <w:rPr>
                <w:rFonts w:hint="eastAsia" w:ascii="宋体" w:hAnsi="宋体" w:eastAsia="宋体" w:cs="宋体"/>
                <w:kern w:val="20"/>
                <w:sz w:val="21"/>
                <w:szCs w:val="21"/>
                <w:highlight w:val="none"/>
              </w:rPr>
              <w:t>2.2.2</w:t>
            </w:r>
          </w:p>
        </w:tc>
        <w:tc>
          <w:tcPr>
            <w:tcW w:w="1173" w:type="dxa"/>
            <w:shd w:val="clear" w:color="auto" w:fill="auto"/>
            <w:vAlign w:val="center"/>
          </w:tcPr>
          <w:p w14:paraId="6E49E3E9">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20"/>
                <w:sz w:val="21"/>
                <w:szCs w:val="21"/>
                <w:highlight w:val="none"/>
              </w:rPr>
            </w:pPr>
            <w:r>
              <w:rPr>
                <w:rStyle w:val="16"/>
                <w:rFonts w:hint="eastAsia" w:ascii="宋体" w:hAnsi="宋体" w:eastAsia="宋体" w:cs="宋体"/>
                <w:b w:val="0"/>
                <w:color w:val="auto"/>
                <w:sz w:val="21"/>
                <w:szCs w:val="21"/>
                <w:highlight w:val="none"/>
              </w:rPr>
              <w:t>评标基准价计算方法</w:t>
            </w:r>
          </w:p>
        </w:tc>
        <w:tc>
          <w:tcPr>
            <w:tcW w:w="7536" w:type="dxa"/>
            <w:shd w:val="clear" w:color="auto" w:fill="auto"/>
          </w:tcPr>
          <w:p w14:paraId="1F539F6C">
            <w:pPr>
              <w:pStyle w:val="14"/>
              <w:keepNext w:val="0"/>
              <w:keepLines w:val="0"/>
              <w:pageBreakBefore w:val="0"/>
              <w:widowControl w:val="0"/>
              <w:kinsoku/>
              <w:wordWrap/>
              <w:overflowPunct/>
              <w:topLinePunct w:val="0"/>
              <w:autoSpaceDE/>
              <w:autoSpaceDN/>
              <w:bidi w:val="0"/>
              <w:adjustRightInd w:val="0"/>
              <w:snapToGrid w:val="0"/>
              <w:spacing w:line="360" w:lineRule="exact"/>
              <w:jc w:val="left"/>
              <w:textAlignment w:val="baseline"/>
              <w:rPr>
                <w:rFonts w:hint="eastAsia" w:ascii="宋体" w:hAnsi="宋体" w:eastAsia="宋体" w:cs="宋体"/>
                <w:sz w:val="21"/>
                <w:szCs w:val="21"/>
                <w:highlight w:val="none"/>
              </w:rPr>
            </w:pPr>
            <w:r>
              <w:rPr>
                <w:rFonts w:hint="eastAsia" w:ascii="宋体" w:hAnsi="宋体" w:eastAsia="宋体" w:cs="宋体"/>
                <w:sz w:val="21"/>
                <w:szCs w:val="21"/>
                <w:highlight w:val="none"/>
              </w:rPr>
              <w:t>评标基准价的计算：</w:t>
            </w:r>
          </w:p>
          <w:p w14:paraId="583CB42D">
            <w:pPr>
              <w:pStyle w:val="14"/>
              <w:keepNext w:val="0"/>
              <w:keepLines w:val="0"/>
              <w:pageBreakBefore w:val="0"/>
              <w:widowControl w:val="0"/>
              <w:kinsoku/>
              <w:wordWrap/>
              <w:overflowPunct/>
              <w:topLinePunct w:val="0"/>
              <w:autoSpaceDE/>
              <w:autoSpaceDN/>
              <w:bidi w:val="0"/>
              <w:adjustRightInd w:val="0"/>
              <w:snapToGrid w:val="0"/>
              <w:spacing w:line="360" w:lineRule="exact"/>
              <w:jc w:val="left"/>
              <w:textAlignment w:val="baseline"/>
              <w:rPr>
                <w:rFonts w:hint="eastAsia" w:ascii="宋体" w:hAnsi="宋体" w:eastAsia="宋体" w:cs="宋体"/>
                <w:sz w:val="21"/>
                <w:szCs w:val="21"/>
                <w:highlight w:val="none"/>
              </w:rPr>
            </w:pPr>
            <w:r>
              <w:rPr>
                <w:rFonts w:hint="eastAsia" w:ascii="宋体" w:hAnsi="宋体" w:eastAsia="宋体" w:cs="宋体"/>
                <w:sz w:val="21"/>
                <w:szCs w:val="21"/>
                <w:highlight w:val="none"/>
              </w:rPr>
              <w:t>在开标现场，招标人将当场计算并宣布评标基准价。</w:t>
            </w:r>
          </w:p>
          <w:p w14:paraId="70EEC60B">
            <w:pPr>
              <w:pStyle w:val="14"/>
              <w:keepNext w:val="0"/>
              <w:keepLines w:val="0"/>
              <w:pageBreakBefore w:val="0"/>
              <w:widowControl w:val="0"/>
              <w:kinsoku/>
              <w:wordWrap/>
              <w:overflowPunct/>
              <w:topLinePunct w:val="0"/>
              <w:autoSpaceDE/>
              <w:autoSpaceDN/>
              <w:bidi w:val="0"/>
              <w:adjustRightInd w:val="0"/>
              <w:snapToGrid w:val="0"/>
              <w:spacing w:line="360" w:lineRule="exact"/>
              <w:jc w:val="left"/>
              <w:textAlignment w:val="baseline"/>
              <w:rPr>
                <w:rFonts w:hint="eastAsia" w:ascii="宋体" w:hAnsi="宋体" w:eastAsia="宋体" w:cs="宋体"/>
                <w:sz w:val="21"/>
                <w:szCs w:val="21"/>
                <w:highlight w:val="none"/>
              </w:rPr>
            </w:pPr>
            <w:r>
              <w:rPr>
                <w:rFonts w:hint="eastAsia" w:ascii="宋体" w:hAnsi="宋体" w:eastAsia="宋体" w:cs="宋体"/>
                <w:sz w:val="21"/>
                <w:szCs w:val="21"/>
                <w:highlight w:val="none"/>
              </w:rPr>
              <w:t>（1）评标价的确定：</w:t>
            </w:r>
          </w:p>
          <w:p w14:paraId="44F17C12">
            <w:pPr>
              <w:pStyle w:val="14"/>
              <w:keepNext w:val="0"/>
              <w:keepLines w:val="0"/>
              <w:pageBreakBefore w:val="0"/>
              <w:widowControl w:val="0"/>
              <w:kinsoku/>
              <w:wordWrap/>
              <w:overflowPunct/>
              <w:topLinePunct w:val="0"/>
              <w:autoSpaceDE/>
              <w:autoSpaceDN/>
              <w:bidi w:val="0"/>
              <w:adjustRightInd w:val="0"/>
              <w:snapToGrid w:val="0"/>
              <w:spacing w:line="360" w:lineRule="exact"/>
              <w:jc w:val="left"/>
              <w:textAlignment w:val="baseline"/>
              <w:rPr>
                <w:rFonts w:hint="eastAsia" w:ascii="宋体" w:hAnsi="宋体" w:eastAsia="宋体" w:cs="宋体"/>
                <w:sz w:val="21"/>
                <w:szCs w:val="21"/>
                <w:highlight w:val="none"/>
              </w:rPr>
            </w:pPr>
            <w:r>
              <w:rPr>
                <w:rFonts w:hint="eastAsia" w:ascii="宋体" w:hAnsi="宋体" w:eastAsia="宋体" w:cs="宋体"/>
                <w:sz w:val="21"/>
                <w:szCs w:val="21"/>
                <w:highlight w:val="none"/>
              </w:rPr>
              <w:t>评标价=投标函文字报价</w:t>
            </w:r>
          </w:p>
          <w:p w14:paraId="7FA24D0A">
            <w:pPr>
              <w:pStyle w:val="14"/>
              <w:keepNext w:val="0"/>
              <w:keepLines w:val="0"/>
              <w:pageBreakBefore w:val="0"/>
              <w:widowControl w:val="0"/>
              <w:kinsoku/>
              <w:wordWrap/>
              <w:overflowPunct/>
              <w:topLinePunct w:val="0"/>
              <w:autoSpaceDE/>
              <w:autoSpaceDN/>
              <w:bidi w:val="0"/>
              <w:adjustRightInd w:val="0"/>
              <w:snapToGrid w:val="0"/>
              <w:spacing w:line="360" w:lineRule="exact"/>
              <w:jc w:val="left"/>
              <w:textAlignment w:val="baseline"/>
              <w:rPr>
                <w:rFonts w:hint="eastAsia" w:ascii="宋体" w:hAnsi="宋体" w:eastAsia="宋体" w:cs="宋体"/>
                <w:sz w:val="21"/>
                <w:szCs w:val="21"/>
                <w:highlight w:val="none"/>
              </w:rPr>
            </w:pPr>
            <w:r>
              <w:rPr>
                <w:rFonts w:hint="eastAsia" w:ascii="宋体" w:hAnsi="宋体" w:eastAsia="宋体" w:cs="宋体"/>
                <w:sz w:val="21"/>
                <w:szCs w:val="21"/>
                <w:highlight w:val="none"/>
              </w:rPr>
              <w:t>（2）评标价平均值的计算：</w:t>
            </w:r>
          </w:p>
          <w:p w14:paraId="17F68092">
            <w:pPr>
              <w:pStyle w:val="14"/>
              <w:keepNext w:val="0"/>
              <w:keepLines w:val="0"/>
              <w:pageBreakBefore w:val="0"/>
              <w:widowControl w:val="0"/>
              <w:kinsoku/>
              <w:wordWrap/>
              <w:overflowPunct/>
              <w:topLinePunct w:val="0"/>
              <w:autoSpaceDE/>
              <w:autoSpaceDN/>
              <w:bidi w:val="0"/>
              <w:adjustRightInd w:val="0"/>
              <w:snapToGrid w:val="0"/>
              <w:spacing w:line="360" w:lineRule="exact"/>
              <w:jc w:val="left"/>
              <w:textAlignment w:val="baseline"/>
              <w:rPr>
                <w:rFonts w:hint="eastAsia" w:ascii="宋体" w:hAnsi="宋体" w:eastAsia="宋体" w:cs="宋体"/>
                <w:bCs/>
                <w:sz w:val="21"/>
                <w:szCs w:val="21"/>
                <w:highlight w:val="none"/>
              </w:rPr>
            </w:pPr>
            <w:r>
              <w:rPr>
                <w:rFonts w:hint="eastAsia" w:ascii="宋体" w:hAnsi="宋体" w:eastAsia="宋体" w:cs="宋体"/>
                <w:sz w:val="21"/>
                <w:szCs w:val="21"/>
                <w:highlight w:val="none"/>
              </w:rPr>
              <w:t>除按第二章“投标人须知”第5.2.4项规定开标现场被宣布为不进入评标基准价计算的投标报价之外，所有投标人的评标价去掉一个最高值和一个最低值后的算术平均值即为评标价平均值（如果参与评标价平均值计算的有效投标人少于5家时，则计算评标价平均值时不去掉最高值和最低值）。</w:t>
            </w:r>
          </w:p>
          <w:p w14:paraId="79605BE7">
            <w:pPr>
              <w:pStyle w:val="14"/>
              <w:keepNext w:val="0"/>
              <w:keepLines w:val="0"/>
              <w:pageBreakBefore w:val="0"/>
              <w:widowControl w:val="0"/>
              <w:kinsoku/>
              <w:wordWrap/>
              <w:overflowPunct/>
              <w:topLinePunct w:val="0"/>
              <w:autoSpaceDE/>
              <w:autoSpaceDN/>
              <w:bidi w:val="0"/>
              <w:adjustRightInd w:val="0"/>
              <w:snapToGrid w:val="0"/>
              <w:spacing w:line="360" w:lineRule="exact"/>
              <w:jc w:val="left"/>
              <w:textAlignment w:val="baseline"/>
              <w:rPr>
                <w:rFonts w:hint="eastAsia" w:ascii="宋体" w:hAnsi="宋体" w:eastAsia="宋体" w:cs="宋体"/>
                <w:sz w:val="21"/>
                <w:szCs w:val="21"/>
                <w:highlight w:val="none"/>
              </w:rPr>
            </w:pPr>
            <w:r>
              <w:rPr>
                <w:rFonts w:hint="eastAsia" w:ascii="宋体" w:hAnsi="宋体" w:eastAsia="宋体" w:cs="宋体"/>
                <w:sz w:val="21"/>
                <w:szCs w:val="21"/>
                <w:highlight w:val="none"/>
              </w:rPr>
              <w:t>（3）评标基准价的确定：</w:t>
            </w:r>
          </w:p>
          <w:p w14:paraId="152131B3">
            <w:pPr>
              <w:pStyle w:val="14"/>
              <w:keepNext w:val="0"/>
              <w:keepLines w:val="0"/>
              <w:pageBreakBefore w:val="0"/>
              <w:widowControl w:val="0"/>
              <w:kinsoku/>
              <w:wordWrap/>
              <w:overflowPunct/>
              <w:topLinePunct w:val="0"/>
              <w:autoSpaceDE/>
              <w:autoSpaceDN/>
              <w:bidi w:val="0"/>
              <w:adjustRightInd w:val="0"/>
              <w:snapToGrid w:val="0"/>
              <w:spacing w:line="360" w:lineRule="exact"/>
              <w:jc w:val="left"/>
              <w:textAlignment w:val="baseline"/>
              <w:rPr>
                <w:rFonts w:hint="eastAsia" w:ascii="宋体" w:hAnsi="宋体" w:eastAsia="宋体" w:cs="宋体"/>
                <w:sz w:val="21"/>
                <w:szCs w:val="21"/>
                <w:highlight w:val="none"/>
              </w:rPr>
            </w:pPr>
            <w:r>
              <w:rPr>
                <w:rFonts w:hint="eastAsia" w:ascii="宋体" w:hAnsi="宋体" w:eastAsia="宋体" w:cs="宋体"/>
                <w:sz w:val="21"/>
                <w:szCs w:val="21"/>
                <w:highlight w:val="none"/>
              </w:rPr>
              <w:t>将评标价平均值直接作为评标基准价。</w:t>
            </w:r>
          </w:p>
          <w:p w14:paraId="7F0DFED2">
            <w:pPr>
              <w:keepNext w:val="0"/>
              <w:keepLines w:val="0"/>
              <w:pageBreakBefore w:val="0"/>
              <w:widowControl w:val="0"/>
              <w:kinsoku/>
              <w:wordWrap/>
              <w:overflowPunct/>
              <w:topLinePunct w:val="0"/>
              <w:autoSpaceDE/>
              <w:autoSpaceDN/>
              <w:bidi w:val="0"/>
              <w:spacing w:line="360" w:lineRule="exact"/>
              <w:ind w:firstLine="420" w:firstLineChars="200"/>
              <w:rPr>
                <w:rFonts w:hint="eastAsia" w:ascii="宋体" w:hAnsi="宋体" w:eastAsia="宋体" w:cs="宋体"/>
                <w:kern w:val="20"/>
                <w:sz w:val="21"/>
                <w:szCs w:val="21"/>
                <w:highlight w:val="none"/>
              </w:rPr>
            </w:pPr>
            <w:r>
              <w:rPr>
                <w:rFonts w:hint="eastAsia" w:ascii="宋体" w:hAnsi="宋体" w:eastAsia="宋体" w:cs="宋体"/>
                <w:sz w:val="21"/>
                <w:szCs w:val="21"/>
                <w:highlight w:val="none"/>
              </w:rPr>
              <w:t>在评标过程中，评标委员会应对招标人计算的评标基准价进行复核，存在计算错误的应予以修正并在评标报告中作出说明，除此之外，评标基准价在整个评标期间保持不变，不随任何因素发生变化。</w:t>
            </w:r>
          </w:p>
        </w:tc>
      </w:tr>
      <w:tr w14:paraId="4367211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853" w:type="dxa"/>
            <w:shd w:val="clear" w:color="auto" w:fill="auto"/>
            <w:vAlign w:val="center"/>
          </w:tcPr>
          <w:p w14:paraId="2236EF41">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20"/>
                <w:sz w:val="21"/>
                <w:szCs w:val="21"/>
                <w:highlight w:val="none"/>
              </w:rPr>
            </w:pPr>
            <w:r>
              <w:rPr>
                <w:rFonts w:hint="eastAsia" w:ascii="宋体" w:hAnsi="宋体" w:eastAsia="宋体" w:cs="宋体"/>
                <w:kern w:val="20"/>
                <w:sz w:val="21"/>
                <w:szCs w:val="21"/>
                <w:highlight w:val="none"/>
              </w:rPr>
              <w:t>2.2.3</w:t>
            </w:r>
          </w:p>
        </w:tc>
        <w:tc>
          <w:tcPr>
            <w:tcW w:w="1173" w:type="dxa"/>
            <w:shd w:val="clear" w:color="auto" w:fill="auto"/>
            <w:vAlign w:val="center"/>
          </w:tcPr>
          <w:p w14:paraId="2E434E62">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Style w:val="16"/>
                <w:rFonts w:hint="eastAsia" w:ascii="宋体" w:hAnsi="宋体" w:eastAsia="宋体" w:cs="宋体"/>
                <w:b w:val="0"/>
                <w:color w:val="auto"/>
                <w:sz w:val="21"/>
                <w:szCs w:val="21"/>
                <w:highlight w:val="none"/>
              </w:rPr>
            </w:pPr>
            <w:r>
              <w:rPr>
                <w:rStyle w:val="15"/>
                <w:rFonts w:hint="eastAsia" w:ascii="宋体" w:hAnsi="宋体" w:eastAsia="宋体" w:cs="宋体"/>
                <w:color w:val="auto"/>
                <w:sz w:val="21"/>
                <w:szCs w:val="21"/>
                <w:highlight w:val="none"/>
                <w:shd w:val="clear" w:color="auto" w:fill="auto"/>
              </w:rPr>
              <w:t>评标价的偏差率计算公式</w:t>
            </w:r>
          </w:p>
        </w:tc>
        <w:tc>
          <w:tcPr>
            <w:tcW w:w="7536" w:type="dxa"/>
            <w:shd w:val="clear" w:color="auto" w:fill="auto"/>
            <w:vAlign w:val="center"/>
          </w:tcPr>
          <w:p w14:paraId="69A60533">
            <w:pPr>
              <w:keepNext w:val="0"/>
              <w:keepLines w:val="0"/>
              <w:pageBreakBefore w:val="0"/>
              <w:widowControl w:val="0"/>
              <w:kinsoku/>
              <w:wordWrap/>
              <w:overflowPunct/>
              <w:topLinePunct w:val="0"/>
              <w:autoSpaceDE/>
              <w:autoSpaceDN/>
              <w:bidi w:val="0"/>
              <w:spacing w:line="360" w:lineRule="exact"/>
              <w:ind w:firstLine="420" w:firstLineChars="200"/>
              <w:jc w:val="both"/>
              <w:rPr>
                <w:rStyle w:val="15"/>
                <w:rFonts w:hint="eastAsia" w:ascii="宋体" w:hAnsi="宋体" w:eastAsia="宋体" w:cs="宋体"/>
                <w:color w:val="auto"/>
                <w:sz w:val="21"/>
                <w:szCs w:val="21"/>
                <w:highlight w:val="none"/>
                <w:shd w:val="clear" w:color="auto" w:fill="auto"/>
              </w:rPr>
            </w:pPr>
            <w:r>
              <w:rPr>
                <w:rStyle w:val="15"/>
                <w:rFonts w:hint="eastAsia" w:ascii="宋体" w:hAnsi="宋体" w:eastAsia="宋体" w:cs="宋体"/>
                <w:color w:val="auto"/>
                <w:sz w:val="21"/>
                <w:szCs w:val="21"/>
                <w:highlight w:val="none"/>
                <w:shd w:val="clear" w:color="auto" w:fill="auto"/>
              </w:rPr>
              <w:t>偏差率=100%</w:t>
            </w:r>
            <w:r>
              <w:rPr>
                <w:rStyle w:val="17"/>
                <w:rFonts w:hint="eastAsia" w:ascii="宋体" w:hAnsi="宋体" w:eastAsia="宋体" w:cs="宋体"/>
                <w:color w:val="auto"/>
                <w:sz w:val="21"/>
                <w:szCs w:val="21"/>
                <w:highlight w:val="none"/>
                <w:shd w:val="clear" w:color="auto" w:fill="auto"/>
                <w:lang w:eastAsia="zh-CN"/>
              </w:rPr>
              <w:t>×</w:t>
            </w:r>
            <w:r>
              <w:rPr>
                <w:rStyle w:val="15"/>
                <w:rFonts w:hint="eastAsia" w:ascii="宋体" w:hAnsi="宋体" w:eastAsia="宋体" w:cs="宋体"/>
                <w:color w:val="auto"/>
                <w:sz w:val="21"/>
                <w:szCs w:val="21"/>
                <w:highlight w:val="none"/>
                <w:shd w:val="clear" w:color="auto" w:fill="auto"/>
                <w:lang w:eastAsia="zh-CN" w:bidi="en-US"/>
              </w:rPr>
              <w:t>（</w:t>
            </w:r>
            <w:r>
              <w:rPr>
                <w:rStyle w:val="15"/>
                <w:rFonts w:hint="eastAsia" w:ascii="宋体" w:hAnsi="宋体" w:eastAsia="宋体" w:cs="宋体"/>
                <w:color w:val="auto"/>
                <w:sz w:val="21"/>
                <w:szCs w:val="21"/>
                <w:highlight w:val="none"/>
                <w:shd w:val="clear" w:color="auto" w:fill="auto"/>
              </w:rPr>
              <w:t>投标人评标价-评标基准价</w:t>
            </w:r>
            <w:r>
              <w:rPr>
                <w:rStyle w:val="15"/>
                <w:rFonts w:hint="eastAsia" w:ascii="宋体" w:hAnsi="宋体" w:eastAsia="宋体" w:cs="宋体"/>
                <w:color w:val="auto"/>
                <w:sz w:val="21"/>
                <w:szCs w:val="21"/>
                <w:highlight w:val="none"/>
                <w:shd w:val="clear" w:color="auto" w:fill="auto"/>
                <w:lang w:bidi="en-US"/>
              </w:rPr>
              <w:t>）/</w:t>
            </w:r>
            <w:r>
              <w:rPr>
                <w:rStyle w:val="15"/>
                <w:rFonts w:hint="eastAsia" w:ascii="宋体" w:hAnsi="宋体" w:eastAsia="宋体" w:cs="宋体"/>
                <w:color w:val="auto"/>
                <w:sz w:val="21"/>
                <w:szCs w:val="21"/>
                <w:highlight w:val="none"/>
                <w:shd w:val="clear" w:color="auto" w:fill="auto"/>
              </w:rPr>
              <w:t>评标基准价</w:t>
            </w:r>
          </w:p>
          <w:p w14:paraId="498A6178">
            <w:pPr>
              <w:pStyle w:val="13"/>
              <w:keepNext w:val="0"/>
              <w:keepLines w:val="0"/>
              <w:pageBreakBefore w:val="0"/>
              <w:widowControl w:val="0"/>
              <w:shd w:val="clear" w:color="auto" w:fill="auto"/>
              <w:kinsoku/>
              <w:wordWrap/>
              <w:overflowPunct/>
              <w:topLinePunct w:val="0"/>
              <w:autoSpaceDE/>
              <w:autoSpaceDN/>
              <w:bidi w:val="0"/>
              <w:spacing w:before="0" w:line="360" w:lineRule="exact"/>
              <w:ind w:firstLine="420" w:firstLineChars="200"/>
              <w:jc w:val="both"/>
              <w:rPr>
                <w:rStyle w:val="16"/>
                <w:rFonts w:hint="eastAsia" w:ascii="宋体" w:hAnsi="宋体" w:eastAsia="宋体" w:cs="宋体"/>
                <w:b w:val="0"/>
                <w:color w:val="auto"/>
                <w:sz w:val="21"/>
                <w:szCs w:val="21"/>
                <w:highlight w:val="none"/>
              </w:rPr>
            </w:pPr>
            <w:r>
              <w:rPr>
                <w:rStyle w:val="15"/>
                <w:rFonts w:hint="eastAsia" w:ascii="宋体" w:hAnsi="宋体" w:eastAsia="宋体" w:cs="宋体"/>
                <w:color w:val="auto"/>
                <w:sz w:val="21"/>
                <w:szCs w:val="21"/>
                <w:highlight w:val="none"/>
                <w:shd w:val="clear" w:color="auto" w:fill="auto"/>
              </w:rPr>
              <w:t>偏差率保留</w:t>
            </w:r>
            <w:r>
              <w:rPr>
                <w:rStyle w:val="15"/>
                <w:rFonts w:hint="eastAsia" w:ascii="宋体" w:hAnsi="宋体" w:eastAsia="宋体" w:cs="宋体"/>
                <w:color w:val="auto"/>
                <w:sz w:val="21"/>
                <w:szCs w:val="21"/>
                <w:highlight w:val="none"/>
                <w:shd w:val="clear" w:color="auto" w:fill="auto"/>
                <w:lang w:eastAsia="zh-CN"/>
              </w:rPr>
              <w:t>两</w:t>
            </w:r>
            <w:r>
              <w:rPr>
                <w:rStyle w:val="15"/>
                <w:rFonts w:hint="eastAsia" w:ascii="宋体" w:hAnsi="宋体" w:eastAsia="宋体" w:cs="宋体"/>
                <w:color w:val="auto"/>
                <w:sz w:val="21"/>
                <w:szCs w:val="21"/>
                <w:highlight w:val="none"/>
                <w:shd w:val="clear" w:color="auto" w:fill="auto"/>
              </w:rPr>
              <w:t>位小数</w:t>
            </w:r>
          </w:p>
        </w:tc>
      </w:tr>
    </w:tbl>
    <w:p w14:paraId="5CB79989">
      <w:pPr>
        <w:keepLines w:val="0"/>
        <w:kinsoku/>
        <w:wordWrap/>
        <w:overflowPunct/>
        <w:topLinePunct w:val="0"/>
        <w:autoSpaceDE/>
        <w:autoSpaceDN/>
        <w:bidi w:val="0"/>
        <w:spacing w:line="360" w:lineRule="exact"/>
        <w:ind w:right="420"/>
        <w:jc w:val="left"/>
        <w:rPr>
          <w:rFonts w:hint="eastAsia" w:ascii="宋体" w:hAnsi="宋体" w:eastAsia="宋体" w:cs="宋体"/>
          <w:kern w:val="20"/>
          <w:sz w:val="21"/>
          <w:szCs w:val="21"/>
          <w:highlight w:val="none"/>
        </w:rPr>
      </w:pPr>
    </w:p>
    <w:tbl>
      <w:tblPr>
        <w:tblStyle w:val="6"/>
        <w:tblW w:w="9581"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877"/>
        <w:gridCol w:w="573"/>
        <w:gridCol w:w="586"/>
        <w:gridCol w:w="1091"/>
        <w:gridCol w:w="1909"/>
        <w:gridCol w:w="723"/>
        <w:gridCol w:w="3822"/>
      </w:tblGrid>
      <w:tr w14:paraId="567A022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blHeader/>
          <w:jc w:val="center"/>
        </w:trPr>
        <w:tc>
          <w:tcPr>
            <w:tcW w:w="5759" w:type="dxa"/>
            <w:gridSpan w:val="6"/>
            <w:shd w:val="clear" w:color="auto" w:fill="auto"/>
            <w:vAlign w:val="center"/>
          </w:tcPr>
          <w:p w14:paraId="66763020">
            <w:pPr>
              <w:keepNext w:val="0"/>
              <w:keepLines w:val="0"/>
              <w:pageBreakBefore w:val="0"/>
              <w:widowControl w:val="0"/>
              <w:kinsoku/>
              <w:wordWrap/>
              <w:overflowPunct/>
              <w:topLinePunct w:val="0"/>
              <w:autoSpaceDE/>
              <w:autoSpaceDN/>
              <w:bidi w:val="0"/>
              <w:spacing w:line="360" w:lineRule="exact"/>
              <w:jc w:val="center"/>
              <w:rPr>
                <w:rFonts w:hint="eastAsia" w:ascii="宋体" w:hAnsi="宋体" w:eastAsia="宋体" w:cs="宋体"/>
                <w:kern w:val="20"/>
                <w:sz w:val="21"/>
                <w:szCs w:val="21"/>
                <w:highlight w:val="none"/>
              </w:rPr>
            </w:pPr>
            <w:r>
              <w:rPr>
                <w:rFonts w:hint="eastAsia" w:ascii="宋体" w:hAnsi="宋体" w:eastAsia="宋体" w:cs="宋体"/>
                <w:kern w:val="20"/>
                <w:sz w:val="21"/>
                <w:szCs w:val="21"/>
                <w:highlight w:val="none"/>
              </w:rPr>
              <w:t>评分因素与权重分值</w:t>
            </w:r>
          </w:p>
        </w:tc>
        <w:tc>
          <w:tcPr>
            <w:tcW w:w="3822" w:type="dxa"/>
            <w:vMerge w:val="restart"/>
            <w:shd w:val="clear" w:color="auto" w:fill="auto"/>
            <w:vAlign w:val="center"/>
          </w:tcPr>
          <w:p w14:paraId="64D95F3C">
            <w:pPr>
              <w:keepNext w:val="0"/>
              <w:keepLines w:val="0"/>
              <w:pageBreakBefore w:val="0"/>
              <w:widowControl w:val="0"/>
              <w:kinsoku/>
              <w:wordWrap/>
              <w:overflowPunct/>
              <w:topLinePunct w:val="0"/>
              <w:autoSpaceDE/>
              <w:autoSpaceDN/>
              <w:bidi w:val="0"/>
              <w:spacing w:line="360" w:lineRule="exact"/>
              <w:jc w:val="center"/>
              <w:rPr>
                <w:rFonts w:hint="eastAsia" w:ascii="宋体" w:hAnsi="宋体" w:eastAsia="宋体" w:cs="宋体"/>
                <w:kern w:val="20"/>
                <w:sz w:val="21"/>
                <w:szCs w:val="21"/>
                <w:highlight w:val="none"/>
              </w:rPr>
            </w:pPr>
            <w:r>
              <w:rPr>
                <w:rFonts w:hint="eastAsia" w:ascii="宋体" w:hAnsi="宋体" w:eastAsia="宋体" w:cs="宋体"/>
                <w:kern w:val="20"/>
                <w:sz w:val="21"/>
                <w:szCs w:val="21"/>
                <w:highlight w:val="none"/>
              </w:rPr>
              <w:t>评分标准</w:t>
            </w:r>
          </w:p>
        </w:tc>
      </w:tr>
      <w:tr w14:paraId="26D18AA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blHeader/>
          <w:jc w:val="center"/>
        </w:trPr>
        <w:tc>
          <w:tcPr>
            <w:tcW w:w="877" w:type="dxa"/>
            <w:shd w:val="clear" w:color="auto" w:fill="auto"/>
            <w:vAlign w:val="center"/>
          </w:tcPr>
          <w:p w14:paraId="348130E1">
            <w:pPr>
              <w:keepNext w:val="0"/>
              <w:keepLines w:val="0"/>
              <w:pageBreakBefore w:val="0"/>
              <w:widowControl w:val="0"/>
              <w:kinsoku/>
              <w:wordWrap/>
              <w:overflowPunct/>
              <w:topLinePunct w:val="0"/>
              <w:autoSpaceDE/>
              <w:autoSpaceDN/>
              <w:bidi w:val="0"/>
              <w:spacing w:line="360" w:lineRule="exact"/>
              <w:jc w:val="center"/>
              <w:rPr>
                <w:rFonts w:hint="eastAsia" w:ascii="宋体" w:hAnsi="宋体" w:eastAsia="宋体" w:cs="宋体"/>
                <w:kern w:val="20"/>
                <w:sz w:val="21"/>
                <w:szCs w:val="21"/>
                <w:highlight w:val="none"/>
              </w:rPr>
            </w:pPr>
            <w:r>
              <w:rPr>
                <w:rFonts w:hint="eastAsia" w:ascii="宋体" w:hAnsi="宋体" w:eastAsia="宋体" w:cs="宋体"/>
                <w:kern w:val="20"/>
                <w:sz w:val="21"/>
                <w:szCs w:val="21"/>
                <w:highlight w:val="none"/>
              </w:rPr>
              <w:t>条款号</w:t>
            </w:r>
          </w:p>
        </w:tc>
        <w:tc>
          <w:tcPr>
            <w:tcW w:w="1159" w:type="dxa"/>
            <w:gridSpan w:val="2"/>
            <w:shd w:val="clear" w:color="auto" w:fill="auto"/>
            <w:vAlign w:val="center"/>
          </w:tcPr>
          <w:p w14:paraId="4E5C0EA1">
            <w:pPr>
              <w:keepNext w:val="0"/>
              <w:keepLines w:val="0"/>
              <w:pageBreakBefore w:val="0"/>
              <w:widowControl w:val="0"/>
              <w:kinsoku/>
              <w:wordWrap/>
              <w:overflowPunct/>
              <w:topLinePunct w:val="0"/>
              <w:autoSpaceDE/>
              <w:autoSpaceDN/>
              <w:bidi w:val="0"/>
              <w:spacing w:line="360" w:lineRule="exact"/>
              <w:jc w:val="center"/>
              <w:rPr>
                <w:rFonts w:hint="eastAsia" w:ascii="宋体" w:hAnsi="宋体" w:eastAsia="宋体" w:cs="宋体"/>
                <w:kern w:val="20"/>
                <w:sz w:val="21"/>
                <w:szCs w:val="21"/>
                <w:highlight w:val="none"/>
              </w:rPr>
            </w:pPr>
            <w:r>
              <w:rPr>
                <w:rFonts w:hint="eastAsia" w:ascii="宋体" w:hAnsi="宋体" w:eastAsia="宋体" w:cs="宋体"/>
                <w:kern w:val="20"/>
                <w:sz w:val="21"/>
                <w:szCs w:val="21"/>
                <w:highlight w:val="none"/>
              </w:rPr>
              <w:t>评分因素</w:t>
            </w:r>
          </w:p>
        </w:tc>
        <w:tc>
          <w:tcPr>
            <w:tcW w:w="1091" w:type="dxa"/>
            <w:shd w:val="clear" w:color="auto" w:fill="auto"/>
            <w:vAlign w:val="center"/>
          </w:tcPr>
          <w:p w14:paraId="7681B2CD">
            <w:pPr>
              <w:keepNext w:val="0"/>
              <w:keepLines w:val="0"/>
              <w:pageBreakBefore w:val="0"/>
              <w:widowControl w:val="0"/>
              <w:kinsoku/>
              <w:wordWrap/>
              <w:overflowPunct/>
              <w:topLinePunct w:val="0"/>
              <w:autoSpaceDE/>
              <w:autoSpaceDN/>
              <w:bidi w:val="0"/>
              <w:spacing w:line="360" w:lineRule="exact"/>
              <w:jc w:val="center"/>
              <w:rPr>
                <w:rFonts w:hint="eastAsia" w:ascii="宋体" w:hAnsi="宋体" w:eastAsia="宋体" w:cs="宋体"/>
                <w:kern w:val="20"/>
                <w:sz w:val="21"/>
                <w:szCs w:val="21"/>
                <w:highlight w:val="none"/>
              </w:rPr>
            </w:pPr>
            <w:r>
              <w:rPr>
                <w:rFonts w:hint="eastAsia" w:ascii="宋体" w:hAnsi="宋体" w:eastAsia="宋体" w:cs="宋体"/>
                <w:kern w:val="20"/>
                <w:sz w:val="21"/>
                <w:szCs w:val="21"/>
                <w:highlight w:val="none"/>
              </w:rPr>
              <w:t>评分因素权重分值</w:t>
            </w:r>
          </w:p>
        </w:tc>
        <w:tc>
          <w:tcPr>
            <w:tcW w:w="1909" w:type="dxa"/>
            <w:shd w:val="clear" w:color="auto" w:fill="auto"/>
            <w:vAlign w:val="center"/>
          </w:tcPr>
          <w:p w14:paraId="49001FFB">
            <w:pPr>
              <w:keepNext w:val="0"/>
              <w:keepLines w:val="0"/>
              <w:pageBreakBefore w:val="0"/>
              <w:widowControl w:val="0"/>
              <w:kinsoku/>
              <w:wordWrap/>
              <w:overflowPunct/>
              <w:topLinePunct w:val="0"/>
              <w:autoSpaceDE/>
              <w:autoSpaceDN/>
              <w:bidi w:val="0"/>
              <w:spacing w:line="360" w:lineRule="exact"/>
              <w:jc w:val="center"/>
              <w:rPr>
                <w:rFonts w:hint="eastAsia" w:ascii="宋体" w:hAnsi="宋体" w:eastAsia="宋体" w:cs="宋体"/>
                <w:kern w:val="20"/>
                <w:sz w:val="21"/>
                <w:szCs w:val="21"/>
                <w:highlight w:val="none"/>
              </w:rPr>
            </w:pPr>
            <w:r>
              <w:rPr>
                <w:rFonts w:hint="eastAsia" w:ascii="宋体" w:hAnsi="宋体" w:eastAsia="宋体" w:cs="宋体"/>
                <w:kern w:val="20"/>
                <w:sz w:val="21"/>
                <w:szCs w:val="21"/>
                <w:highlight w:val="none"/>
              </w:rPr>
              <w:t>各评分因素细分项</w:t>
            </w:r>
          </w:p>
        </w:tc>
        <w:tc>
          <w:tcPr>
            <w:tcW w:w="723" w:type="dxa"/>
            <w:shd w:val="clear" w:color="auto" w:fill="auto"/>
            <w:vAlign w:val="center"/>
          </w:tcPr>
          <w:p w14:paraId="30F48D8B">
            <w:pPr>
              <w:keepNext w:val="0"/>
              <w:keepLines w:val="0"/>
              <w:pageBreakBefore w:val="0"/>
              <w:widowControl w:val="0"/>
              <w:kinsoku/>
              <w:wordWrap/>
              <w:overflowPunct/>
              <w:topLinePunct w:val="0"/>
              <w:autoSpaceDE/>
              <w:autoSpaceDN/>
              <w:bidi w:val="0"/>
              <w:spacing w:line="360" w:lineRule="exact"/>
              <w:jc w:val="center"/>
              <w:rPr>
                <w:rFonts w:hint="eastAsia" w:ascii="宋体" w:hAnsi="宋体" w:eastAsia="宋体" w:cs="宋体"/>
                <w:kern w:val="20"/>
                <w:sz w:val="21"/>
                <w:szCs w:val="21"/>
                <w:highlight w:val="none"/>
              </w:rPr>
            </w:pPr>
            <w:r>
              <w:rPr>
                <w:rFonts w:hint="eastAsia" w:ascii="宋体" w:hAnsi="宋体" w:eastAsia="宋体" w:cs="宋体"/>
                <w:kern w:val="20"/>
                <w:sz w:val="21"/>
                <w:szCs w:val="21"/>
                <w:highlight w:val="none"/>
              </w:rPr>
              <w:t>分值</w:t>
            </w:r>
          </w:p>
        </w:tc>
        <w:tc>
          <w:tcPr>
            <w:tcW w:w="3822" w:type="dxa"/>
            <w:vMerge w:val="continue"/>
            <w:shd w:val="clear" w:color="auto" w:fill="auto"/>
          </w:tcPr>
          <w:p w14:paraId="6F9102E0">
            <w:pPr>
              <w:keepNext w:val="0"/>
              <w:keepLines w:val="0"/>
              <w:pageBreakBefore w:val="0"/>
              <w:widowControl w:val="0"/>
              <w:kinsoku/>
              <w:wordWrap/>
              <w:overflowPunct/>
              <w:topLinePunct w:val="0"/>
              <w:autoSpaceDE/>
              <w:autoSpaceDN/>
              <w:bidi w:val="0"/>
              <w:spacing w:line="360" w:lineRule="exact"/>
              <w:rPr>
                <w:rFonts w:hint="eastAsia" w:ascii="宋体" w:hAnsi="宋体" w:eastAsia="宋体" w:cs="宋体"/>
                <w:kern w:val="20"/>
                <w:sz w:val="21"/>
                <w:szCs w:val="21"/>
                <w:highlight w:val="none"/>
              </w:rPr>
            </w:pPr>
          </w:p>
        </w:tc>
      </w:tr>
      <w:tr w14:paraId="6915259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28" w:hRule="atLeast"/>
          <w:jc w:val="center"/>
        </w:trPr>
        <w:tc>
          <w:tcPr>
            <w:tcW w:w="877" w:type="dxa"/>
            <w:vMerge w:val="restart"/>
            <w:shd w:val="clear" w:color="auto" w:fill="auto"/>
            <w:vAlign w:val="center"/>
          </w:tcPr>
          <w:p w14:paraId="3702E38C">
            <w:pPr>
              <w:keepNext w:val="0"/>
              <w:keepLines w:val="0"/>
              <w:pageBreakBefore w:val="0"/>
              <w:widowControl w:val="0"/>
              <w:kinsoku/>
              <w:wordWrap/>
              <w:overflowPunct/>
              <w:topLinePunct w:val="0"/>
              <w:autoSpaceDE/>
              <w:autoSpaceDN/>
              <w:bidi w:val="0"/>
              <w:spacing w:line="360" w:lineRule="exact"/>
              <w:jc w:val="center"/>
              <w:rPr>
                <w:rFonts w:hint="eastAsia" w:ascii="宋体" w:hAnsi="宋体" w:eastAsia="宋体" w:cs="宋体"/>
                <w:kern w:val="20"/>
                <w:sz w:val="21"/>
                <w:szCs w:val="21"/>
                <w:highlight w:val="none"/>
                <w:lang w:eastAsia="zh-CN"/>
              </w:rPr>
            </w:pPr>
            <w:r>
              <w:rPr>
                <w:rStyle w:val="15"/>
                <w:rFonts w:hint="eastAsia" w:ascii="宋体" w:hAnsi="宋体" w:eastAsia="宋体" w:cs="宋体"/>
                <w:color w:val="auto"/>
                <w:sz w:val="21"/>
                <w:szCs w:val="21"/>
                <w:highlight w:val="none"/>
                <w:shd w:val="clear" w:color="auto" w:fill="auto"/>
              </w:rPr>
              <w:t>2.2.4</w:t>
            </w:r>
            <w:r>
              <w:rPr>
                <w:rStyle w:val="15"/>
                <w:rFonts w:hint="eastAsia" w:ascii="宋体" w:hAnsi="宋体" w:eastAsia="宋体" w:cs="宋体"/>
                <w:color w:val="auto"/>
                <w:sz w:val="21"/>
                <w:szCs w:val="21"/>
                <w:highlight w:val="none"/>
                <w:shd w:val="clear" w:color="auto" w:fill="auto"/>
              </w:rPr>
              <w:br w:type="textWrapping"/>
            </w:r>
            <w:r>
              <w:rPr>
                <w:rStyle w:val="15"/>
                <w:rFonts w:hint="eastAsia" w:ascii="宋体" w:hAnsi="宋体" w:eastAsia="宋体" w:cs="宋体"/>
                <w:color w:val="auto"/>
                <w:sz w:val="21"/>
                <w:szCs w:val="21"/>
                <w:highlight w:val="none"/>
                <w:shd w:val="clear" w:color="auto" w:fill="auto"/>
                <w:lang w:eastAsia="zh-CN"/>
              </w:rPr>
              <w:t>（</w:t>
            </w:r>
            <w:r>
              <w:rPr>
                <w:rStyle w:val="15"/>
                <w:rFonts w:hint="eastAsia" w:ascii="宋体" w:hAnsi="宋体" w:eastAsia="宋体" w:cs="宋体"/>
                <w:color w:val="auto"/>
                <w:sz w:val="21"/>
                <w:szCs w:val="21"/>
                <w:highlight w:val="none"/>
                <w:shd w:val="clear" w:color="auto" w:fill="auto"/>
              </w:rPr>
              <w:t>1</w:t>
            </w:r>
            <w:r>
              <w:rPr>
                <w:rStyle w:val="15"/>
                <w:rFonts w:hint="eastAsia" w:ascii="宋体" w:hAnsi="宋体" w:eastAsia="宋体" w:cs="宋体"/>
                <w:color w:val="auto"/>
                <w:sz w:val="21"/>
                <w:szCs w:val="21"/>
                <w:highlight w:val="none"/>
                <w:shd w:val="clear" w:color="auto" w:fill="auto"/>
                <w:lang w:eastAsia="zh-CN"/>
              </w:rPr>
              <w:t>）</w:t>
            </w:r>
          </w:p>
        </w:tc>
        <w:tc>
          <w:tcPr>
            <w:tcW w:w="1159" w:type="dxa"/>
            <w:gridSpan w:val="2"/>
            <w:vMerge w:val="restart"/>
            <w:shd w:val="clear" w:color="auto" w:fill="auto"/>
            <w:vAlign w:val="center"/>
          </w:tcPr>
          <w:p w14:paraId="5975566D">
            <w:pPr>
              <w:keepNext w:val="0"/>
              <w:keepLines w:val="0"/>
              <w:pageBreakBefore w:val="0"/>
              <w:widowControl w:val="0"/>
              <w:kinsoku/>
              <w:wordWrap/>
              <w:overflowPunct/>
              <w:topLinePunct w:val="0"/>
              <w:autoSpaceDE/>
              <w:autoSpaceDN/>
              <w:bidi w:val="0"/>
              <w:spacing w:line="360" w:lineRule="exact"/>
              <w:jc w:val="center"/>
              <w:rPr>
                <w:rFonts w:hint="eastAsia" w:ascii="宋体" w:hAnsi="宋体" w:eastAsia="宋体" w:cs="宋体"/>
                <w:kern w:val="20"/>
                <w:sz w:val="21"/>
                <w:szCs w:val="21"/>
                <w:highlight w:val="none"/>
              </w:rPr>
            </w:pPr>
            <w:r>
              <w:rPr>
                <w:rStyle w:val="15"/>
                <w:rFonts w:hint="eastAsia" w:ascii="宋体" w:hAnsi="宋体" w:eastAsia="宋体" w:cs="宋体"/>
                <w:color w:val="auto"/>
                <w:sz w:val="21"/>
                <w:szCs w:val="21"/>
                <w:highlight w:val="none"/>
                <w:shd w:val="clear" w:color="auto" w:fill="auto"/>
              </w:rPr>
              <w:t>技术</w:t>
            </w:r>
            <w:r>
              <w:rPr>
                <w:rStyle w:val="15"/>
                <w:rFonts w:hint="eastAsia" w:ascii="宋体" w:hAnsi="宋体" w:eastAsia="宋体" w:cs="宋体"/>
                <w:color w:val="auto"/>
                <w:sz w:val="21"/>
                <w:szCs w:val="21"/>
                <w:highlight w:val="none"/>
                <w:shd w:val="clear" w:color="auto" w:fill="auto"/>
              </w:rPr>
              <w:br w:type="textWrapping"/>
            </w:r>
            <w:r>
              <w:rPr>
                <w:rStyle w:val="15"/>
                <w:rFonts w:hint="eastAsia" w:ascii="宋体" w:hAnsi="宋体" w:eastAsia="宋体" w:cs="宋体"/>
                <w:color w:val="auto"/>
                <w:sz w:val="21"/>
                <w:szCs w:val="21"/>
                <w:highlight w:val="none"/>
                <w:shd w:val="clear" w:color="auto" w:fill="auto"/>
              </w:rPr>
              <w:t>建议书</w:t>
            </w:r>
          </w:p>
        </w:tc>
        <w:tc>
          <w:tcPr>
            <w:tcW w:w="1091" w:type="dxa"/>
            <w:vMerge w:val="restart"/>
            <w:shd w:val="clear" w:color="auto" w:fill="auto"/>
            <w:vAlign w:val="center"/>
          </w:tcPr>
          <w:p w14:paraId="0B903062">
            <w:pPr>
              <w:keepNext w:val="0"/>
              <w:keepLines w:val="0"/>
              <w:pageBreakBefore w:val="0"/>
              <w:widowControl w:val="0"/>
              <w:kinsoku/>
              <w:wordWrap/>
              <w:overflowPunct/>
              <w:topLinePunct w:val="0"/>
              <w:autoSpaceDE/>
              <w:autoSpaceDN/>
              <w:bidi w:val="0"/>
              <w:spacing w:line="360" w:lineRule="exact"/>
              <w:jc w:val="center"/>
              <w:rPr>
                <w:rFonts w:hint="eastAsia" w:ascii="宋体" w:hAnsi="宋体" w:eastAsia="宋体" w:cs="宋体"/>
                <w:kern w:val="20"/>
                <w:sz w:val="21"/>
                <w:szCs w:val="21"/>
                <w:highlight w:val="none"/>
              </w:rPr>
            </w:pPr>
            <w:r>
              <w:rPr>
                <w:rFonts w:hint="eastAsia" w:ascii="宋体" w:hAnsi="宋体" w:eastAsia="宋体" w:cs="宋体"/>
                <w:kern w:val="20"/>
                <w:sz w:val="21"/>
                <w:szCs w:val="21"/>
                <w:highlight w:val="none"/>
                <w:u w:val="single"/>
                <w:lang w:val="en-US" w:eastAsia="zh-CN"/>
              </w:rPr>
              <w:t>45</w:t>
            </w:r>
            <w:r>
              <w:rPr>
                <w:rFonts w:hint="eastAsia" w:ascii="宋体" w:hAnsi="宋体" w:eastAsia="宋体" w:cs="宋体"/>
                <w:kern w:val="20"/>
                <w:sz w:val="21"/>
                <w:szCs w:val="21"/>
                <w:highlight w:val="none"/>
              </w:rPr>
              <w:t>分</w:t>
            </w:r>
          </w:p>
        </w:tc>
        <w:tc>
          <w:tcPr>
            <w:tcW w:w="1909" w:type="dxa"/>
            <w:shd w:val="clear" w:color="auto" w:fill="auto"/>
            <w:vAlign w:val="center"/>
          </w:tcPr>
          <w:p w14:paraId="02999438">
            <w:pPr>
              <w:keepNext w:val="0"/>
              <w:keepLines w:val="0"/>
              <w:pageBreakBefore w:val="0"/>
              <w:widowControl w:val="0"/>
              <w:kinsoku/>
              <w:wordWrap/>
              <w:overflowPunct/>
              <w:topLinePunct w:val="0"/>
              <w:autoSpaceDE/>
              <w:autoSpaceDN/>
              <w:bidi w:val="0"/>
              <w:spacing w:line="360" w:lineRule="exact"/>
              <w:jc w:val="center"/>
              <w:rPr>
                <w:rFonts w:hint="eastAsia" w:ascii="宋体" w:hAnsi="宋体" w:eastAsia="宋体" w:cs="宋体"/>
                <w:kern w:val="20"/>
                <w:sz w:val="21"/>
                <w:szCs w:val="21"/>
                <w:highlight w:val="none"/>
              </w:rPr>
            </w:pPr>
            <w:r>
              <w:rPr>
                <w:rStyle w:val="15"/>
                <w:rFonts w:hint="eastAsia" w:ascii="宋体" w:hAnsi="宋体" w:eastAsia="宋体" w:cs="宋体"/>
                <w:color w:val="auto"/>
                <w:sz w:val="21"/>
                <w:szCs w:val="21"/>
                <w:highlight w:val="none"/>
                <w:shd w:val="clear" w:color="auto" w:fill="auto"/>
              </w:rPr>
              <w:t>对招标项目的理解和总体设计思路</w:t>
            </w:r>
          </w:p>
        </w:tc>
        <w:tc>
          <w:tcPr>
            <w:tcW w:w="723" w:type="dxa"/>
            <w:shd w:val="clear" w:color="auto" w:fill="auto"/>
            <w:vAlign w:val="center"/>
          </w:tcPr>
          <w:p w14:paraId="31BB2B0C">
            <w:pPr>
              <w:keepNext w:val="0"/>
              <w:keepLines w:val="0"/>
              <w:pageBreakBefore w:val="0"/>
              <w:widowControl w:val="0"/>
              <w:kinsoku/>
              <w:wordWrap/>
              <w:overflowPunct/>
              <w:topLinePunct w:val="0"/>
              <w:autoSpaceDE/>
              <w:autoSpaceDN/>
              <w:bidi w:val="0"/>
              <w:adjustRightInd w:val="0"/>
              <w:snapToGrid w:val="0"/>
              <w:spacing w:line="360" w:lineRule="exact"/>
              <w:jc w:val="center"/>
              <w:rPr>
                <w:rFonts w:hint="eastAsia" w:ascii="宋体" w:hAnsi="宋体" w:eastAsia="宋体" w:cs="宋体"/>
                <w:sz w:val="21"/>
                <w:szCs w:val="21"/>
                <w:highlight w:val="none"/>
              </w:rPr>
            </w:pPr>
            <w:r>
              <w:rPr>
                <w:rFonts w:hint="eastAsia" w:ascii="宋体" w:hAnsi="宋体" w:eastAsia="宋体" w:cs="宋体"/>
                <w:sz w:val="21"/>
                <w:szCs w:val="21"/>
                <w:highlight w:val="none"/>
                <w:u w:val="single"/>
              </w:rPr>
              <w:t>5</w:t>
            </w:r>
            <w:r>
              <w:rPr>
                <w:rFonts w:hint="eastAsia" w:ascii="宋体" w:hAnsi="宋体" w:eastAsia="宋体" w:cs="宋体"/>
                <w:sz w:val="21"/>
                <w:szCs w:val="21"/>
                <w:highlight w:val="none"/>
              </w:rPr>
              <w:t>分</w:t>
            </w:r>
          </w:p>
        </w:tc>
        <w:tc>
          <w:tcPr>
            <w:tcW w:w="3822" w:type="dxa"/>
            <w:shd w:val="clear" w:color="auto" w:fill="auto"/>
            <w:vAlign w:val="center"/>
          </w:tcPr>
          <w:p w14:paraId="0192636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113" w:rightChars="0" w:firstLine="0" w:firstLineChars="0"/>
              <w:textAlignment w:val="auto"/>
              <w:rPr>
                <w:rFonts w:hint="eastAsia" w:ascii="宋体" w:hAnsi="宋体" w:eastAsia="宋体" w:cs="宋体"/>
                <w:sz w:val="21"/>
                <w:szCs w:val="21"/>
                <w:highlight w:val="none"/>
              </w:rPr>
            </w:pPr>
            <w:r>
              <w:rPr>
                <w:rFonts w:hint="eastAsia" w:ascii="宋体" w:hAnsi="宋体" w:eastAsia="宋体" w:cs="宋体"/>
                <w:color w:val="auto"/>
                <w:sz w:val="21"/>
                <w:szCs w:val="21"/>
                <w:highlight w:val="none"/>
              </w:rPr>
              <w:t>对招标项目的理解和总体设计思路基本正确得3分，理解深刻、认识全面、对设计思路把握准确，酌情加分，最高加2分。</w:t>
            </w:r>
          </w:p>
        </w:tc>
      </w:tr>
      <w:tr w14:paraId="1131CB3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77" w:type="dxa"/>
            <w:vMerge w:val="continue"/>
            <w:shd w:val="clear" w:color="auto" w:fill="auto"/>
            <w:vAlign w:val="center"/>
          </w:tcPr>
          <w:p w14:paraId="41F0B174">
            <w:pPr>
              <w:keepNext w:val="0"/>
              <w:keepLines w:val="0"/>
              <w:pageBreakBefore w:val="0"/>
              <w:widowControl w:val="0"/>
              <w:kinsoku/>
              <w:wordWrap/>
              <w:overflowPunct/>
              <w:topLinePunct w:val="0"/>
              <w:autoSpaceDE/>
              <w:autoSpaceDN/>
              <w:bidi w:val="0"/>
              <w:spacing w:line="360" w:lineRule="exact"/>
              <w:jc w:val="center"/>
              <w:rPr>
                <w:rStyle w:val="15"/>
                <w:rFonts w:hint="eastAsia" w:ascii="宋体" w:hAnsi="宋体" w:eastAsia="宋体" w:cs="宋体"/>
                <w:color w:val="auto"/>
                <w:sz w:val="21"/>
                <w:szCs w:val="21"/>
                <w:highlight w:val="none"/>
                <w:shd w:val="clear" w:color="auto" w:fill="auto"/>
              </w:rPr>
            </w:pPr>
          </w:p>
        </w:tc>
        <w:tc>
          <w:tcPr>
            <w:tcW w:w="1159" w:type="dxa"/>
            <w:gridSpan w:val="2"/>
            <w:vMerge w:val="continue"/>
            <w:shd w:val="clear" w:color="auto" w:fill="auto"/>
            <w:vAlign w:val="center"/>
          </w:tcPr>
          <w:p w14:paraId="5CA3F239">
            <w:pPr>
              <w:keepNext w:val="0"/>
              <w:keepLines w:val="0"/>
              <w:pageBreakBefore w:val="0"/>
              <w:widowControl w:val="0"/>
              <w:kinsoku/>
              <w:wordWrap/>
              <w:overflowPunct/>
              <w:topLinePunct w:val="0"/>
              <w:autoSpaceDE/>
              <w:autoSpaceDN/>
              <w:bidi w:val="0"/>
              <w:spacing w:line="360" w:lineRule="exact"/>
              <w:jc w:val="center"/>
              <w:rPr>
                <w:rStyle w:val="15"/>
                <w:rFonts w:hint="eastAsia" w:ascii="宋体" w:hAnsi="宋体" w:eastAsia="宋体" w:cs="宋体"/>
                <w:color w:val="auto"/>
                <w:sz w:val="21"/>
                <w:szCs w:val="21"/>
                <w:highlight w:val="none"/>
                <w:shd w:val="clear" w:color="auto" w:fill="auto"/>
              </w:rPr>
            </w:pPr>
          </w:p>
        </w:tc>
        <w:tc>
          <w:tcPr>
            <w:tcW w:w="1091" w:type="dxa"/>
            <w:vMerge w:val="continue"/>
            <w:shd w:val="clear" w:color="auto" w:fill="auto"/>
            <w:vAlign w:val="center"/>
          </w:tcPr>
          <w:p w14:paraId="1DB6D471">
            <w:pPr>
              <w:keepNext w:val="0"/>
              <w:keepLines w:val="0"/>
              <w:pageBreakBefore w:val="0"/>
              <w:widowControl w:val="0"/>
              <w:kinsoku/>
              <w:wordWrap/>
              <w:overflowPunct/>
              <w:topLinePunct w:val="0"/>
              <w:autoSpaceDE/>
              <w:autoSpaceDN/>
              <w:bidi w:val="0"/>
              <w:spacing w:line="360" w:lineRule="exact"/>
              <w:jc w:val="center"/>
              <w:rPr>
                <w:rFonts w:hint="eastAsia" w:ascii="宋体" w:hAnsi="宋体" w:eastAsia="宋体" w:cs="宋体"/>
                <w:kern w:val="20"/>
                <w:sz w:val="21"/>
                <w:szCs w:val="21"/>
                <w:highlight w:val="none"/>
                <w:u w:val="single"/>
              </w:rPr>
            </w:pPr>
          </w:p>
        </w:tc>
        <w:tc>
          <w:tcPr>
            <w:tcW w:w="1909" w:type="dxa"/>
            <w:shd w:val="clear" w:color="auto" w:fill="auto"/>
            <w:vAlign w:val="center"/>
          </w:tcPr>
          <w:p w14:paraId="2CE01BFD">
            <w:pPr>
              <w:keepNext w:val="0"/>
              <w:keepLines w:val="0"/>
              <w:pageBreakBefore w:val="0"/>
              <w:widowControl w:val="0"/>
              <w:kinsoku/>
              <w:wordWrap/>
              <w:overflowPunct/>
              <w:topLinePunct w:val="0"/>
              <w:autoSpaceDE/>
              <w:autoSpaceDN/>
              <w:bidi w:val="0"/>
              <w:spacing w:line="360" w:lineRule="exact"/>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对招标项目勘察设计的特点、关键技术问题的认识及对策措施</w:t>
            </w:r>
          </w:p>
        </w:tc>
        <w:tc>
          <w:tcPr>
            <w:tcW w:w="723" w:type="dxa"/>
            <w:shd w:val="clear" w:color="auto" w:fill="auto"/>
            <w:vAlign w:val="center"/>
          </w:tcPr>
          <w:p w14:paraId="21F27359">
            <w:pPr>
              <w:keepNext w:val="0"/>
              <w:keepLines w:val="0"/>
              <w:pageBreakBefore w:val="0"/>
              <w:widowControl w:val="0"/>
              <w:kinsoku/>
              <w:wordWrap/>
              <w:overflowPunct/>
              <w:topLinePunct w:val="0"/>
              <w:autoSpaceDE/>
              <w:autoSpaceDN/>
              <w:bidi w:val="0"/>
              <w:adjustRightInd w:val="0"/>
              <w:snapToGrid w:val="0"/>
              <w:spacing w:line="360" w:lineRule="exact"/>
              <w:jc w:val="center"/>
              <w:rPr>
                <w:rFonts w:hint="eastAsia" w:ascii="宋体" w:hAnsi="宋体" w:eastAsia="宋体" w:cs="宋体"/>
                <w:sz w:val="21"/>
                <w:szCs w:val="21"/>
                <w:highlight w:val="none"/>
              </w:rPr>
            </w:pPr>
            <w:r>
              <w:rPr>
                <w:rFonts w:hint="eastAsia" w:ascii="宋体" w:hAnsi="宋体" w:eastAsia="宋体" w:cs="宋体"/>
                <w:sz w:val="21"/>
                <w:szCs w:val="21"/>
                <w:highlight w:val="none"/>
                <w:u w:val="single"/>
                <w:lang w:val="en-US" w:eastAsia="zh-CN"/>
              </w:rPr>
              <w:t>15</w:t>
            </w:r>
            <w:r>
              <w:rPr>
                <w:rFonts w:hint="eastAsia" w:ascii="宋体" w:hAnsi="宋体" w:eastAsia="宋体" w:cs="宋体"/>
                <w:sz w:val="21"/>
                <w:szCs w:val="21"/>
                <w:highlight w:val="none"/>
              </w:rPr>
              <w:t>分</w:t>
            </w:r>
          </w:p>
        </w:tc>
        <w:tc>
          <w:tcPr>
            <w:tcW w:w="3822" w:type="dxa"/>
            <w:shd w:val="clear" w:color="auto" w:fill="auto"/>
            <w:vAlign w:val="center"/>
          </w:tcPr>
          <w:p w14:paraId="3B3A887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113" w:rightChars="0" w:firstLine="0" w:firstLineChars="0"/>
              <w:textAlignment w:val="auto"/>
              <w:rPr>
                <w:rFonts w:hint="eastAsia" w:ascii="宋体" w:hAnsi="宋体" w:eastAsia="宋体" w:cs="宋体"/>
                <w:sz w:val="21"/>
                <w:szCs w:val="21"/>
                <w:highlight w:val="none"/>
              </w:rPr>
            </w:pPr>
            <w:r>
              <w:rPr>
                <w:rFonts w:hint="eastAsia" w:ascii="宋体" w:hAnsi="宋体" w:eastAsia="宋体" w:cs="宋体"/>
                <w:color w:val="auto"/>
                <w:sz w:val="21"/>
                <w:szCs w:val="21"/>
                <w:highlight w:val="none"/>
              </w:rPr>
              <w:t>对招标项目设计的特点及关键性技术问题把握基本准确，所提出的措施基本可行得</w:t>
            </w:r>
            <w:r>
              <w:rPr>
                <w:rFonts w:hint="eastAsia" w:ascii="宋体" w:hAnsi="宋体" w:eastAsia="宋体" w:cs="宋体"/>
                <w:color w:val="auto"/>
                <w:sz w:val="21"/>
                <w:szCs w:val="21"/>
                <w:highlight w:val="none"/>
                <w:lang w:val="en-US" w:eastAsia="zh-CN"/>
              </w:rPr>
              <w:t>9</w:t>
            </w:r>
            <w:r>
              <w:rPr>
                <w:rFonts w:hint="eastAsia" w:ascii="宋体" w:hAnsi="宋体" w:eastAsia="宋体" w:cs="宋体"/>
                <w:color w:val="auto"/>
                <w:sz w:val="21"/>
                <w:szCs w:val="21"/>
                <w:highlight w:val="none"/>
              </w:rPr>
              <w:t>分，所提出的措施符合本项目的特点，针对性强，且具有可行性的，酌情加分，最高加</w:t>
            </w: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rPr>
              <w:t>分。</w:t>
            </w:r>
          </w:p>
        </w:tc>
      </w:tr>
      <w:tr w14:paraId="42EC0AE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56" w:hRule="atLeast"/>
          <w:jc w:val="center"/>
        </w:trPr>
        <w:tc>
          <w:tcPr>
            <w:tcW w:w="877" w:type="dxa"/>
            <w:vMerge w:val="continue"/>
            <w:shd w:val="clear" w:color="auto" w:fill="auto"/>
            <w:vAlign w:val="center"/>
          </w:tcPr>
          <w:p w14:paraId="32955494">
            <w:pPr>
              <w:keepNext w:val="0"/>
              <w:keepLines w:val="0"/>
              <w:pageBreakBefore w:val="0"/>
              <w:widowControl w:val="0"/>
              <w:kinsoku/>
              <w:wordWrap/>
              <w:overflowPunct/>
              <w:topLinePunct w:val="0"/>
              <w:autoSpaceDE/>
              <w:autoSpaceDN/>
              <w:bidi w:val="0"/>
              <w:spacing w:line="360" w:lineRule="exact"/>
              <w:jc w:val="center"/>
              <w:rPr>
                <w:rFonts w:hint="eastAsia" w:ascii="宋体" w:hAnsi="宋体" w:eastAsia="宋体" w:cs="宋体"/>
                <w:kern w:val="20"/>
                <w:sz w:val="21"/>
                <w:szCs w:val="21"/>
                <w:highlight w:val="none"/>
              </w:rPr>
            </w:pPr>
          </w:p>
        </w:tc>
        <w:tc>
          <w:tcPr>
            <w:tcW w:w="1159" w:type="dxa"/>
            <w:gridSpan w:val="2"/>
            <w:vMerge w:val="continue"/>
            <w:shd w:val="clear" w:color="auto" w:fill="auto"/>
            <w:vAlign w:val="center"/>
          </w:tcPr>
          <w:p w14:paraId="70AB18A3">
            <w:pPr>
              <w:keepNext w:val="0"/>
              <w:keepLines w:val="0"/>
              <w:pageBreakBefore w:val="0"/>
              <w:widowControl w:val="0"/>
              <w:kinsoku/>
              <w:wordWrap/>
              <w:overflowPunct/>
              <w:topLinePunct w:val="0"/>
              <w:autoSpaceDE/>
              <w:autoSpaceDN/>
              <w:bidi w:val="0"/>
              <w:spacing w:line="360" w:lineRule="exact"/>
              <w:jc w:val="center"/>
              <w:rPr>
                <w:rFonts w:hint="eastAsia" w:ascii="宋体" w:hAnsi="宋体" w:eastAsia="宋体" w:cs="宋体"/>
                <w:kern w:val="20"/>
                <w:sz w:val="21"/>
                <w:szCs w:val="21"/>
                <w:highlight w:val="none"/>
              </w:rPr>
            </w:pPr>
          </w:p>
        </w:tc>
        <w:tc>
          <w:tcPr>
            <w:tcW w:w="1091" w:type="dxa"/>
            <w:vMerge w:val="continue"/>
            <w:shd w:val="clear" w:color="auto" w:fill="auto"/>
            <w:vAlign w:val="center"/>
          </w:tcPr>
          <w:p w14:paraId="331FDD1C">
            <w:pPr>
              <w:keepNext w:val="0"/>
              <w:keepLines w:val="0"/>
              <w:pageBreakBefore w:val="0"/>
              <w:widowControl w:val="0"/>
              <w:kinsoku/>
              <w:wordWrap/>
              <w:overflowPunct/>
              <w:topLinePunct w:val="0"/>
              <w:autoSpaceDE/>
              <w:autoSpaceDN/>
              <w:bidi w:val="0"/>
              <w:spacing w:line="360" w:lineRule="exact"/>
              <w:jc w:val="center"/>
              <w:rPr>
                <w:rFonts w:hint="eastAsia" w:ascii="宋体" w:hAnsi="宋体" w:eastAsia="宋体" w:cs="宋体"/>
                <w:kern w:val="20"/>
                <w:sz w:val="21"/>
                <w:szCs w:val="21"/>
                <w:highlight w:val="none"/>
              </w:rPr>
            </w:pPr>
          </w:p>
        </w:tc>
        <w:tc>
          <w:tcPr>
            <w:tcW w:w="1909" w:type="dxa"/>
            <w:shd w:val="clear" w:color="auto" w:fill="auto"/>
            <w:vAlign w:val="center"/>
          </w:tcPr>
          <w:p w14:paraId="3998C4DD">
            <w:pPr>
              <w:keepNext w:val="0"/>
              <w:keepLines w:val="0"/>
              <w:pageBreakBefore w:val="0"/>
              <w:widowControl w:val="0"/>
              <w:kinsoku/>
              <w:wordWrap/>
              <w:overflowPunct/>
              <w:topLinePunct w:val="0"/>
              <w:autoSpaceDE/>
              <w:autoSpaceDN/>
              <w:bidi w:val="0"/>
              <w:spacing w:line="360" w:lineRule="exact"/>
              <w:jc w:val="center"/>
              <w:rPr>
                <w:rStyle w:val="15"/>
                <w:rFonts w:hint="eastAsia" w:ascii="宋体" w:hAnsi="宋体" w:eastAsia="宋体" w:cs="宋体"/>
                <w:color w:val="auto"/>
                <w:sz w:val="21"/>
                <w:szCs w:val="21"/>
                <w:highlight w:val="none"/>
                <w:shd w:val="clear" w:color="auto" w:fill="auto"/>
              </w:rPr>
            </w:pPr>
            <w:r>
              <w:rPr>
                <w:rStyle w:val="15"/>
                <w:rFonts w:hint="eastAsia" w:ascii="宋体" w:hAnsi="宋体" w:eastAsia="宋体" w:cs="宋体"/>
                <w:color w:val="auto"/>
                <w:sz w:val="21"/>
                <w:szCs w:val="21"/>
                <w:highlight w:val="none"/>
                <w:shd w:val="clear" w:color="auto" w:fill="auto"/>
              </w:rPr>
              <w:t>勘察设计工作量及计划安排</w:t>
            </w:r>
          </w:p>
        </w:tc>
        <w:tc>
          <w:tcPr>
            <w:tcW w:w="723" w:type="dxa"/>
            <w:shd w:val="clear" w:color="auto" w:fill="auto"/>
            <w:vAlign w:val="center"/>
          </w:tcPr>
          <w:p w14:paraId="7C12BB9D">
            <w:pPr>
              <w:keepNext w:val="0"/>
              <w:keepLines w:val="0"/>
              <w:pageBreakBefore w:val="0"/>
              <w:widowControl w:val="0"/>
              <w:kinsoku/>
              <w:wordWrap/>
              <w:overflowPunct/>
              <w:topLinePunct w:val="0"/>
              <w:autoSpaceDE/>
              <w:autoSpaceDN/>
              <w:bidi w:val="0"/>
              <w:adjustRightInd w:val="0"/>
              <w:snapToGrid w:val="0"/>
              <w:spacing w:line="360" w:lineRule="exact"/>
              <w:jc w:val="center"/>
              <w:rPr>
                <w:rFonts w:hint="eastAsia" w:ascii="宋体" w:hAnsi="宋体" w:eastAsia="宋体" w:cs="宋体"/>
                <w:sz w:val="21"/>
                <w:szCs w:val="21"/>
                <w:highlight w:val="none"/>
              </w:rPr>
            </w:pPr>
            <w:r>
              <w:rPr>
                <w:rFonts w:hint="eastAsia" w:ascii="宋体" w:hAnsi="宋体" w:eastAsia="宋体" w:cs="宋体"/>
                <w:sz w:val="21"/>
                <w:szCs w:val="21"/>
                <w:highlight w:val="none"/>
                <w:u w:val="single"/>
              </w:rPr>
              <w:t>10</w:t>
            </w:r>
            <w:r>
              <w:rPr>
                <w:rFonts w:hint="eastAsia" w:ascii="宋体" w:hAnsi="宋体" w:eastAsia="宋体" w:cs="宋体"/>
                <w:sz w:val="21"/>
                <w:szCs w:val="21"/>
                <w:highlight w:val="none"/>
              </w:rPr>
              <w:t>分</w:t>
            </w:r>
          </w:p>
        </w:tc>
        <w:tc>
          <w:tcPr>
            <w:tcW w:w="3822" w:type="dxa"/>
            <w:shd w:val="clear" w:color="auto" w:fill="auto"/>
            <w:vAlign w:val="center"/>
          </w:tcPr>
          <w:p w14:paraId="0B509F8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113" w:rightChars="0" w:firstLine="0" w:firstLineChars="0"/>
              <w:textAlignment w:val="auto"/>
              <w:rPr>
                <w:rFonts w:hint="eastAsia" w:ascii="宋体" w:hAnsi="宋体" w:eastAsia="宋体" w:cs="宋体"/>
                <w:sz w:val="21"/>
                <w:szCs w:val="21"/>
                <w:highlight w:val="none"/>
              </w:rPr>
            </w:pPr>
            <w:r>
              <w:rPr>
                <w:rFonts w:hint="eastAsia" w:ascii="宋体" w:hAnsi="宋体" w:eastAsia="宋体" w:cs="宋体"/>
                <w:color w:val="auto"/>
                <w:sz w:val="21"/>
                <w:szCs w:val="21"/>
                <w:highlight w:val="none"/>
              </w:rPr>
              <w:t>设计工作计划安排基本可行得6分，计划安排合理，酌情加分，最高加4分。</w:t>
            </w:r>
          </w:p>
        </w:tc>
      </w:tr>
      <w:tr w14:paraId="10BA70E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02" w:hRule="atLeast"/>
          <w:jc w:val="center"/>
        </w:trPr>
        <w:tc>
          <w:tcPr>
            <w:tcW w:w="877" w:type="dxa"/>
            <w:vMerge w:val="continue"/>
            <w:shd w:val="clear" w:color="auto" w:fill="auto"/>
            <w:vAlign w:val="center"/>
          </w:tcPr>
          <w:p w14:paraId="07561B86">
            <w:pPr>
              <w:keepNext w:val="0"/>
              <w:keepLines w:val="0"/>
              <w:pageBreakBefore w:val="0"/>
              <w:widowControl w:val="0"/>
              <w:kinsoku/>
              <w:wordWrap/>
              <w:overflowPunct/>
              <w:topLinePunct w:val="0"/>
              <w:autoSpaceDE/>
              <w:autoSpaceDN/>
              <w:bidi w:val="0"/>
              <w:spacing w:line="360" w:lineRule="exact"/>
              <w:jc w:val="center"/>
              <w:rPr>
                <w:rFonts w:hint="eastAsia" w:ascii="宋体" w:hAnsi="宋体" w:eastAsia="宋体" w:cs="宋体"/>
                <w:kern w:val="20"/>
                <w:sz w:val="21"/>
                <w:szCs w:val="21"/>
                <w:highlight w:val="none"/>
              </w:rPr>
            </w:pPr>
          </w:p>
        </w:tc>
        <w:tc>
          <w:tcPr>
            <w:tcW w:w="1159" w:type="dxa"/>
            <w:gridSpan w:val="2"/>
            <w:vMerge w:val="continue"/>
            <w:shd w:val="clear" w:color="auto" w:fill="auto"/>
            <w:vAlign w:val="center"/>
          </w:tcPr>
          <w:p w14:paraId="6A1388F0">
            <w:pPr>
              <w:keepNext w:val="0"/>
              <w:keepLines w:val="0"/>
              <w:pageBreakBefore w:val="0"/>
              <w:widowControl w:val="0"/>
              <w:kinsoku/>
              <w:wordWrap/>
              <w:overflowPunct/>
              <w:topLinePunct w:val="0"/>
              <w:autoSpaceDE/>
              <w:autoSpaceDN/>
              <w:bidi w:val="0"/>
              <w:spacing w:line="360" w:lineRule="exact"/>
              <w:jc w:val="center"/>
              <w:rPr>
                <w:rFonts w:hint="eastAsia" w:ascii="宋体" w:hAnsi="宋体" w:eastAsia="宋体" w:cs="宋体"/>
                <w:kern w:val="20"/>
                <w:sz w:val="21"/>
                <w:szCs w:val="21"/>
                <w:highlight w:val="none"/>
              </w:rPr>
            </w:pPr>
          </w:p>
        </w:tc>
        <w:tc>
          <w:tcPr>
            <w:tcW w:w="1091" w:type="dxa"/>
            <w:vMerge w:val="continue"/>
            <w:shd w:val="clear" w:color="auto" w:fill="auto"/>
            <w:vAlign w:val="center"/>
          </w:tcPr>
          <w:p w14:paraId="18E8D45E">
            <w:pPr>
              <w:keepNext w:val="0"/>
              <w:keepLines w:val="0"/>
              <w:pageBreakBefore w:val="0"/>
              <w:widowControl w:val="0"/>
              <w:kinsoku/>
              <w:wordWrap/>
              <w:overflowPunct/>
              <w:topLinePunct w:val="0"/>
              <w:autoSpaceDE/>
              <w:autoSpaceDN/>
              <w:bidi w:val="0"/>
              <w:spacing w:line="360" w:lineRule="exact"/>
              <w:jc w:val="center"/>
              <w:rPr>
                <w:rFonts w:hint="eastAsia" w:ascii="宋体" w:hAnsi="宋体" w:eastAsia="宋体" w:cs="宋体"/>
                <w:kern w:val="20"/>
                <w:sz w:val="21"/>
                <w:szCs w:val="21"/>
                <w:highlight w:val="none"/>
              </w:rPr>
            </w:pPr>
          </w:p>
        </w:tc>
        <w:tc>
          <w:tcPr>
            <w:tcW w:w="1909" w:type="dxa"/>
            <w:shd w:val="clear" w:color="auto" w:fill="auto"/>
            <w:vAlign w:val="center"/>
          </w:tcPr>
          <w:p w14:paraId="14B7677D">
            <w:pPr>
              <w:keepNext w:val="0"/>
              <w:keepLines w:val="0"/>
              <w:pageBreakBefore w:val="0"/>
              <w:widowControl w:val="0"/>
              <w:kinsoku/>
              <w:wordWrap/>
              <w:overflowPunct/>
              <w:topLinePunct w:val="0"/>
              <w:autoSpaceDE/>
              <w:autoSpaceDN/>
              <w:bidi w:val="0"/>
              <w:spacing w:line="360" w:lineRule="exact"/>
              <w:jc w:val="center"/>
              <w:rPr>
                <w:rFonts w:hint="eastAsia" w:ascii="宋体" w:hAnsi="宋体" w:eastAsia="宋体" w:cs="宋体"/>
                <w:kern w:val="20"/>
                <w:sz w:val="21"/>
                <w:szCs w:val="21"/>
                <w:highlight w:val="none"/>
              </w:rPr>
            </w:pPr>
            <w:r>
              <w:rPr>
                <w:rStyle w:val="15"/>
                <w:rFonts w:hint="eastAsia" w:ascii="宋体" w:hAnsi="宋体" w:eastAsia="宋体" w:cs="宋体"/>
                <w:color w:val="auto"/>
                <w:sz w:val="21"/>
                <w:szCs w:val="21"/>
                <w:highlight w:val="none"/>
                <w:shd w:val="clear" w:color="auto" w:fill="auto"/>
              </w:rPr>
              <w:t>勘察设计的质量保证措施、进度保证措施、安全保证措施</w:t>
            </w:r>
          </w:p>
        </w:tc>
        <w:tc>
          <w:tcPr>
            <w:tcW w:w="723" w:type="dxa"/>
            <w:shd w:val="clear" w:color="auto" w:fill="auto"/>
            <w:vAlign w:val="center"/>
          </w:tcPr>
          <w:p w14:paraId="40C0EC32">
            <w:pPr>
              <w:keepNext w:val="0"/>
              <w:keepLines w:val="0"/>
              <w:pageBreakBefore w:val="0"/>
              <w:widowControl w:val="0"/>
              <w:kinsoku/>
              <w:wordWrap/>
              <w:overflowPunct/>
              <w:topLinePunct w:val="0"/>
              <w:autoSpaceDE/>
              <w:autoSpaceDN/>
              <w:bidi w:val="0"/>
              <w:adjustRightInd w:val="0"/>
              <w:snapToGrid w:val="0"/>
              <w:spacing w:line="360" w:lineRule="exact"/>
              <w:jc w:val="center"/>
              <w:rPr>
                <w:rFonts w:hint="eastAsia" w:ascii="宋体" w:hAnsi="宋体" w:eastAsia="宋体" w:cs="宋体"/>
                <w:sz w:val="21"/>
                <w:szCs w:val="21"/>
                <w:highlight w:val="none"/>
              </w:rPr>
            </w:pPr>
            <w:r>
              <w:rPr>
                <w:rFonts w:hint="eastAsia" w:ascii="宋体" w:hAnsi="宋体" w:eastAsia="宋体" w:cs="宋体"/>
                <w:sz w:val="21"/>
                <w:szCs w:val="21"/>
                <w:highlight w:val="none"/>
                <w:u w:val="single"/>
                <w:lang w:val="en-US" w:eastAsia="zh-CN"/>
              </w:rPr>
              <w:t>10</w:t>
            </w:r>
            <w:r>
              <w:rPr>
                <w:rFonts w:hint="eastAsia" w:ascii="宋体" w:hAnsi="宋体" w:eastAsia="宋体" w:cs="宋体"/>
                <w:sz w:val="21"/>
                <w:szCs w:val="21"/>
                <w:highlight w:val="none"/>
              </w:rPr>
              <w:t>分</w:t>
            </w:r>
          </w:p>
        </w:tc>
        <w:tc>
          <w:tcPr>
            <w:tcW w:w="3822" w:type="dxa"/>
            <w:shd w:val="clear" w:color="auto" w:fill="auto"/>
            <w:vAlign w:val="center"/>
          </w:tcPr>
          <w:p w14:paraId="7ED3AF3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113" w:rightChars="0" w:firstLine="0" w:firstLineChars="0"/>
              <w:textAlignment w:val="auto"/>
              <w:rPr>
                <w:rFonts w:hint="eastAsia" w:ascii="宋体" w:hAnsi="宋体" w:eastAsia="宋体" w:cs="宋体"/>
                <w:sz w:val="21"/>
                <w:szCs w:val="21"/>
                <w:highlight w:val="none"/>
              </w:rPr>
            </w:pPr>
            <w:r>
              <w:rPr>
                <w:rFonts w:hint="eastAsia" w:ascii="宋体" w:hAnsi="宋体" w:eastAsia="宋体" w:cs="宋体"/>
                <w:color w:val="auto"/>
                <w:sz w:val="21"/>
                <w:szCs w:val="21"/>
                <w:highlight w:val="none"/>
              </w:rPr>
              <w:t>设计的质量、进度、安全保证措施基本可行得</w:t>
            </w: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rPr>
              <w:t>分，措施可行，所采用的措施能够提高设计质量、加快设计进度的酌情加分，最高加</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分。</w:t>
            </w:r>
          </w:p>
        </w:tc>
      </w:tr>
      <w:tr w14:paraId="10F4EE1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89" w:hRule="atLeast"/>
          <w:jc w:val="center"/>
        </w:trPr>
        <w:tc>
          <w:tcPr>
            <w:tcW w:w="877" w:type="dxa"/>
            <w:vMerge w:val="continue"/>
            <w:shd w:val="clear" w:color="auto" w:fill="auto"/>
            <w:vAlign w:val="center"/>
          </w:tcPr>
          <w:p w14:paraId="1DF87573">
            <w:pPr>
              <w:keepNext w:val="0"/>
              <w:keepLines w:val="0"/>
              <w:pageBreakBefore w:val="0"/>
              <w:widowControl w:val="0"/>
              <w:kinsoku/>
              <w:wordWrap/>
              <w:overflowPunct/>
              <w:topLinePunct w:val="0"/>
              <w:autoSpaceDE/>
              <w:autoSpaceDN/>
              <w:bidi w:val="0"/>
              <w:spacing w:line="360" w:lineRule="exact"/>
              <w:jc w:val="center"/>
              <w:rPr>
                <w:rFonts w:hint="eastAsia" w:ascii="宋体" w:hAnsi="宋体" w:eastAsia="宋体" w:cs="宋体"/>
                <w:kern w:val="20"/>
                <w:sz w:val="21"/>
                <w:szCs w:val="21"/>
                <w:highlight w:val="none"/>
              </w:rPr>
            </w:pPr>
          </w:p>
        </w:tc>
        <w:tc>
          <w:tcPr>
            <w:tcW w:w="1159" w:type="dxa"/>
            <w:gridSpan w:val="2"/>
            <w:vMerge w:val="continue"/>
            <w:shd w:val="clear" w:color="auto" w:fill="auto"/>
            <w:vAlign w:val="center"/>
          </w:tcPr>
          <w:p w14:paraId="39BB6896">
            <w:pPr>
              <w:keepNext w:val="0"/>
              <w:keepLines w:val="0"/>
              <w:pageBreakBefore w:val="0"/>
              <w:widowControl w:val="0"/>
              <w:kinsoku/>
              <w:wordWrap/>
              <w:overflowPunct/>
              <w:topLinePunct w:val="0"/>
              <w:autoSpaceDE/>
              <w:autoSpaceDN/>
              <w:bidi w:val="0"/>
              <w:spacing w:line="360" w:lineRule="exact"/>
              <w:jc w:val="center"/>
              <w:rPr>
                <w:rFonts w:hint="eastAsia" w:ascii="宋体" w:hAnsi="宋体" w:eastAsia="宋体" w:cs="宋体"/>
                <w:kern w:val="20"/>
                <w:sz w:val="21"/>
                <w:szCs w:val="21"/>
                <w:highlight w:val="none"/>
              </w:rPr>
            </w:pPr>
          </w:p>
        </w:tc>
        <w:tc>
          <w:tcPr>
            <w:tcW w:w="1091" w:type="dxa"/>
            <w:vMerge w:val="continue"/>
            <w:shd w:val="clear" w:color="auto" w:fill="auto"/>
            <w:vAlign w:val="center"/>
          </w:tcPr>
          <w:p w14:paraId="5C645043">
            <w:pPr>
              <w:keepNext w:val="0"/>
              <w:keepLines w:val="0"/>
              <w:pageBreakBefore w:val="0"/>
              <w:widowControl w:val="0"/>
              <w:kinsoku/>
              <w:wordWrap/>
              <w:overflowPunct/>
              <w:topLinePunct w:val="0"/>
              <w:autoSpaceDE/>
              <w:autoSpaceDN/>
              <w:bidi w:val="0"/>
              <w:spacing w:line="360" w:lineRule="exact"/>
              <w:jc w:val="center"/>
              <w:rPr>
                <w:rFonts w:hint="eastAsia" w:ascii="宋体" w:hAnsi="宋体" w:eastAsia="宋体" w:cs="宋体"/>
                <w:kern w:val="20"/>
                <w:sz w:val="21"/>
                <w:szCs w:val="21"/>
                <w:highlight w:val="none"/>
              </w:rPr>
            </w:pPr>
          </w:p>
        </w:tc>
        <w:tc>
          <w:tcPr>
            <w:tcW w:w="1909" w:type="dxa"/>
            <w:shd w:val="clear" w:color="auto" w:fill="auto"/>
            <w:vAlign w:val="center"/>
          </w:tcPr>
          <w:p w14:paraId="409ADEE3">
            <w:pPr>
              <w:keepNext w:val="0"/>
              <w:keepLines w:val="0"/>
              <w:pageBreakBefore w:val="0"/>
              <w:widowControl w:val="0"/>
              <w:kinsoku/>
              <w:wordWrap/>
              <w:overflowPunct/>
              <w:topLinePunct w:val="0"/>
              <w:autoSpaceDE/>
              <w:autoSpaceDN/>
              <w:bidi w:val="0"/>
              <w:spacing w:line="360" w:lineRule="exact"/>
              <w:jc w:val="center"/>
              <w:rPr>
                <w:rFonts w:hint="eastAsia" w:ascii="宋体" w:hAnsi="宋体" w:eastAsia="宋体" w:cs="宋体"/>
                <w:kern w:val="20"/>
                <w:sz w:val="21"/>
                <w:szCs w:val="21"/>
                <w:highlight w:val="none"/>
              </w:rPr>
            </w:pPr>
            <w:r>
              <w:rPr>
                <w:rStyle w:val="15"/>
                <w:rFonts w:hint="eastAsia" w:ascii="宋体" w:hAnsi="宋体" w:eastAsia="宋体" w:cs="宋体"/>
                <w:color w:val="auto"/>
                <w:sz w:val="21"/>
                <w:szCs w:val="21"/>
                <w:highlight w:val="none"/>
                <w:shd w:val="clear" w:color="auto" w:fill="auto"/>
              </w:rPr>
              <w:t>后续服务的安排及保证措施</w:t>
            </w:r>
          </w:p>
        </w:tc>
        <w:tc>
          <w:tcPr>
            <w:tcW w:w="723" w:type="dxa"/>
            <w:shd w:val="clear" w:color="auto" w:fill="auto"/>
            <w:vAlign w:val="center"/>
          </w:tcPr>
          <w:p w14:paraId="0C5CA422">
            <w:pPr>
              <w:keepNext w:val="0"/>
              <w:keepLines w:val="0"/>
              <w:pageBreakBefore w:val="0"/>
              <w:widowControl w:val="0"/>
              <w:kinsoku/>
              <w:wordWrap/>
              <w:overflowPunct/>
              <w:topLinePunct w:val="0"/>
              <w:autoSpaceDE/>
              <w:autoSpaceDN/>
              <w:bidi w:val="0"/>
              <w:adjustRightInd w:val="0"/>
              <w:snapToGrid w:val="0"/>
              <w:spacing w:line="360" w:lineRule="exact"/>
              <w:jc w:val="center"/>
              <w:rPr>
                <w:rFonts w:hint="eastAsia" w:ascii="宋体" w:hAnsi="宋体" w:eastAsia="宋体" w:cs="宋体"/>
                <w:sz w:val="21"/>
                <w:szCs w:val="21"/>
                <w:highlight w:val="none"/>
              </w:rPr>
            </w:pPr>
            <w:r>
              <w:rPr>
                <w:rFonts w:hint="eastAsia" w:ascii="宋体" w:hAnsi="宋体" w:eastAsia="宋体" w:cs="宋体"/>
                <w:sz w:val="21"/>
                <w:szCs w:val="21"/>
                <w:highlight w:val="none"/>
                <w:u w:val="single"/>
              </w:rPr>
              <w:t>5</w:t>
            </w:r>
            <w:r>
              <w:rPr>
                <w:rFonts w:hint="eastAsia" w:ascii="宋体" w:hAnsi="宋体" w:eastAsia="宋体" w:cs="宋体"/>
                <w:sz w:val="21"/>
                <w:szCs w:val="21"/>
                <w:highlight w:val="none"/>
              </w:rPr>
              <w:t>分</w:t>
            </w:r>
          </w:p>
        </w:tc>
        <w:tc>
          <w:tcPr>
            <w:tcW w:w="3822" w:type="dxa"/>
            <w:shd w:val="clear" w:color="auto" w:fill="auto"/>
            <w:vAlign w:val="center"/>
          </w:tcPr>
          <w:p w14:paraId="5AB2B69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113" w:rightChars="0" w:firstLine="0" w:firstLineChars="0"/>
              <w:textAlignment w:val="auto"/>
              <w:rPr>
                <w:rFonts w:hint="eastAsia" w:ascii="宋体" w:hAnsi="宋体" w:eastAsia="宋体" w:cs="宋体"/>
                <w:sz w:val="21"/>
                <w:szCs w:val="21"/>
                <w:highlight w:val="none"/>
              </w:rPr>
            </w:pPr>
            <w:r>
              <w:rPr>
                <w:rFonts w:hint="eastAsia" w:ascii="宋体" w:hAnsi="宋体" w:eastAsia="宋体" w:cs="宋体"/>
                <w:color w:val="auto"/>
                <w:sz w:val="21"/>
                <w:szCs w:val="21"/>
                <w:highlight w:val="none"/>
              </w:rPr>
              <w:t>后续服务的安排及保证措施基本可行得3分，可行且能够快速的协助发包人解决问题，酌情加分，最高加2分。</w:t>
            </w:r>
          </w:p>
        </w:tc>
      </w:tr>
      <w:tr w14:paraId="4184616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04" w:hRule="atLeast"/>
          <w:jc w:val="center"/>
        </w:trPr>
        <w:tc>
          <w:tcPr>
            <w:tcW w:w="877" w:type="dxa"/>
            <w:shd w:val="clear" w:color="auto" w:fill="auto"/>
            <w:vAlign w:val="center"/>
          </w:tcPr>
          <w:p w14:paraId="3A19D255">
            <w:pPr>
              <w:keepNext w:val="0"/>
              <w:keepLines w:val="0"/>
              <w:pageBreakBefore w:val="0"/>
              <w:widowControl w:val="0"/>
              <w:kinsoku/>
              <w:wordWrap/>
              <w:overflowPunct/>
              <w:topLinePunct w:val="0"/>
              <w:autoSpaceDE/>
              <w:autoSpaceDN/>
              <w:bidi w:val="0"/>
              <w:spacing w:line="360" w:lineRule="exact"/>
              <w:jc w:val="center"/>
              <w:rPr>
                <w:rFonts w:hint="eastAsia" w:ascii="宋体" w:hAnsi="宋体" w:eastAsia="宋体" w:cs="宋体"/>
                <w:kern w:val="20"/>
                <w:sz w:val="21"/>
                <w:szCs w:val="21"/>
                <w:highlight w:val="none"/>
                <w:lang w:eastAsia="zh-CN"/>
              </w:rPr>
            </w:pPr>
            <w:r>
              <w:rPr>
                <w:rStyle w:val="15"/>
                <w:rFonts w:hint="eastAsia" w:ascii="宋体" w:hAnsi="宋体" w:eastAsia="宋体" w:cs="宋体"/>
                <w:color w:val="auto"/>
                <w:sz w:val="21"/>
                <w:szCs w:val="21"/>
                <w:highlight w:val="none"/>
                <w:shd w:val="clear" w:color="auto" w:fill="auto"/>
              </w:rPr>
              <w:t>2.2.4</w:t>
            </w:r>
            <w:r>
              <w:rPr>
                <w:rStyle w:val="15"/>
                <w:rFonts w:hint="eastAsia" w:ascii="宋体" w:hAnsi="宋体" w:eastAsia="宋体" w:cs="宋体"/>
                <w:color w:val="auto"/>
                <w:sz w:val="21"/>
                <w:szCs w:val="21"/>
                <w:highlight w:val="none"/>
                <w:shd w:val="clear" w:color="auto" w:fill="auto"/>
              </w:rPr>
              <w:br w:type="textWrapping"/>
            </w:r>
            <w:r>
              <w:rPr>
                <w:rStyle w:val="15"/>
                <w:rFonts w:hint="eastAsia" w:ascii="宋体" w:hAnsi="宋体" w:eastAsia="宋体" w:cs="宋体"/>
                <w:color w:val="auto"/>
                <w:sz w:val="21"/>
                <w:szCs w:val="21"/>
                <w:highlight w:val="none"/>
                <w:shd w:val="clear" w:color="auto" w:fill="auto"/>
                <w:lang w:eastAsia="zh-CN"/>
              </w:rPr>
              <w:t>（</w:t>
            </w:r>
            <w:r>
              <w:rPr>
                <w:rStyle w:val="15"/>
                <w:rFonts w:hint="eastAsia" w:ascii="宋体" w:hAnsi="宋体" w:eastAsia="宋体" w:cs="宋体"/>
                <w:color w:val="auto"/>
                <w:sz w:val="21"/>
                <w:szCs w:val="21"/>
                <w:highlight w:val="none"/>
                <w:shd w:val="clear" w:color="auto" w:fill="auto"/>
              </w:rPr>
              <w:t>2</w:t>
            </w:r>
            <w:r>
              <w:rPr>
                <w:rStyle w:val="15"/>
                <w:rFonts w:hint="eastAsia" w:ascii="宋体" w:hAnsi="宋体" w:eastAsia="宋体" w:cs="宋体"/>
                <w:color w:val="auto"/>
                <w:sz w:val="21"/>
                <w:szCs w:val="21"/>
                <w:highlight w:val="none"/>
                <w:shd w:val="clear" w:color="auto" w:fill="auto"/>
                <w:lang w:eastAsia="zh-CN"/>
              </w:rPr>
              <w:t>）</w:t>
            </w:r>
          </w:p>
        </w:tc>
        <w:tc>
          <w:tcPr>
            <w:tcW w:w="1159" w:type="dxa"/>
            <w:gridSpan w:val="2"/>
            <w:shd w:val="clear" w:color="auto" w:fill="auto"/>
            <w:vAlign w:val="center"/>
          </w:tcPr>
          <w:p w14:paraId="2F34FECA">
            <w:pPr>
              <w:keepNext w:val="0"/>
              <w:keepLines w:val="0"/>
              <w:pageBreakBefore w:val="0"/>
              <w:widowControl w:val="0"/>
              <w:kinsoku/>
              <w:wordWrap/>
              <w:overflowPunct/>
              <w:topLinePunct w:val="0"/>
              <w:autoSpaceDE/>
              <w:autoSpaceDN/>
              <w:bidi w:val="0"/>
              <w:spacing w:line="360" w:lineRule="exact"/>
              <w:jc w:val="center"/>
              <w:rPr>
                <w:rFonts w:hint="eastAsia" w:ascii="宋体" w:hAnsi="宋体" w:eastAsia="宋体" w:cs="宋体"/>
                <w:kern w:val="20"/>
                <w:sz w:val="21"/>
                <w:szCs w:val="21"/>
                <w:highlight w:val="none"/>
              </w:rPr>
            </w:pPr>
            <w:r>
              <w:rPr>
                <w:rStyle w:val="15"/>
                <w:rFonts w:hint="eastAsia" w:ascii="宋体" w:hAnsi="宋体" w:eastAsia="宋体" w:cs="宋体"/>
                <w:color w:val="auto"/>
                <w:sz w:val="21"/>
                <w:szCs w:val="21"/>
                <w:highlight w:val="none"/>
                <w:shd w:val="clear" w:color="auto" w:fill="auto"/>
              </w:rPr>
              <w:t>主要人员</w:t>
            </w:r>
          </w:p>
        </w:tc>
        <w:tc>
          <w:tcPr>
            <w:tcW w:w="1091" w:type="dxa"/>
            <w:shd w:val="clear" w:color="auto" w:fill="auto"/>
            <w:vAlign w:val="center"/>
          </w:tcPr>
          <w:p w14:paraId="77D6DCE6">
            <w:pPr>
              <w:keepNext w:val="0"/>
              <w:keepLines w:val="0"/>
              <w:pageBreakBefore w:val="0"/>
              <w:widowControl w:val="0"/>
              <w:kinsoku/>
              <w:wordWrap/>
              <w:overflowPunct/>
              <w:topLinePunct w:val="0"/>
              <w:autoSpaceDE/>
              <w:autoSpaceDN/>
              <w:bidi w:val="0"/>
              <w:spacing w:line="360" w:lineRule="exact"/>
              <w:jc w:val="center"/>
              <w:rPr>
                <w:rFonts w:hint="eastAsia" w:ascii="宋体" w:hAnsi="宋体" w:eastAsia="宋体" w:cs="宋体"/>
                <w:kern w:val="20"/>
                <w:sz w:val="21"/>
                <w:szCs w:val="21"/>
                <w:highlight w:val="none"/>
              </w:rPr>
            </w:pPr>
            <w:r>
              <w:rPr>
                <w:rFonts w:hint="eastAsia" w:ascii="宋体" w:hAnsi="宋体" w:eastAsia="宋体" w:cs="宋体"/>
                <w:kern w:val="20"/>
                <w:sz w:val="21"/>
                <w:szCs w:val="21"/>
                <w:highlight w:val="none"/>
                <w:u w:val="single"/>
              </w:rPr>
              <w:t>2</w:t>
            </w:r>
            <w:r>
              <w:rPr>
                <w:rFonts w:hint="eastAsia" w:ascii="宋体" w:hAnsi="宋体" w:eastAsia="宋体" w:cs="宋体"/>
                <w:kern w:val="20"/>
                <w:sz w:val="21"/>
                <w:szCs w:val="21"/>
                <w:highlight w:val="none"/>
                <w:u w:val="single"/>
                <w:lang w:val="en-US" w:eastAsia="zh-CN"/>
              </w:rPr>
              <w:t>0</w:t>
            </w:r>
            <w:r>
              <w:rPr>
                <w:rFonts w:hint="eastAsia" w:ascii="宋体" w:hAnsi="宋体" w:eastAsia="宋体" w:cs="宋体"/>
                <w:kern w:val="20"/>
                <w:sz w:val="21"/>
                <w:szCs w:val="21"/>
                <w:highlight w:val="none"/>
              </w:rPr>
              <w:t>分</w:t>
            </w:r>
          </w:p>
        </w:tc>
        <w:tc>
          <w:tcPr>
            <w:tcW w:w="1909" w:type="dxa"/>
            <w:shd w:val="clear" w:color="auto" w:fill="auto"/>
            <w:vAlign w:val="center"/>
          </w:tcPr>
          <w:p w14:paraId="5105FF94">
            <w:pPr>
              <w:keepNext w:val="0"/>
              <w:keepLines w:val="0"/>
              <w:pageBreakBefore w:val="0"/>
              <w:widowControl w:val="0"/>
              <w:kinsoku/>
              <w:wordWrap/>
              <w:overflowPunct/>
              <w:topLinePunct w:val="0"/>
              <w:autoSpaceDE/>
              <w:autoSpaceDN/>
              <w:bidi w:val="0"/>
              <w:spacing w:line="360" w:lineRule="exact"/>
              <w:jc w:val="center"/>
              <w:rPr>
                <w:rStyle w:val="15"/>
                <w:rFonts w:hint="eastAsia" w:ascii="宋体" w:hAnsi="宋体" w:eastAsia="宋体" w:cs="宋体"/>
                <w:color w:val="auto"/>
                <w:sz w:val="21"/>
                <w:szCs w:val="21"/>
                <w:highlight w:val="none"/>
                <w:shd w:val="clear" w:color="auto" w:fill="auto"/>
                <w:lang w:eastAsia="zh-CN"/>
              </w:rPr>
            </w:pPr>
            <w:r>
              <w:rPr>
                <w:rStyle w:val="15"/>
                <w:rFonts w:hint="eastAsia" w:ascii="宋体" w:hAnsi="宋体" w:eastAsia="宋体" w:cs="宋体"/>
                <w:color w:val="auto"/>
                <w:sz w:val="21"/>
                <w:szCs w:val="21"/>
                <w:highlight w:val="none"/>
                <w:shd w:val="clear" w:color="auto" w:fill="auto"/>
                <w:lang w:eastAsia="zh-CN"/>
              </w:rPr>
              <w:t>项目负责人</w:t>
            </w:r>
          </w:p>
          <w:p w14:paraId="067F6F08">
            <w:pPr>
              <w:keepNext w:val="0"/>
              <w:keepLines w:val="0"/>
              <w:pageBreakBefore w:val="0"/>
              <w:widowControl w:val="0"/>
              <w:kinsoku/>
              <w:wordWrap/>
              <w:overflowPunct/>
              <w:topLinePunct w:val="0"/>
              <w:autoSpaceDE/>
              <w:autoSpaceDN/>
              <w:bidi w:val="0"/>
              <w:spacing w:line="360" w:lineRule="exact"/>
              <w:jc w:val="center"/>
              <w:rPr>
                <w:rFonts w:hint="eastAsia" w:ascii="宋体" w:hAnsi="宋体" w:eastAsia="宋体" w:cs="宋体"/>
                <w:kern w:val="20"/>
                <w:sz w:val="21"/>
                <w:szCs w:val="21"/>
                <w:highlight w:val="none"/>
              </w:rPr>
            </w:pPr>
            <w:r>
              <w:rPr>
                <w:rStyle w:val="15"/>
                <w:rFonts w:hint="eastAsia" w:ascii="宋体" w:hAnsi="宋体" w:eastAsia="宋体" w:cs="宋体"/>
                <w:color w:val="auto"/>
                <w:sz w:val="21"/>
                <w:szCs w:val="21"/>
                <w:highlight w:val="none"/>
                <w:shd w:val="clear" w:color="auto" w:fill="auto"/>
              </w:rPr>
              <w:t>任职资格与业绩</w:t>
            </w:r>
          </w:p>
        </w:tc>
        <w:tc>
          <w:tcPr>
            <w:tcW w:w="723" w:type="dxa"/>
            <w:shd w:val="clear" w:color="auto" w:fill="auto"/>
            <w:vAlign w:val="center"/>
          </w:tcPr>
          <w:p w14:paraId="2DA69257">
            <w:pPr>
              <w:keepNext w:val="0"/>
              <w:keepLines w:val="0"/>
              <w:pageBreakBefore w:val="0"/>
              <w:widowControl w:val="0"/>
              <w:kinsoku/>
              <w:wordWrap/>
              <w:overflowPunct/>
              <w:topLinePunct w:val="0"/>
              <w:autoSpaceDE/>
              <w:autoSpaceDN/>
              <w:bidi w:val="0"/>
              <w:spacing w:line="360" w:lineRule="exact"/>
              <w:jc w:val="center"/>
              <w:rPr>
                <w:rFonts w:hint="eastAsia" w:ascii="宋体" w:hAnsi="宋体" w:eastAsia="宋体" w:cs="宋体"/>
                <w:kern w:val="20"/>
                <w:sz w:val="21"/>
                <w:szCs w:val="21"/>
                <w:highlight w:val="none"/>
              </w:rPr>
            </w:pPr>
            <w:r>
              <w:rPr>
                <w:rFonts w:hint="eastAsia" w:ascii="宋体" w:hAnsi="宋体" w:eastAsia="宋体" w:cs="宋体"/>
                <w:kern w:val="20"/>
                <w:sz w:val="21"/>
                <w:szCs w:val="21"/>
                <w:highlight w:val="none"/>
                <w:u w:val="single"/>
              </w:rPr>
              <w:t>2</w:t>
            </w:r>
            <w:r>
              <w:rPr>
                <w:rFonts w:hint="eastAsia" w:ascii="宋体" w:hAnsi="宋体" w:eastAsia="宋体" w:cs="宋体"/>
                <w:kern w:val="20"/>
                <w:sz w:val="21"/>
                <w:szCs w:val="21"/>
                <w:highlight w:val="none"/>
                <w:u w:val="single"/>
                <w:lang w:val="en-US" w:eastAsia="zh-CN"/>
              </w:rPr>
              <w:t>0</w:t>
            </w:r>
            <w:r>
              <w:rPr>
                <w:rFonts w:hint="eastAsia" w:ascii="宋体" w:hAnsi="宋体" w:eastAsia="宋体" w:cs="宋体"/>
                <w:kern w:val="20"/>
                <w:sz w:val="21"/>
                <w:szCs w:val="21"/>
                <w:highlight w:val="none"/>
              </w:rPr>
              <w:t>分</w:t>
            </w:r>
          </w:p>
        </w:tc>
        <w:tc>
          <w:tcPr>
            <w:tcW w:w="3822" w:type="dxa"/>
            <w:shd w:val="clear" w:color="auto" w:fill="auto"/>
            <w:vAlign w:val="center"/>
          </w:tcPr>
          <w:p w14:paraId="668A4EB5">
            <w:pPr>
              <w:keepLines w:val="0"/>
              <w:kinsoku/>
              <w:wordWrap/>
              <w:overflowPunct/>
              <w:topLinePunct w:val="0"/>
              <w:autoSpaceDE/>
              <w:autoSpaceDN/>
              <w:bidi w:val="0"/>
              <w:spacing w:line="360" w:lineRule="exact"/>
              <w:ind w:right="113"/>
              <w:rPr>
                <w:rFonts w:hint="eastAsia" w:ascii="宋体" w:hAnsi="宋体" w:eastAsia="宋体" w:cs="宋体"/>
                <w:sz w:val="21"/>
                <w:szCs w:val="21"/>
                <w:highlight w:val="none"/>
              </w:rPr>
            </w:pPr>
            <w:r>
              <w:rPr>
                <w:rFonts w:hint="eastAsia" w:ascii="宋体" w:hAnsi="宋体" w:eastAsia="宋体" w:cs="宋体"/>
                <w:sz w:val="21"/>
                <w:szCs w:val="21"/>
                <w:highlight w:val="none"/>
              </w:rPr>
              <w:t>满足最低资格要求得</w:t>
            </w:r>
            <w:r>
              <w:rPr>
                <w:rFonts w:hint="eastAsia" w:ascii="宋体" w:hAnsi="宋体" w:eastAsia="宋体" w:cs="宋体"/>
                <w:sz w:val="21"/>
                <w:szCs w:val="21"/>
                <w:highlight w:val="none"/>
                <w:lang w:val="en-US" w:eastAsia="zh-CN"/>
              </w:rPr>
              <w:t>12</w:t>
            </w:r>
            <w:r>
              <w:rPr>
                <w:rFonts w:hint="eastAsia" w:ascii="宋体" w:hAnsi="宋体" w:eastAsia="宋体" w:cs="宋体"/>
                <w:sz w:val="21"/>
                <w:szCs w:val="21"/>
                <w:highlight w:val="none"/>
              </w:rPr>
              <w:t>分。</w:t>
            </w:r>
          </w:p>
          <w:p w14:paraId="7B515301">
            <w:pPr>
              <w:keepLines w:val="0"/>
              <w:kinsoku/>
              <w:wordWrap/>
              <w:overflowPunct/>
              <w:topLinePunct w:val="0"/>
              <w:autoSpaceDE/>
              <w:autoSpaceDN/>
              <w:bidi w:val="0"/>
              <w:spacing w:line="360" w:lineRule="exact"/>
              <w:ind w:right="113"/>
              <w:rPr>
                <w:rFonts w:hint="eastAsia" w:ascii="宋体" w:hAnsi="宋体" w:eastAsia="宋体" w:cs="宋体"/>
                <w:sz w:val="21"/>
                <w:szCs w:val="21"/>
                <w:highlight w:val="none"/>
              </w:rPr>
            </w:pPr>
            <w:r>
              <w:rPr>
                <w:rFonts w:hint="eastAsia" w:ascii="宋体" w:hAnsi="宋体" w:eastAsia="宋体" w:cs="宋体"/>
                <w:sz w:val="21"/>
                <w:szCs w:val="21"/>
                <w:highlight w:val="none"/>
              </w:rPr>
              <w:t>在满足最低资格要求基础上，每增加</w:t>
            </w:r>
            <w:r>
              <w:rPr>
                <w:rFonts w:hint="eastAsia" w:ascii="宋体" w:hAnsi="宋体" w:eastAsia="宋体" w:cs="宋体"/>
                <w:sz w:val="21"/>
                <w:szCs w:val="21"/>
                <w:highlight w:val="none"/>
                <w:lang w:val="en-US" w:eastAsia="zh-CN"/>
              </w:rPr>
              <w:t>一</w:t>
            </w:r>
            <w:r>
              <w:rPr>
                <w:rFonts w:hint="eastAsia" w:ascii="宋体" w:hAnsi="宋体" w:eastAsia="宋体" w:cs="宋体"/>
                <w:sz w:val="21"/>
                <w:szCs w:val="21"/>
                <w:highlight w:val="none"/>
              </w:rPr>
              <w:t>项高速公路新建、改扩建或养护工程</w:t>
            </w:r>
            <w:r>
              <w:rPr>
                <w:rFonts w:hint="eastAsia" w:ascii="宋体" w:hAnsi="宋体" w:eastAsia="宋体" w:cs="宋体"/>
                <w:sz w:val="21"/>
                <w:szCs w:val="21"/>
                <w:highlight w:val="none"/>
                <w:lang w:val="en-US" w:eastAsia="zh-CN"/>
              </w:rPr>
              <w:t>设计</w:t>
            </w:r>
            <w:r>
              <w:rPr>
                <w:rFonts w:hint="eastAsia" w:ascii="宋体" w:hAnsi="宋体" w:eastAsia="宋体" w:cs="宋体"/>
                <w:sz w:val="21"/>
                <w:szCs w:val="21"/>
                <w:highlight w:val="none"/>
              </w:rPr>
              <w:t>的项目负责人</w:t>
            </w:r>
            <w:r>
              <w:rPr>
                <w:rFonts w:hint="eastAsia" w:ascii="宋体" w:hAnsi="宋体" w:eastAsia="宋体" w:cs="宋体"/>
                <w:sz w:val="21"/>
                <w:szCs w:val="21"/>
                <w:highlight w:val="none"/>
                <w:lang w:val="en-US" w:eastAsia="zh-CN"/>
              </w:rPr>
              <w:t>业绩</w:t>
            </w:r>
            <w:r>
              <w:rPr>
                <w:rFonts w:hint="eastAsia" w:ascii="宋体" w:hAnsi="宋体" w:eastAsia="宋体" w:cs="宋体"/>
                <w:sz w:val="21"/>
                <w:szCs w:val="21"/>
                <w:highlight w:val="none"/>
              </w:rPr>
              <w:t>加4分，最高加</w:t>
            </w:r>
            <w:r>
              <w:rPr>
                <w:rFonts w:hint="eastAsia" w:ascii="宋体" w:hAnsi="宋体" w:eastAsia="宋体" w:cs="宋体"/>
                <w:sz w:val="21"/>
                <w:szCs w:val="21"/>
                <w:highlight w:val="none"/>
                <w:lang w:val="en-US" w:eastAsia="zh-CN"/>
              </w:rPr>
              <w:t>8</w:t>
            </w:r>
            <w:r>
              <w:rPr>
                <w:rFonts w:hint="eastAsia" w:ascii="宋体" w:hAnsi="宋体" w:eastAsia="宋体" w:cs="宋体"/>
                <w:sz w:val="21"/>
                <w:szCs w:val="21"/>
                <w:highlight w:val="none"/>
              </w:rPr>
              <w:t>分。</w:t>
            </w:r>
          </w:p>
        </w:tc>
      </w:tr>
      <w:tr w14:paraId="33C3DA9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525" w:hRule="atLeast"/>
          <w:jc w:val="center"/>
        </w:trPr>
        <w:tc>
          <w:tcPr>
            <w:tcW w:w="877" w:type="dxa"/>
            <w:shd w:val="clear" w:color="auto" w:fill="auto"/>
            <w:vAlign w:val="center"/>
          </w:tcPr>
          <w:p w14:paraId="504BA503">
            <w:pPr>
              <w:keepNext w:val="0"/>
              <w:keepLines w:val="0"/>
              <w:pageBreakBefore w:val="0"/>
              <w:widowControl w:val="0"/>
              <w:kinsoku/>
              <w:wordWrap/>
              <w:overflowPunct/>
              <w:topLinePunct w:val="0"/>
              <w:autoSpaceDE/>
              <w:autoSpaceDN/>
              <w:bidi w:val="0"/>
              <w:spacing w:line="360" w:lineRule="exact"/>
              <w:jc w:val="center"/>
              <w:rPr>
                <w:rFonts w:hint="eastAsia" w:ascii="宋体" w:hAnsi="宋体" w:eastAsia="宋体" w:cs="宋体"/>
                <w:kern w:val="20"/>
                <w:sz w:val="21"/>
                <w:szCs w:val="21"/>
                <w:highlight w:val="none"/>
                <w:lang w:eastAsia="zh-CN"/>
              </w:rPr>
            </w:pPr>
            <w:r>
              <w:rPr>
                <w:rStyle w:val="15"/>
                <w:rFonts w:hint="eastAsia" w:ascii="宋体" w:hAnsi="宋体" w:eastAsia="宋体" w:cs="宋体"/>
                <w:color w:val="auto"/>
                <w:sz w:val="21"/>
                <w:szCs w:val="21"/>
                <w:highlight w:val="none"/>
                <w:shd w:val="clear" w:color="auto" w:fill="auto"/>
              </w:rPr>
              <w:t>2.2.4</w:t>
            </w:r>
            <w:r>
              <w:rPr>
                <w:rStyle w:val="15"/>
                <w:rFonts w:hint="eastAsia" w:ascii="宋体" w:hAnsi="宋体" w:eastAsia="宋体" w:cs="宋体"/>
                <w:color w:val="auto"/>
                <w:sz w:val="21"/>
                <w:szCs w:val="21"/>
                <w:highlight w:val="none"/>
                <w:shd w:val="clear" w:color="auto" w:fill="auto"/>
              </w:rPr>
              <w:br w:type="textWrapping"/>
            </w:r>
            <w:r>
              <w:rPr>
                <w:rStyle w:val="15"/>
                <w:rFonts w:hint="eastAsia" w:ascii="宋体" w:hAnsi="宋体" w:eastAsia="宋体" w:cs="宋体"/>
                <w:color w:val="auto"/>
                <w:sz w:val="21"/>
                <w:szCs w:val="21"/>
                <w:highlight w:val="none"/>
                <w:shd w:val="clear" w:color="auto" w:fill="auto"/>
                <w:lang w:eastAsia="zh-CN"/>
              </w:rPr>
              <w:t>（</w:t>
            </w:r>
            <w:r>
              <w:rPr>
                <w:rStyle w:val="15"/>
                <w:rFonts w:hint="eastAsia" w:ascii="宋体" w:hAnsi="宋体" w:eastAsia="宋体" w:cs="宋体"/>
                <w:color w:val="auto"/>
                <w:sz w:val="21"/>
                <w:szCs w:val="21"/>
                <w:highlight w:val="none"/>
                <w:shd w:val="clear" w:color="auto" w:fill="auto"/>
              </w:rPr>
              <w:t>3</w:t>
            </w:r>
            <w:r>
              <w:rPr>
                <w:rStyle w:val="15"/>
                <w:rFonts w:hint="eastAsia" w:ascii="宋体" w:hAnsi="宋体" w:eastAsia="宋体" w:cs="宋体"/>
                <w:color w:val="auto"/>
                <w:sz w:val="21"/>
                <w:szCs w:val="21"/>
                <w:highlight w:val="none"/>
                <w:shd w:val="clear" w:color="auto" w:fill="auto"/>
                <w:lang w:eastAsia="zh-CN"/>
              </w:rPr>
              <w:t>）</w:t>
            </w:r>
          </w:p>
        </w:tc>
        <w:tc>
          <w:tcPr>
            <w:tcW w:w="1159" w:type="dxa"/>
            <w:gridSpan w:val="2"/>
            <w:shd w:val="clear" w:color="auto" w:fill="auto"/>
            <w:vAlign w:val="center"/>
          </w:tcPr>
          <w:p w14:paraId="786362C3">
            <w:pPr>
              <w:keepNext w:val="0"/>
              <w:keepLines w:val="0"/>
              <w:pageBreakBefore w:val="0"/>
              <w:widowControl w:val="0"/>
              <w:kinsoku/>
              <w:wordWrap/>
              <w:overflowPunct/>
              <w:topLinePunct w:val="0"/>
              <w:autoSpaceDE/>
              <w:autoSpaceDN/>
              <w:bidi w:val="0"/>
              <w:spacing w:line="360" w:lineRule="exact"/>
              <w:jc w:val="center"/>
              <w:rPr>
                <w:rFonts w:hint="eastAsia" w:ascii="宋体" w:hAnsi="宋体" w:eastAsia="宋体" w:cs="宋体"/>
                <w:kern w:val="20"/>
                <w:sz w:val="21"/>
                <w:szCs w:val="21"/>
                <w:highlight w:val="none"/>
              </w:rPr>
            </w:pPr>
            <w:r>
              <w:rPr>
                <w:rStyle w:val="15"/>
                <w:rFonts w:hint="eastAsia" w:ascii="宋体" w:hAnsi="宋体" w:eastAsia="宋体" w:cs="宋体"/>
                <w:color w:val="auto"/>
                <w:sz w:val="21"/>
                <w:szCs w:val="21"/>
                <w:highlight w:val="none"/>
                <w:shd w:val="clear" w:color="auto" w:fill="auto"/>
              </w:rPr>
              <w:t>评标价</w:t>
            </w:r>
          </w:p>
        </w:tc>
        <w:tc>
          <w:tcPr>
            <w:tcW w:w="1091" w:type="dxa"/>
            <w:shd w:val="clear" w:color="auto" w:fill="auto"/>
            <w:vAlign w:val="center"/>
          </w:tcPr>
          <w:p w14:paraId="3A369D07">
            <w:pPr>
              <w:keepNext w:val="0"/>
              <w:keepLines w:val="0"/>
              <w:pageBreakBefore w:val="0"/>
              <w:widowControl w:val="0"/>
              <w:kinsoku/>
              <w:wordWrap/>
              <w:overflowPunct/>
              <w:topLinePunct w:val="0"/>
              <w:autoSpaceDE/>
              <w:autoSpaceDN/>
              <w:bidi w:val="0"/>
              <w:spacing w:line="360" w:lineRule="exact"/>
              <w:jc w:val="center"/>
              <w:rPr>
                <w:rFonts w:hint="eastAsia" w:ascii="宋体" w:hAnsi="宋体" w:eastAsia="宋体" w:cs="宋体"/>
                <w:kern w:val="20"/>
                <w:sz w:val="21"/>
                <w:szCs w:val="21"/>
                <w:highlight w:val="none"/>
              </w:rPr>
            </w:pPr>
            <w:r>
              <w:rPr>
                <w:rFonts w:hint="eastAsia" w:ascii="宋体" w:hAnsi="宋体" w:eastAsia="宋体" w:cs="宋体"/>
                <w:kern w:val="20"/>
                <w:sz w:val="21"/>
                <w:szCs w:val="21"/>
                <w:highlight w:val="none"/>
                <w:u w:val="single"/>
              </w:rPr>
              <w:t>10</w:t>
            </w:r>
            <w:r>
              <w:rPr>
                <w:rFonts w:hint="eastAsia" w:ascii="宋体" w:hAnsi="宋体" w:eastAsia="宋体" w:cs="宋体"/>
                <w:kern w:val="20"/>
                <w:sz w:val="21"/>
                <w:szCs w:val="21"/>
                <w:highlight w:val="none"/>
              </w:rPr>
              <w:t>分</w:t>
            </w:r>
          </w:p>
        </w:tc>
        <w:tc>
          <w:tcPr>
            <w:tcW w:w="6454" w:type="dxa"/>
            <w:gridSpan w:val="3"/>
            <w:shd w:val="clear" w:color="auto" w:fill="auto"/>
            <w:vAlign w:val="center"/>
          </w:tcPr>
          <w:p w14:paraId="45B2E28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评标价得分计算公式示例：</w:t>
            </w:r>
          </w:p>
          <w:p w14:paraId="1BAF986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right="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（1）如果投标人的评标价＞评标基准价，则评标价得分=</w:t>
            </w:r>
            <w:r>
              <w:rPr>
                <w:rFonts w:hint="eastAsia" w:ascii="宋体" w:hAnsi="宋体" w:eastAsia="宋体" w:cs="宋体"/>
                <w:color w:val="auto"/>
                <w:sz w:val="21"/>
                <w:szCs w:val="21"/>
                <w:highlight w:val="none"/>
                <w:lang w:val="en-US" w:eastAsia="zh-CN"/>
              </w:rPr>
              <w:t>10</w:t>
            </w:r>
            <w:r>
              <w:rPr>
                <w:rFonts w:hint="eastAsia" w:ascii="宋体" w:hAnsi="宋体" w:eastAsia="宋体" w:cs="宋体"/>
                <w:color w:val="auto"/>
                <w:sz w:val="21"/>
                <w:szCs w:val="21"/>
                <w:highlight w:val="none"/>
              </w:rPr>
              <w:t>-偏差率×100×</w:t>
            </w:r>
            <w:r>
              <w:rPr>
                <w:rFonts w:hint="eastAsia" w:ascii="宋体" w:hAnsi="宋体" w:eastAsia="宋体" w:cs="宋体"/>
                <w:color w:val="auto"/>
                <w:sz w:val="21"/>
                <w:szCs w:val="21"/>
                <w:highlight w:val="none"/>
                <w:lang w:val="en-US" w:eastAsia="zh-CN"/>
              </w:rPr>
              <w:t>0.2</w:t>
            </w:r>
            <w:r>
              <w:rPr>
                <w:rFonts w:hint="eastAsia" w:ascii="宋体" w:hAnsi="宋体" w:eastAsia="宋体" w:cs="宋体"/>
                <w:color w:val="auto"/>
                <w:sz w:val="21"/>
                <w:szCs w:val="21"/>
                <w:highlight w:val="none"/>
              </w:rPr>
              <w:t>；</w:t>
            </w:r>
          </w:p>
          <w:p w14:paraId="5885E9B0">
            <w:pPr>
              <w:keepNext w:val="0"/>
              <w:keepLines w:val="0"/>
              <w:pageBreakBefore w:val="0"/>
              <w:widowControl w:val="0"/>
              <w:kinsoku/>
              <w:wordWrap/>
              <w:overflowPunct/>
              <w:topLinePunct w:val="0"/>
              <w:autoSpaceDE/>
              <w:autoSpaceDN/>
              <w:bidi w:val="0"/>
              <w:spacing w:line="360" w:lineRule="exact"/>
              <w:rPr>
                <w:rFonts w:hint="eastAsia" w:ascii="宋体" w:hAnsi="宋体" w:eastAsia="宋体" w:cs="宋体"/>
                <w:kern w:val="20"/>
                <w:sz w:val="21"/>
                <w:szCs w:val="21"/>
                <w:highlight w:val="none"/>
              </w:rPr>
            </w:pPr>
            <w:r>
              <w:rPr>
                <w:rFonts w:hint="eastAsia" w:ascii="宋体" w:hAnsi="宋体" w:eastAsia="宋体" w:cs="宋体"/>
                <w:color w:val="auto"/>
                <w:sz w:val="21"/>
                <w:szCs w:val="21"/>
                <w:highlight w:val="none"/>
              </w:rPr>
              <w:t>（2）如果投标人的评标价≤评标基准价，则评标价得分=</w:t>
            </w:r>
            <w:r>
              <w:rPr>
                <w:rFonts w:hint="eastAsia" w:ascii="宋体" w:hAnsi="宋体" w:eastAsia="宋体" w:cs="宋体"/>
                <w:color w:val="auto"/>
                <w:sz w:val="21"/>
                <w:szCs w:val="21"/>
                <w:highlight w:val="none"/>
                <w:lang w:val="en-US" w:eastAsia="zh-CN"/>
              </w:rPr>
              <w:t>10</w:t>
            </w:r>
            <w:r>
              <w:rPr>
                <w:rFonts w:hint="eastAsia" w:ascii="宋体" w:hAnsi="宋体" w:eastAsia="宋体" w:cs="宋体"/>
                <w:color w:val="auto"/>
                <w:sz w:val="21"/>
                <w:szCs w:val="21"/>
                <w:highlight w:val="none"/>
              </w:rPr>
              <w:t>+偏差率×100×</w:t>
            </w:r>
            <w:r>
              <w:rPr>
                <w:rFonts w:hint="eastAsia" w:ascii="宋体" w:hAnsi="宋体" w:eastAsia="宋体" w:cs="宋体"/>
                <w:color w:val="auto"/>
                <w:sz w:val="21"/>
                <w:szCs w:val="21"/>
                <w:highlight w:val="none"/>
                <w:lang w:val="en-US" w:eastAsia="zh-CN"/>
              </w:rPr>
              <w:t>0.1。</w:t>
            </w:r>
          </w:p>
        </w:tc>
      </w:tr>
      <w:tr w14:paraId="110177B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877" w:type="dxa"/>
            <w:vMerge w:val="restart"/>
            <w:shd w:val="clear" w:color="auto" w:fill="auto"/>
            <w:vAlign w:val="center"/>
          </w:tcPr>
          <w:p w14:paraId="10E20724">
            <w:pPr>
              <w:keepNext w:val="0"/>
              <w:keepLines w:val="0"/>
              <w:pageBreakBefore w:val="0"/>
              <w:widowControl w:val="0"/>
              <w:kinsoku/>
              <w:wordWrap/>
              <w:overflowPunct/>
              <w:topLinePunct w:val="0"/>
              <w:autoSpaceDE/>
              <w:autoSpaceDN/>
              <w:bidi w:val="0"/>
              <w:spacing w:line="360" w:lineRule="exact"/>
              <w:jc w:val="center"/>
              <w:rPr>
                <w:rStyle w:val="15"/>
                <w:rFonts w:hint="eastAsia" w:ascii="宋体" w:hAnsi="宋体" w:eastAsia="宋体" w:cs="宋体"/>
                <w:color w:val="auto"/>
                <w:sz w:val="21"/>
                <w:szCs w:val="21"/>
                <w:highlight w:val="none"/>
                <w:shd w:val="clear" w:color="auto" w:fill="auto"/>
              </w:rPr>
            </w:pPr>
            <w:r>
              <w:rPr>
                <w:rFonts w:hint="eastAsia" w:ascii="宋体" w:hAnsi="宋体" w:eastAsia="宋体" w:cs="宋体"/>
                <w:kern w:val="20"/>
                <w:sz w:val="21"/>
                <w:szCs w:val="21"/>
                <w:highlight w:val="none"/>
              </w:rPr>
              <w:t>2.2.4（4）</w:t>
            </w:r>
          </w:p>
        </w:tc>
        <w:tc>
          <w:tcPr>
            <w:tcW w:w="573" w:type="dxa"/>
            <w:vMerge w:val="restart"/>
            <w:shd w:val="clear" w:color="auto" w:fill="auto"/>
            <w:vAlign w:val="center"/>
          </w:tcPr>
          <w:p w14:paraId="1478F61D">
            <w:pPr>
              <w:keepNext w:val="0"/>
              <w:keepLines w:val="0"/>
              <w:pageBreakBefore w:val="0"/>
              <w:widowControl w:val="0"/>
              <w:kinsoku/>
              <w:wordWrap/>
              <w:overflowPunct/>
              <w:topLinePunct w:val="0"/>
              <w:autoSpaceDE/>
              <w:autoSpaceDN/>
              <w:bidi w:val="0"/>
              <w:spacing w:line="360" w:lineRule="exact"/>
              <w:jc w:val="center"/>
              <w:rPr>
                <w:rStyle w:val="15"/>
                <w:rFonts w:hint="eastAsia" w:ascii="宋体" w:hAnsi="宋体" w:eastAsia="宋体" w:cs="宋体"/>
                <w:color w:val="auto"/>
                <w:sz w:val="21"/>
                <w:szCs w:val="21"/>
                <w:highlight w:val="none"/>
                <w:shd w:val="clear" w:color="auto" w:fill="auto"/>
              </w:rPr>
            </w:pPr>
            <w:r>
              <w:rPr>
                <w:rStyle w:val="15"/>
                <w:rFonts w:hint="eastAsia" w:ascii="宋体" w:hAnsi="宋体" w:eastAsia="宋体" w:cs="宋体"/>
                <w:color w:val="auto"/>
                <w:sz w:val="21"/>
                <w:szCs w:val="21"/>
                <w:highlight w:val="none"/>
                <w:shd w:val="clear" w:color="auto" w:fill="auto"/>
              </w:rPr>
              <w:t>其他因素</w:t>
            </w:r>
          </w:p>
        </w:tc>
        <w:tc>
          <w:tcPr>
            <w:tcW w:w="586" w:type="dxa"/>
            <w:shd w:val="clear" w:color="auto" w:fill="auto"/>
            <w:vAlign w:val="center"/>
          </w:tcPr>
          <w:p w14:paraId="7549C210">
            <w:pPr>
              <w:keepNext w:val="0"/>
              <w:keepLines w:val="0"/>
              <w:pageBreakBefore w:val="0"/>
              <w:widowControl w:val="0"/>
              <w:kinsoku/>
              <w:wordWrap/>
              <w:overflowPunct/>
              <w:topLinePunct w:val="0"/>
              <w:autoSpaceDE/>
              <w:autoSpaceDN/>
              <w:bidi w:val="0"/>
              <w:adjustRightInd w:val="0"/>
              <w:snapToGrid w:val="0"/>
              <w:spacing w:line="360" w:lineRule="exact"/>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业绩</w:t>
            </w:r>
          </w:p>
        </w:tc>
        <w:tc>
          <w:tcPr>
            <w:tcW w:w="1091" w:type="dxa"/>
            <w:shd w:val="clear" w:color="auto" w:fill="auto"/>
            <w:vAlign w:val="center"/>
          </w:tcPr>
          <w:p w14:paraId="3F7C79B2">
            <w:pPr>
              <w:keepNext w:val="0"/>
              <w:keepLines w:val="0"/>
              <w:pageBreakBefore w:val="0"/>
              <w:widowControl w:val="0"/>
              <w:kinsoku/>
              <w:wordWrap/>
              <w:overflowPunct/>
              <w:topLinePunct w:val="0"/>
              <w:autoSpaceDE/>
              <w:autoSpaceDN/>
              <w:bidi w:val="0"/>
              <w:adjustRightInd w:val="0"/>
              <w:snapToGrid w:val="0"/>
              <w:spacing w:line="360" w:lineRule="exact"/>
              <w:jc w:val="center"/>
              <w:rPr>
                <w:rFonts w:hint="eastAsia" w:ascii="宋体" w:hAnsi="宋体" w:eastAsia="宋体" w:cs="宋体"/>
                <w:sz w:val="21"/>
                <w:szCs w:val="21"/>
                <w:highlight w:val="none"/>
              </w:rPr>
            </w:pPr>
            <w:r>
              <w:rPr>
                <w:rFonts w:hint="eastAsia" w:ascii="宋体" w:hAnsi="宋体" w:eastAsia="宋体" w:cs="宋体"/>
                <w:kern w:val="20"/>
                <w:sz w:val="21"/>
                <w:szCs w:val="21"/>
                <w:highlight w:val="none"/>
                <w:u w:val="single"/>
              </w:rPr>
              <w:t>2</w:t>
            </w:r>
            <w:r>
              <w:rPr>
                <w:rFonts w:hint="eastAsia" w:ascii="宋体" w:hAnsi="宋体" w:eastAsia="宋体" w:cs="宋体"/>
                <w:kern w:val="20"/>
                <w:sz w:val="21"/>
                <w:szCs w:val="21"/>
                <w:highlight w:val="none"/>
                <w:u w:val="single"/>
                <w:lang w:val="en-US" w:eastAsia="zh-CN"/>
              </w:rPr>
              <w:t>0</w:t>
            </w:r>
            <w:r>
              <w:rPr>
                <w:rFonts w:hint="eastAsia" w:ascii="宋体" w:hAnsi="宋体" w:eastAsia="宋体" w:cs="宋体"/>
                <w:kern w:val="20"/>
                <w:sz w:val="21"/>
                <w:szCs w:val="21"/>
                <w:highlight w:val="none"/>
              </w:rPr>
              <w:t>分</w:t>
            </w:r>
          </w:p>
        </w:tc>
        <w:tc>
          <w:tcPr>
            <w:tcW w:w="1909" w:type="dxa"/>
            <w:shd w:val="clear" w:color="auto" w:fill="auto"/>
            <w:vAlign w:val="center"/>
          </w:tcPr>
          <w:p w14:paraId="7233CDFE">
            <w:pPr>
              <w:keepNext w:val="0"/>
              <w:keepLines w:val="0"/>
              <w:pageBreakBefore w:val="0"/>
              <w:widowControl w:val="0"/>
              <w:kinsoku/>
              <w:wordWrap/>
              <w:overflowPunct/>
              <w:topLinePunct w:val="0"/>
              <w:autoSpaceDE/>
              <w:autoSpaceDN/>
              <w:bidi w:val="0"/>
              <w:adjustRightInd w:val="0"/>
              <w:snapToGrid w:val="0"/>
              <w:spacing w:line="360" w:lineRule="exact"/>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设计业绩</w:t>
            </w:r>
          </w:p>
        </w:tc>
        <w:tc>
          <w:tcPr>
            <w:tcW w:w="723" w:type="dxa"/>
            <w:shd w:val="clear" w:color="auto" w:fill="auto"/>
            <w:vAlign w:val="center"/>
          </w:tcPr>
          <w:p w14:paraId="0E0AEA10">
            <w:pPr>
              <w:keepNext w:val="0"/>
              <w:keepLines w:val="0"/>
              <w:pageBreakBefore w:val="0"/>
              <w:widowControl w:val="0"/>
              <w:kinsoku/>
              <w:wordWrap/>
              <w:overflowPunct/>
              <w:topLinePunct w:val="0"/>
              <w:autoSpaceDE/>
              <w:autoSpaceDN/>
              <w:bidi w:val="0"/>
              <w:adjustRightInd w:val="0"/>
              <w:snapToGrid w:val="0"/>
              <w:spacing w:line="360" w:lineRule="exact"/>
              <w:jc w:val="center"/>
              <w:rPr>
                <w:rFonts w:hint="eastAsia" w:ascii="宋体" w:hAnsi="宋体" w:eastAsia="宋体" w:cs="宋体"/>
                <w:sz w:val="21"/>
                <w:szCs w:val="21"/>
                <w:highlight w:val="none"/>
              </w:rPr>
            </w:pPr>
            <w:r>
              <w:rPr>
                <w:rFonts w:hint="eastAsia" w:ascii="宋体" w:hAnsi="宋体" w:eastAsia="宋体" w:cs="宋体"/>
                <w:sz w:val="21"/>
                <w:szCs w:val="21"/>
                <w:highlight w:val="none"/>
                <w:u w:val="single"/>
              </w:rPr>
              <w:t>2</w:t>
            </w:r>
            <w:r>
              <w:rPr>
                <w:rFonts w:hint="eastAsia" w:ascii="宋体" w:hAnsi="宋体" w:eastAsia="宋体" w:cs="宋体"/>
                <w:sz w:val="21"/>
                <w:szCs w:val="21"/>
                <w:highlight w:val="none"/>
                <w:u w:val="single"/>
                <w:lang w:val="en-US" w:eastAsia="zh-CN"/>
              </w:rPr>
              <w:t>0</w:t>
            </w:r>
            <w:r>
              <w:rPr>
                <w:rFonts w:hint="eastAsia" w:ascii="宋体" w:hAnsi="宋体" w:eastAsia="宋体" w:cs="宋体"/>
                <w:sz w:val="21"/>
                <w:szCs w:val="21"/>
                <w:highlight w:val="none"/>
              </w:rPr>
              <w:t>分</w:t>
            </w:r>
          </w:p>
        </w:tc>
        <w:tc>
          <w:tcPr>
            <w:tcW w:w="3822" w:type="dxa"/>
            <w:shd w:val="clear" w:color="auto" w:fill="auto"/>
            <w:vAlign w:val="center"/>
          </w:tcPr>
          <w:p w14:paraId="3D82BA5B">
            <w:pPr>
              <w:keepLines w:val="0"/>
              <w:kinsoku/>
              <w:wordWrap/>
              <w:overflowPunct/>
              <w:topLinePunct w:val="0"/>
              <w:autoSpaceDE/>
              <w:autoSpaceDN/>
              <w:bidi w:val="0"/>
              <w:adjustRightInd w:val="0"/>
              <w:snapToGrid w:val="0"/>
              <w:spacing w:line="360" w:lineRule="exact"/>
              <w:rPr>
                <w:rFonts w:hint="eastAsia" w:ascii="宋体" w:hAnsi="宋体" w:eastAsia="宋体" w:cs="宋体"/>
                <w:sz w:val="21"/>
                <w:szCs w:val="21"/>
                <w:highlight w:val="none"/>
              </w:rPr>
            </w:pPr>
            <w:r>
              <w:rPr>
                <w:rFonts w:hint="eastAsia" w:ascii="宋体" w:hAnsi="宋体" w:eastAsia="宋体" w:cs="宋体"/>
                <w:sz w:val="21"/>
                <w:szCs w:val="21"/>
                <w:highlight w:val="none"/>
              </w:rPr>
              <w:t>满足最低资格条件得12分。</w:t>
            </w:r>
          </w:p>
          <w:p w14:paraId="5B33FC50">
            <w:pPr>
              <w:keepLines w:val="0"/>
              <w:kinsoku/>
              <w:wordWrap/>
              <w:overflowPunct/>
              <w:topLinePunct w:val="0"/>
              <w:autoSpaceDE/>
              <w:autoSpaceDN/>
              <w:bidi w:val="0"/>
              <w:adjustRightInd w:val="0"/>
              <w:snapToGrid w:val="0"/>
              <w:spacing w:line="360" w:lineRule="exact"/>
              <w:rPr>
                <w:rFonts w:hint="eastAsia" w:ascii="宋体" w:hAnsi="宋体" w:eastAsia="宋体" w:cs="宋体"/>
                <w:sz w:val="21"/>
                <w:szCs w:val="21"/>
                <w:highlight w:val="none"/>
              </w:rPr>
            </w:pPr>
            <w:r>
              <w:rPr>
                <w:rFonts w:hint="eastAsia" w:ascii="宋体" w:hAnsi="宋体" w:eastAsia="宋体" w:cs="宋体"/>
                <w:sz w:val="21"/>
                <w:szCs w:val="21"/>
                <w:highlight w:val="none"/>
              </w:rPr>
              <w:t>在满足最低资格条件基础上，每增加一项最低资格条件要求的业绩加4分，最多加8分。</w:t>
            </w:r>
          </w:p>
          <w:p w14:paraId="0BD1DEDD">
            <w:pPr>
              <w:keepNext w:val="0"/>
              <w:keepLines w:val="0"/>
              <w:pageBreakBefore w:val="0"/>
              <w:widowControl w:val="0"/>
              <w:kinsoku/>
              <w:wordWrap/>
              <w:overflowPunct/>
              <w:topLinePunct w:val="0"/>
              <w:autoSpaceDE/>
              <w:autoSpaceDN/>
              <w:bidi w:val="0"/>
              <w:adjustRightInd w:val="0"/>
              <w:snapToGrid w:val="0"/>
              <w:spacing w:line="360" w:lineRule="exact"/>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rPr>
              <w:t>注：①以联合体形式投标的，只计算联合体牵头人业绩</w:t>
            </w:r>
            <w:r>
              <w:rPr>
                <w:rFonts w:hint="eastAsia" w:ascii="宋体" w:hAnsi="宋体" w:eastAsia="宋体" w:cs="宋体"/>
                <w:sz w:val="21"/>
                <w:szCs w:val="21"/>
                <w:highlight w:val="none"/>
                <w:lang w:eastAsia="zh-CN"/>
              </w:rPr>
              <w:t>。</w:t>
            </w:r>
          </w:p>
          <w:p w14:paraId="469ACEAC">
            <w:pPr>
              <w:keepNext w:val="0"/>
              <w:keepLines w:val="0"/>
              <w:pageBreakBefore w:val="0"/>
              <w:widowControl w:val="0"/>
              <w:kinsoku/>
              <w:wordWrap/>
              <w:overflowPunct/>
              <w:topLinePunct w:val="0"/>
              <w:autoSpaceDE/>
              <w:autoSpaceDN/>
              <w:bidi w:val="0"/>
              <w:adjustRightInd w:val="0"/>
              <w:snapToGrid w:val="0"/>
              <w:spacing w:line="360" w:lineRule="exact"/>
              <w:rPr>
                <w:rFonts w:hint="eastAsia" w:ascii="宋体" w:hAnsi="宋体" w:eastAsia="宋体" w:cs="宋体"/>
                <w:sz w:val="21"/>
                <w:szCs w:val="21"/>
                <w:highlight w:val="none"/>
              </w:rPr>
            </w:pPr>
            <w:r>
              <w:rPr>
                <w:rFonts w:hint="eastAsia" w:ascii="宋体" w:hAnsi="宋体" w:eastAsia="宋体" w:cs="宋体"/>
                <w:sz w:val="21"/>
                <w:szCs w:val="21"/>
                <w:highlight w:val="none"/>
              </w:rPr>
              <w:t>②设计业绩应</w:t>
            </w:r>
            <w:r>
              <w:rPr>
                <w:rFonts w:hint="eastAsia" w:ascii="宋体" w:hAnsi="宋体" w:eastAsia="宋体" w:cs="宋体"/>
                <w:sz w:val="21"/>
                <w:szCs w:val="21"/>
                <w:highlight w:val="none"/>
                <w:lang w:val="en-US" w:eastAsia="zh-CN"/>
              </w:rPr>
              <w:t>为</w:t>
            </w:r>
            <w:r>
              <w:rPr>
                <w:rFonts w:hint="eastAsia" w:ascii="宋体" w:hAnsi="宋体" w:eastAsia="宋体" w:cs="宋体"/>
                <w:sz w:val="21"/>
                <w:szCs w:val="21"/>
                <w:highlight w:val="none"/>
              </w:rPr>
              <w:t>交通运输部“全国公路建设市场监督管理系统”或省级交通运输主管部门“公路建设市场信用信息管理系统”已载明业绩。</w:t>
            </w:r>
          </w:p>
        </w:tc>
      </w:tr>
      <w:tr w14:paraId="7AF8BB5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877" w:type="dxa"/>
            <w:vMerge w:val="continue"/>
            <w:shd w:val="clear" w:color="auto" w:fill="auto"/>
            <w:vAlign w:val="center"/>
          </w:tcPr>
          <w:p w14:paraId="26657EDA">
            <w:pPr>
              <w:keepNext w:val="0"/>
              <w:keepLines w:val="0"/>
              <w:pageBreakBefore w:val="0"/>
              <w:widowControl w:val="0"/>
              <w:kinsoku/>
              <w:wordWrap/>
              <w:overflowPunct/>
              <w:topLinePunct w:val="0"/>
              <w:autoSpaceDE/>
              <w:autoSpaceDN/>
              <w:bidi w:val="0"/>
              <w:spacing w:line="360" w:lineRule="exact"/>
              <w:jc w:val="center"/>
              <w:rPr>
                <w:rFonts w:hint="eastAsia" w:ascii="宋体" w:hAnsi="宋体" w:eastAsia="宋体" w:cs="宋体"/>
                <w:kern w:val="20"/>
                <w:sz w:val="21"/>
                <w:szCs w:val="21"/>
                <w:highlight w:val="none"/>
              </w:rPr>
            </w:pPr>
          </w:p>
        </w:tc>
        <w:tc>
          <w:tcPr>
            <w:tcW w:w="573" w:type="dxa"/>
            <w:vMerge w:val="continue"/>
            <w:shd w:val="clear" w:color="auto" w:fill="auto"/>
            <w:vAlign w:val="center"/>
          </w:tcPr>
          <w:p w14:paraId="157DD247">
            <w:pPr>
              <w:keepNext w:val="0"/>
              <w:keepLines w:val="0"/>
              <w:pageBreakBefore w:val="0"/>
              <w:widowControl w:val="0"/>
              <w:kinsoku/>
              <w:wordWrap/>
              <w:overflowPunct/>
              <w:topLinePunct w:val="0"/>
              <w:autoSpaceDE/>
              <w:autoSpaceDN/>
              <w:bidi w:val="0"/>
              <w:spacing w:line="360" w:lineRule="exact"/>
              <w:jc w:val="center"/>
              <w:rPr>
                <w:rStyle w:val="15"/>
                <w:rFonts w:hint="eastAsia" w:ascii="宋体" w:hAnsi="宋体" w:eastAsia="宋体" w:cs="宋体"/>
                <w:color w:val="auto"/>
                <w:sz w:val="21"/>
                <w:szCs w:val="21"/>
                <w:highlight w:val="none"/>
                <w:shd w:val="clear" w:color="auto" w:fill="auto"/>
              </w:rPr>
            </w:pPr>
          </w:p>
        </w:tc>
        <w:tc>
          <w:tcPr>
            <w:tcW w:w="586" w:type="dxa"/>
            <w:vMerge w:val="restart"/>
            <w:shd w:val="clear" w:color="auto" w:fill="auto"/>
            <w:vAlign w:val="center"/>
          </w:tcPr>
          <w:p w14:paraId="56537FBA">
            <w:pPr>
              <w:keepNext w:val="0"/>
              <w:keepLines w:val="0"/>
              <w:pageBreakBefore w:val="0"/>
              <w:widowControl w:val="0"/>
              <w:kinsoku/>
              <w:wordWrap/>
              <w:overflowPunct/>
              <w:topLinePunct w:val="0"/>
              <w:autoSpaceDE/>
              <w:autoSpaceDN/>
              <w:bidi w:val="0"/>
              <w:spacing w:line="360" w:lineRule="exact"/>
              <w:jc w:val="center"/>
              <w:rPr>
                <w:rFonts w:hint="eastAsia" w:ascii="宋体" w:hAnsi="宋体" w:eastAsia="宋体" w:cs="宋体"/>
                <w:kern w:val="20"/>
                <w:sz w:val="21"/>
                <w:szCs w:val="21"/>
                <w:highlight w:val="none"/>
              </w:rPr>
            </w:pPr>
            <w:r>
              <w:rPr>
                <w:rFonts w:hint="eastAsia" w:ascii="宋体" w:hAnsi="宋体" w:eastAsia="宋体" w:cs="宋体"/>
                <w:kern w:val="20"/>
                <w:sz w:val="21"/>
                <w:szCs w:val="21"/>
                <w:highlight w:val="none"/>
              </w:rPr>
              <w:t>履约</w:t>
            </w:r>
          </w:p>
          <w:p w14:paraId="5D55C7A5">
            <w:pPr>
              <w:keepNext w:val="0"/>
              <w:keepLines w:val="0"/>
              <w:pageBreakBefore w:val="0"/>
              <w:widowControl w:val="0"/>
              <w:kinsoku/>
              <w:wordWrap/>
              <w:overflowPunct/>
              <w:topLinePunct w:val="0"/>
              <w:autoSpaceDE/>
              <w:autoSpaceDN/>
              <w:bidi w:val="0"/>
              <w:spacing w:line="360" w:lineRule="exact"/>
              <w:jc w:val="center"/>
              <w:rPr>
                <w:rFonts w:hint="eastAsia" w:ascii="宋体" w:hAnsi="宋体" w:eastAsia="宋体" w:cs="宋体"/>
                <w:kern w:val="20"/>
                <w:sz w:val="21"/>
                <w:szCs w:val="21"/>
                <w:highlight w:val="none"/>
              </w:rPr>
            </w:pPr>
            <w:r>
              <w:rPr>
                <w:rFonts w:hint="eastAsia" w:ascii="宋体" w:hAnsi="宋体" w:eastAsia="宋体" w:cs="宋体"/>
                <w:kern w:val="20"/>
                <w:sz w:val="21"/>
                <w:szCs w:val="21"/>
                <w:highlight w:val="none"/>
              </w:rPr>
              <w:t>信誉</w:t>
            </w:r>
          </w:p>
        </w:tc>
        <w:tc>
          <w:tcPr>
            <w:tcW w:w="1091" w:type="dxa"/>
            <w:vMerge w:val="restart"/>
            <w:shd w:val="clear" w:color="auto" w:fill="auto"/>
            <w:vAlign w:val="center"/>
          </w:tcPr>
          <w:p w14:paraId="4C1F681B">
            <w:pPr>
              <w:keepNext w:val="0"/>
              <w:keepLines w:val="0"/>
              <w:pageBreakBefore w:val="0"/>
              <w:widowControl w:val="0"/>
              <w:kinsoku/>
              <w:wordWrap/>
              <w:overflowPunct/>
              <w:topLinePunct w:val="0"/>
              <w:autoSpaceDE/>
              <w:autoSpaceDN/>
              <w:bidi w:val="0"/>
              <w:spacing w:line="360" w:lineRule="exact"/>
              <w:jc w:val="center"/>
              <w:rPr>
                <w:rFonts w:hint="eastAsia" w:ascii="宋体" w:hAnsi="宋体" w:eastAsia="宋体" w:cs="宋体"/>
                <w:kern w:val="20"/>
                <w:sz w:val="21"/>
                <w:szCs w:val="21"/>
                <w:highlight w:val="none"/>
              </w:rPr>
            </w:pPr>
            <w:r>
              <w:rPr>
                <w:rFonts w:hint="eastAsia" w:ascii="宋体" w:hAnsi="宋体" w:eastAsia="宋体" w:cs="宋体"/>
                <w:kern w:val="20"/>
                <w:sz w:val="21"/>
                <w:szCs w:val="21"/>
                <w:highlight w:val="none"/>
                <w:u w:val="single"/>
                <w:lang w:val="en-US" w:eastAsia="zh-CN"/>
              </w:rPr>
              <w:t>5</w:t>
            </w:r>
            <w:r>
              <w:rPr>
                <w:rFonts w:hint="eastAsia" w:ascii="宋体" w:hAnsi="宋体" w:eastAsia="宋体" w:cs="宋体"/>
                <w:kern w:val="20"/>
                <w:sz w:val="21"/>
                <w:szCs w:val="21"/>
                <w:highlight w:val="none"/>
              </w:rPr>
              <w:t>分</w:t>
            </w:r>
          </w:p>
        </w:tc>
        <w:tc>
          <w:tcPr>
            <w:tcW w:w="1909" w:type="dxa"/>
            <w:vMerge w:val="restart"/>
            <w:shd w:val="clear" w:color="auto" w:fill="auto"/>
            <w:vAlign w:val="center"/>
          </w:tcPr>
          <w:p w14:paraId="4F3C3F4C">
            <w:pPr>
              <w:keepNext w:val="0"/>
              <w:keepLines w:val="0"/>
              <w:pageBreakBefore w:val="0"/>
              <w:widowControl w:val="0"/>
              <w:kinsoku/>
              <w:wordWrap/>
              <w:overflowPunct/>
              <w:topLinePunct w:val="0"/>
              <w:autoSpaceDE/>
              <w:autoSpaceDN/>
              <w:bidi w:val="0"/>
              <w:adjustRightInd w:val="0"/>
              <w:snapToGrid w:val="0"/>
              <w:spacing w:line="360" w:lineRule="exact"/>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信用评价等级</w:t>
            </w:r>
          </w:p>
        </w:tc>
        <w:tc>
          <w:tcPr>
            <w:tcW w:w="723" w:type="dxa"/>
            <w:shd w:val="clear" w:color="auto" w:fill="auto"/>
            <w:vAlign w:val="center"/>
          </w:tcPr>
          <w:p w14:paraId="4F8A7D0D">
            <w:pPr>
              <w:keepNext w:val="0"/>
              <w:keepLines w:val="0"/>
              <w:pageBreakBefore w:val="0"/>
              <w:widowControl w:val="0"/>
              <w:kinsoku/>
              <w:wordWrap/>
              <w:overflowPunct/>
              <w:topLinePunct w:val="0"/>
              <w:autoSpaceDE/>
              <w:autoSpaceDN/>
              <w:bidi w:val="0"/>
              <w:adjustRightInd w:val="0"/>
              <w:snapToGrid w:val="0"/>
              <w:spacing w:line="360" w:lineRule="exact"/>
              <w:jc w:val="center"/>
              <w:rPr>
                <w:rFonts w:hint="eastAsia" w:ascii="宋体" w:hAnsi="宋体" w:eastAsia="宋体" w:cs="宋体"/>
                <w:sz w:val="21"/>
                <w:szCs w:val="21"/>
                <w:highlight w:val="none"/>
              </w:rPr>
            </w:pPr>
            <w:r>
              <w:rPr>
                <w:rFonts w:hint="eastAsia" w:ascii="宋体" w:hAnsi="宋体" w:eastAsia="宋体" w:cs="宋体"/>
                <w:sz w:val="21"/>
                <w:szCs w:val="21"/>
                <w:highlight w:val="none"/>
                <w:u w:val="single"/>
                <w:lang w:val="en-US" w:eastAsia="zh-CN"/>
              </w:rPr>
              <w:t>5</w:t>
            </w:r>
            <w:r>
              <w:rPr>
                <w:rFonts w:hint="eastAsia" w:ascii="宋体" w:hAnsi="宋体" w:eastAsia="宋体" w:cs="宋体"/>
                <w:sz w:val="21"/>
                <w:szCs w:val="21"/>
                <w:highlight w:val="none"/>
              </w:rPr>
              <w:t>分</w:t>
            </w:r>
          </w:p>
        </w:tc>
        <w:tc>
          <w:tcPr>
            <w:tcW w:w="3822" w:type="dxa"/>
            <w:shd w:val="clear" w:color="auto" w:fill="auto"/>
            <w:vAlign w:val="center"/>
          </w:tcPr>
          <w:p w14:paraId="155BEBEA">
            <w:pPr>
              <w:keepNext w:val="0"/>
              <w:keepLines w:val="0"/>
              <w:pageBreakBefore w:val="0"/>
              <w:widowControl w:val="0"/>
              <w:kinsoku/>
              <w:wordWrap/>
              <w:overflowPunct/>
              <w:topLinePunct w:val="0"/>
              <w:autoSpaceDE/>
              <w:autoSpaceDN/>
              <w:bidi w:val="0"/>
              <w:adjustRightInd w:val="0"/>
              <w:snapToGrid w:val="0"/>
              <w:spacing w:line="360" w:lineRule="exact"/>
              <w:rPr>
                <w:rFonts w:hint="eastAsia" w:ascii="宋体" w:hAnsi="宋体" w:eastAsia="宋体" w:cs="宋体"/>
                <w:sz w:val="21"/>
                <w:szCs w:val="21"/>
                <w:highlight w:val="none"/>
              </w:rPr>
            </w:pPr>
            <w:r>
              <w:rPr>
                <w:rFonts w:hint="eastAsia" w:ascii="宋体" w:hAnsi="宋体" w:eastAsia="宋体" w:cs="宋体"/>
                <w:sz w:val="21"/>
                <w:szCs w:val="21"/>
                <w:highlight w:val="none"/>
              </w:rPr>
              <w:t>信用评价AA级</w:t>
            </w:r>
          </w:p>
        </w:tc>
      </w:tr>
      <w:tr w14:paraId="50E6479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877" w:type="dxa"/>
            <w:vMerge w:val="continue"/>
            <w:shd w:val="clear" w:color="auto" w:fill="auto"/>
            <w:vAlign w:val="center"/>
          </w:tcPr>
          <w:p w14:paraId="7C9670C6">
            <w:pPr>
              <w:keepNext w:val="0"/>
              <w:keepLines w:val="0"/>
              <w:pageBreakBefore w:val="0"/>
              <w:widowControl w:val="0"/>
              <w:kinsoku/>
              <w:wordWrap/>
              <w:overflowPunct/>
              <w:topLinePunct w:val="0"/>
              <w:autoSpaceDE/>
              <w:autoSpaceDN/>
              <w:bidi w:val="0"/>
              <w:spacing w:line="360" w:lineRule="exact"/>
              <w:jc w:val="center"/>
              <w:rPr>
                <w:rFonts w:hint="eastAsia" w:ascii="宋体" w:hAnsi="宋体" w:eastAsia="宋体" w:cs="宋体"/>
                <w:kern w:val="20"/>
                <w:sz w:val="21"/>
                <w:szCs w:val="21"/>
                <w:highlight w:val="none"/>
              </w:rPr>
            </w:pPr>
          </w:p>
        </w:tc>
        <w:tc>
          <w:tcPr>
            <w:tcW w:w="573" w:type="dxa"/>
            <w:vMerge w:val="continue"/>
            <w:shd w:val="clear" w:color="auto" w:fill="auto"/>
            <w:vAlign w:val="center"/>
          </w:tcPr>
          <w:p w14:paraId="088A1DE8">
            <w:pPr>
              <w:keepNext w:val="0"/>
              <w:keepLines w:val="0"/>
              <w:pageBreakBefore w:val="0"/>
              <w:widowControl w:val="0"/>
              <w:kinsoku/>
              <w:wordWrap/>
              <w:overflowPunct/>
              <w:topLinePunct w:val="0"/>
              <w:autoSpaceDE/>
              <w:autoSpaceDN/>
              <w:bidi w:val="0"/>
              <w:spacing w:line="360" w:lineRule="exact"/>
              <w:jc w:val="center"/>
              <w:rPr>
                <w:rStyle w:val="15"/>
                <w:rFonts w:hint="eastAsia" w:ascii="宋体" w:hAnsi="宋体" w:eastAsia="宋体" w:cs="宋体"/>
                <w:color w:val="auto"/>
                <w:sz w:val="21"/>
                <w:szCs w:val="21"/>
                <w:highlight w:val="none"/>
                <w:shd w:val="clear" w:color="auto" w:fill="auto"/>
              </w:rPr>
            </w:pPr>
          </w:p>
        </w:tc>
        <w:tc>
          <w:tcPr>
            <w:tcW w:w="586" w:type="dxa"/>
            <w:vMerge w:val="continue"/>
            <w:shd w:val="clear" w:color="auto" w:fill="auto"/>
            <w:vAlign w:val="center"/>
          </w:tcPr>
          <w:p w14:paraId="51384DCB">
            <w:pPr>
              <w:keepNext w:val="0"/>
              <w:keepLines w:val="0"/>
              <w:pageBreakBefore w:val="0"/>
              <w:widowControl w:val="0"/>
              <w:kinsoku/>
              <w:wordWrap/>
              <w:overflowPunct/>
              <w:topLinePunct w:val="0"/>
              <w:autoSpaceDE/>
              <w:autoSpaceDN/>
              <w:bidi w:val="0"/>
              <w:spacing w:line="360" w:lineRule="exact"/>
              <w:jc w:val="center"/>
              <w:rPr>
                <w:rFonts w:hint="eastAsia" w:ascii="宋体" w:hAnsi="宋体" w:eastAsia="宋体" w:cs="宋体"/>
                <w:kern w:val="20"/>
                <w:sz w:val="21"/>
                <w:szCs w:val="21"/>
                <w:highlight w:val="none"/>
              </w:rPr>
            </w:pPr>
          </w:p>
        </w:tc>
        <w:tc>
          <w:tcPr>
            <w:tcW w:w="1091" w:type="dxa"/>
            <w:vMerge w:val="continue"/>
            <w:shd w:val="clear" w:color="auto" w:fill="auto"/>
            <w:vAlign w:val="center"/>
          </w:tcPr>
          <w:p w14:paraId="3654A1E9">
            <w:pPr>
              <w:keepNext w:val="0"/>
              <w:keepLines w:val="0"/>
              <w:pageBreakBefore w:val="0"/>
              <w:widowControl w:val="0"/>
              <w:kinsoku/>
              <w:wordWrap/>
              <w:overflowPunct/>
              <w:topLinePunct w:val="0"/>
              <w:autoSpaceDE/>
              <w:autoSpaceDN/>
              <w:bidi w:val="0"/>
              <w:spacing w:line="360" w:lineRule="exact"/>
              <w:jc w:val="center"/>
              <w:rPr>
                <w:rFonts w:hint="eastAsia" w:ascii="宋体" w:hAnsi="宋体" w:eastAsia="宋体" w:cs="宋体"/>
                <w:kern w:val="20"/>
                <w:sz w:val="21"/>
                <w:szCs w:val="21"/>
                <w:highlight w:val="none"/>
                <w:u w:val="single"/>
              </w:rPr>
            </w:pPr>
          </w:p>
        </w:tc>
        <w:tc>
          <w:tcPr>
            <w:tcW w:w="1909" w:type="dxa"/>
            <w:vMerge w:val="continue"/>
            <w:shd w:val="clear" w:color="auto" w:fill="auto"/>
            <w:vAlign w:val="center"/>
          </w:tcPr>
          <w:p w14:paraId="0BFE8E3B">
            <w:pPr>
              <w:keepNext w:val="0"/>
              <w:keepLines w:val="0"/>
              <w:pageBreakBefore w:val="0"/>
              <w:widowControl w:val="0"/>
              <w:kinsoku/>
              <w:wordWrap/>
              <w:overflowPunct/>
              <w:topLinePunct w:val="0"/>
              <w:autoSpaceDE/>
              <w:autoSpaceDN/>
              <w:bidi w:val="0"/>
              <w:adjustRightInd w:val="0"/>
              <w:snapToGrid w:val="0"/>
              <w:spacing w:line="360" w:lineRule="exact"/>
              <w:jc w:val="center"/>
              <w:rPr>
                <w:rFonts w:hint="eastAsia" w:ascii="宋体" w:hAnsi="宋体" w:eastAsia="宋体" w:cs="宋体"/>
                <w:sz w:val="21"/>
                <w:szCs w:val="21"/>
                <w:highlight w:val="none"/>
              </w:rPr>
            </w:pPr>
          </w:p>
        </w:tc>
        <w:tc>
          <w:tcPr>
            <w:tcW w:w="723" w:type="dxa"/>
            <w:shd w:val="clear" w:color="auto" w:fill="auto"/>
            <w:vAlign w:val="center"/>
          </w:tcPr>
          <w:p w14:paraId="47EA3E05">
            <w:pPr>
              <w:keepNext w:val="0"/>
              <w:keepLines w:val="0"/>
              <w:pageBreakBefore w:val="0"/>
              <w:widowControl w:val="0"/>
              <w:kinsoku/>
              <w:wordWrap/>
              <w:overflowPunct/>
              <w:topLinePunct w:val="0"/>
              <w:autoSpaceDE/>
              <w:autoSpaceDN/>
              <w:bidi w:val="0"/>
              <w:adjustRightInd w:val="0"/>
              <w:snapToGrid w:val="0"/>
              <w:spacing w:line="360" w:lineRule="exact"/>
              <w:jc w:val="center"/>
              <w:rPr>
                <w:rFonts w:hint="eastAsia" w:ascii="宋体" w:hAnsi="宋体" w:eastAsia="宋体" w:cs="宋体"/>
                <w:sz w:val="21"/>
                <w:szCs w:val="21"/>
                <w:highlight w:val="none"/>
                <w:u w:val="single"/>
              </w:rPr>
            </w:pPr>
            <w:r>
              <w:rPr>
                <w:rFonts w:hint="eastAsia" w:ascii="宋体" w:hAnsi="宋体" w:eastAsia="宋体" w:cs="宋体"/>
                <w:sz w:val="21"/>
                <w:szCs w:val="21"/>
                <w:highlight w:val="none"/>
                <w:u w:val="single"/>
                <w:lang w:val="en-US" w:eastAsia="zh-CN"/>
              </w:rPr>
              <w:t>4</w:t>
            </w:r>
            <w:r>
              <w:rPr>
                <w:rFonts w:hint="eastAsia" w:ascii="宋体" w:hAnsi="宋体" w:eastAsia="宋体" w:cs="宋体"/>
                <w:sz w:val="21"/>
                <w:szCs w:val="21"/>
                <w:highlight w:val="none"/>
              </w:rPr>
              <w:t>分</w:t>
            </w:r>
          </w:p>
        </w:tc>
        <w:tc>
          <w:tcPr>
            <w:tcW w:w="3822" w:type="dxa"/>
            <w:shd w:val="clear" w:color="auto" w:fill="auto"/>
            <w:vAlign w:val="center"/>
          </w:tcPr>
          <w:p w14:paraId="077DC583">
            <w:pPr>
              <w:keepNext w:val="0"/>
              <w:keepLines w:val="0"/>
              <w:pageBreakBefore w:val="0"/>
              <w:widowControl w:val="0"/>
              <w:kinsoku/>
              <w:wordWrap/>
              <w:overflowPunct/>
              <w:topLinePunct w:val="0"/>
              <w:autoSpaceDE/>
              <w:autoSpaceDN/>
              <w:bidi w:val="0"/>
              <w:adjustRightInd w:val="0"/>
              <w:snapToGrid w:val="0"/>
              <w:spacing w:line="360" w:lineRule="exact"/>
              <w:rPr>
                <w:rFonts w:hint="eastAsia" w:ascii="宋体" w:hAnsi="宋体" w:eastAsia="宋体" w:cs="宋体"/>
                <w:sz w:val="21"/>
                <w:szCs w:val="21"/>
                <w:highlight w:val="none"/>
              </w:rPr>
            </w:pPr>
            <w:r>
              <w:rPr>
                <w:rFonts w:hint="eastAsia" w:ascii="宋体" w:hAnsi="宋体" w:eastAsia="宋体" w:cs="宋体"/>
                <w:sz w:val="21"/>
                <w:szCs w:val="21"/>
                <w:highlight w:val="none"/>
              </w:rPr>
              <w:t>信用评价A级</w:t>
            </w:r>
          </w:p>
        </w:tc>
      </w:tr>
      <w:tr w14:paraId="1A96D59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877" w:type="dxa"/>
            <w:vMerge w:val="continue"/>
            <w:shd w:val="clear" w:color="auto" w:fill="auto"/>
            <w:vAlign w:val="center"/>
          </w:tcPr>
          <w:p w14:paraId="46A82359">
            <w:pPr>
              <w:keepNext w:val="0"/>
              <w:keepLines w:val="0"/>
              <w:pageBreakBefore w:val="0"/>
              <w:widowControl w:val="0"/>
              <w:kinsoku/>
              <w:wordWrap/>
              <w:overflowPunct/>
              <w:topLinePunct w:val="0"/>
              <w:autoSpaceDE/>
              <w:autoSpaceDN/>
              <w:bidi w:val="0"/>
              <w:spacing w:line="360" w:lineRule="exact"/>
              <w:jc w:val="center"/>
              <w:rPr>
                <w:rFonts w:hint="eastAsia" w:ascii="宋体" w:hAnsi="宋体" w:eastAsia="宋体" w:cs="宋体"/>
                <w:kern w:val="20"/>
                <w:sz w:val="21"/>
                <w:szCs w:val="21"/>
                <w:highlight w:val="none"/>
              </w:rPr>
            </w:pPr>
          </w:p>
        </w:tc>
        <w:tc>
          <w:tcPr>
            <w:tcW w:w="573" w:type="dxa"/>
            <w:vMerge w:val="continue"/>
            <w:shd w:val="clear" w:color="auto" w:fill="auto"/>
            <w:vAlign w:val="center"/>
          </w:tcPr>
          <w:p w14:paraId="143787B8">
            <w:pPr>
              <w:keepNext w:val="0"/>
              <w:keepLines w:val="0"/>
              <w:pageBreakBefore w:val="0"/>
              <w:widowControl w:val="0"/>
              <w:kinsoku/>
              <w:wordWrap/>
              <w:overflowPunct/>
              <w:topLinePunct w:val="0"/>
              <w:autoSpaceDE/>
              <w:autoSpaceDN/>
              <w:bidi w:val="0"/>
              <w:spacing w:line="360" w:lineRule="exact"/>
              <w:jc w:val="center"/>
              <w:rPr>
                <w:rStyle w:val="15"/>
                <w:rFonts w:hint="eastAsia" w:ascii="宋体" w:hAnsi="宋体" w:eastAsia="宋体" w:cs="宋体"/>
                <w:color w:val="auto"/>
                <w:sz w:val="21"/>
                <w:szCs w:val="21"/>
                <w:highlight w:val="none"/>
                <w:shd w:val="clear" w:color="auto" w:fill="auto"/>
              </w:rPr>
            </w:pPr>
          </w:p>
        </w:tc>
        <w:tc>
          <w:tcPr>
            <w:tcW w:w="586" w:type="dxa"/>
            <w:vMerge w:val="continue"/>
            <w:shd w:val="clear" w:color="auto" w:fill="auto"/>
            <w:vAlign w:val="center"/>
          </w:tcPr>
          <w:p w14:paraId="08C704E9">
            <w:pPr>
              <w:keepNext w:val="0"/>
              <w:keepLines w:val="0"/>
              <w:pageBreakBefore w:val="0"/>
              <w:widowControl w:val="0"/>
              <w:kinsoku/>
              <w:wordWrap/>
              <w:overflowPunct/>
              <w:topLinePunct w:val="0"/>
              <w:autoSpaceDE/>
              <w:autoSpaceDN/>
              <w:bidi w:val="0"/>
              <w:spacing w:line="360" w:lineRule="exact"/>
              <w:jc w:val="center"/>
              <w:rPr>
                <w:rFonts w:hint="eastAsia" w:ascii="宋体" w:hAnsi="宋体" w:eastAsia="宋体" w:cs="宋体"/>
                <w:kern w:val="20"/>
                <w:sz w:val="21"/>
                <w:szCs w:val="21"/>
                <w:highlight w:val="none"/>
              </w:rPr>
            </w:pPr>
          </w:p>
        </w:tc>
        <w:tc>
          <w:tcPr>
            <w:tcW w:w="1091" w:type="dxa"/>
            <w:vMerge w:val="continue"/>
            <w:shd w:val="clear" w:color="auto" w:fill="auto"/>
            <w:vAlign w:val="center"/>
          </w:tcPr>
          <w:p w14:paraId="136D9966">
            <w:pPr>
              <w:keepNext w:val="0"/>
              <w:keepLines w:val="0"/>
              <w:pageBreakBefore w:val="0"/>
              <w:widowControl w:val="0"/>
              <w:kinsoku/>
              <w:wordWrap/>
              <w:overflowPunct/>
              <w:topLinePunct w:val="0"/>
              <w:autoSpaceDE/>
              <w:autoSpaceDN/>
              <w:bidi w:val="0"/>
              <w:spacing w:line="360" w:lineRule="exact"/>
              <w:jc w:val="center"/>
              <w:rPr>
                <w:rFonts w:hint="eastAsia" w:ascii="宋体" w:hAnsi="宋体" w:eastAsia="宋体" w:cs="宋体"/>
                <w:kern w:val="20"/>
                <w:sz w:val="21"/>
                <w:szCs w:val="21"/>
                <w:highlight w:val="none"/>
                <w:u w:val="single"/>
              </w:rPr>
            </w:pPr>
          </w:p>
        </w:tc>
        <w:tc>
          <w:tcPr>
            <w:tcW w:w="1909" w:type="dxa"/>
            <w:vMerge w:val="continue"/>
            <w:shd w:val="clear" w:color="auto" w:fill="auto"/>
            <w:vAlign w:val="center"/>
          </w:tcPr>
          <w:p w14:paraId="6C6AB9BC">
            <w:pPr>
              <w:keepNext w:val="0"/>
              <w:keepLines w:val="0"/>
              <w:pageBreakBefore w:val="0"/>
              <w:widowControl w:val="0"/>
              <w:kinsoku/>
              <w:wordWrap/>
              <w:overflowPunct/>
              <w:topLinePunct w:val="0"/>
              <w:autoSpaceDE/>
              <w:autoSpaceDN/>
              <w:bidi w:val="0"/>
              <w:adjustRightInd w:val="0"/>
              <w:snapToGrid w:val="0"/>
              <w:spacing w:line="360" w:lineRule="exact"/>
              <w:jc w:val="center"/>
              <w:rPr>
                <w:rFonts w:hint="eastAsia" w:ascii="宋体" w:hAnsi="宋体" w:eastAsia="宋体" w:cs="宋体"/>
                <w:sz w:val="21"/>
                <w:szCs w:val="21"/>
                <w:highlight w:val="none"/>
              </w:rPr>
            </w:pPr>
          </w:p>
        </w:tc>
        <w:tc>
          <w:tcPr>
            <w:tcW w:w="723" w:type="dxa"/>
            <w:shd w:val="clear" w:color="auto" w:fill="auto"/>
            <w:vAlign w:val="center"/>
          </w:tcPr>
          <w:p w14:paraId="342F09BF">
            <w:pPr>
              <w:keepNext w:val="0"/>
              <w:keepLines w:val="0"/>
              <w:pageBreakBefore w:val="0"/>
              <w:widowControl w:val="0"/>
              <w:kinsoku/>
              <w:wordWrap/>
              <w:overflowPunct/>
              <w:topLinePunct w:val="0"/>
              <w:autoSpaceDE/>
              <w:autoSpaceDN/>
              <w:bidi w:val="0"/>
              <w:adjustRightInd w:val="0"/>
              <w:snapToGrid w:val="0"/>
              <w:spacing w:line="360" w:lineRule="exact"/>
              <w:jc w:val="center"/>
              <w:rPr>
                <w:rFonts w:hint="eastAsia" w:ascii="宋体" w:hAnsi="宋体" w:eastAsia="宋体" w:cs="宋体"/>
                <w:sz w:val="21"/>
                <w:szCs w:val="21"/>
                <w:highlight w:val="none"/>
              </w:rPr>
            </w:pPr>
            <w:r>
              <w:rPr>
                <w:rFonts w:hint="eastAsia" w:ascii="宋体" w:hAnsi="宋体" w:eastAsia="宋体" w:cs="宋体"/>
                <w:sz w:val="21"/>
                <w:szCs w:val="21"/>
                <w:highlight w:val="none"/>
                <w:u w:val="single"/>
                <w:lang w:val="en-US" w:eastAsia="zh-CN"/>
              </w:rPr>
              <w:t>3</w:t>
            </w:r>
            <w:r>
              <w:rPr>
                <w:rFonts w:hint="eastAsia" w:ascii="宋体" w:hAnsi="宋体" w:eastAsia="宋体" w:cs="宋体"/>
                <w:sz w:val="21"/>
                <w:szCs w:val="21"/>
                <w:highlight w:val="none"/>
              </w:rPr>
              <w:t>分</w:t>
            </w:r>
          </w:p>
        </w:tc>
        <w:tc>
          <w:tcPr>
            <w:tcW w:w="3822" w:type="dxa"/>
            <w:shd w:val="clear" w:color="auto" w:fill="auto"/>
            <w:vAlign w:val="center"/>
          </w:tcPr>
          <w:p w14:paraId="326C7055">
            <w:pPr>
              <w:keepNext w:val="0"/>
              <w:keepLines w:val="0"/>
              <w:pageBreakBefore w:val="0"/>
              <w:widowControl w:val="0"/>
              <w:kinsoku/>
              <w:wordWrap/>
              <w:overflowPunct/>
              <w:topLinePunct w:val="0"/>
              <w:autoSpaceDE/>
              <w:autoSpaceDN/>
              <w:bidi w:val="0"/>
              <w:adjustRightInd w:val="0"/>
              <w:snapToGrid w:val="0"/>
              <w:spacing w:line="360" w:lineRule="exact"/>
              <w:rPr>
                <w:rFonts w:hint="eastAsia" w:ascii="宋体" w:hAnsi="宋体" w:eastAsia="宋体" w:cs="宋体"/>
                <w:sz w:val="21"/>
                <w:szCs w:val="21"/>
                <w:highlight w:val="none"/>
              </w:rPr>
            </w:pPr>
            <w:r>
              <w:rPr>
                <w:rFonts w:hint="eastAsia" w:ascii="宋体" w:hAnsi="宋体" w:eastAsia="宋体" w:cs="宋体"/>
                <w:sz w:val="21"/>
                <w:szCs w:val="21"/>
                <w:highlight w:val="none"/>
              </w:rPr>
              <w:t>信用评价B级</w:t>
            </w:r>
          </w:p>
        </w:tc>
      </w:tr>
      <w:tr w14:paraId="5FB8BD8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877" w:type="dxa"/>
            <w:vMerge w:val="continue"/>
            <w:shd w:val="clear" w:color="auto" w:fill="auto"/>
            <w:vAlign w:val="center"/>
          </w:tcPr>
          <w:p w14:paraId="65B8C93B">
            <w:pPr>
              <w:keepNext w:val="0"/>
              <w:keepLines w:val="0"/>
              <w:pageBreakBefore w:val="0"/>
              <w:widowControl w:val="0"/>
              <w:kinsoku/>
              <w:wordWrap/>
              <w:overflowPunct/>
              <w:topLinePunct w:val="0"/>
              <w:autoSpaceDE/>
              <w:autoSpaceDN/>
              <w:bidi w:val="0"/>
              <w:spacing w:line="360" w:lineRule="exact"/>
              <w:jc w:val="center"/>
              <w:rPr>
                <w:rFonts w:hint="eastAsia" w:ascii="宋体" w:hAnsi="宋体" w:eastAsia="宋体" w:cs="宋体"/>
                <w:kern w:val="20"/>
                <w:sz w:val="21"/>
                <w:szCs w:val="21"/>
                <w:highlight w:val="none"/>
              </w:rPr>
            </w:pPr>
          </w:p>
        </w:tc>
        <w:tc>
          <w:tcPr>
            <w:tcW w:w="573" w:type="dxa"/>
            <w:vMerge w:val="continue"/>
            <w:shd w:val="clear" w:color="auto" w:fill="auto"/>
            <w:vAlign w:val="center"/>
          </w:tcPr>
          <w:p w14:paraId="30078C94">
            <w:pPr>
              <w:keepNext w:val="0"/>
              <w:keepLines w:val="0"/>
              <w:pageBreakBefore w:val="0"/>
              <w:widowControl w:val="0"/>
              <w:kinsoku/>
              <w:wordWrap/>
              <w:overflowPunct/>
              <w:topLinePunct w:val="0"/>
              <w:autoSpaceDE/>
              <w:autoSpaceDN/>
              <w:bidi w:val="0"/>
              <w:spacing w:line="360" w:lineRule="exact"/>
              <w:jc w:val="center"/>
              <w:rPr>
                <w:rStyle w:val="15"/>
                <w:rFonts w:hint="eastAsia" w:ascii="宋体" w:hAnsi="宋体" w:eastAsia="宋体" w:cs="宋体"/>
                <w:color w:val="auto"/>
                <w:sz w:val="21"/>
                <w:szCs w:val="21"/>
                <w:highlight w:val="none"/>
                <w:shd w:val="clear" w:color="auto" w:fill="auto"/>
              </w:rPr>
            </w:pPr>
          </w:p>
        </w:tc>
        <w:tc>
          <w:tcPr>
            <w:tcW w:w="586" w:type="dxa"/>
            <w:vMerge w:val="continue"/>
            <w:shd w:val="clear" w:color="auto" w:fill="auto"/>
            <w:vAlign w:val="center"/>
          </w:tcPr>
          <w:p w14:paraId="0FE4621E">
            <w:pPr>
              <w:keepNext w:val="0"/>
              <w:keepLines w:val="0"/>
              <w:pageBreakBefore w:val="0"/>
              <w:widowControl w:val="0"/>
              <w:kinsoku/>
              <w:wordWrap/>
              <w:overflowPunct/>
              <w:topLinePunct w:val="0"/>
              <w:autoSpaceDE/>
              <w:autoSpaceDN/>
              <w:bidi w:val="0"/>
              <w:spacing w:line="360" w:lineRule="exact"/>
              <w:jc w:val="center"/>
              <w:rPr>
                <w:rFonts w:hint="eastAsia" w:ascii="宋体" w:hAnsi="宋体" w:eastAsia="宋体" w:cs="宋体"/>
                <w:kern w:val="20"/>
                <w:sz w:val="21"/>
                <w:szCs w:val="21"/>
                <w:highlight w:val="none"/>
              </w:rPr>
            </w:pPr>
          </w:p>
        </w:tc>
        <w:tc>
          <w:tcPr>
            <w:tcW w:w="1091" w:type="dxa"/>
            <w:vMerge w:val="continue"/>
            <w:shd w:val="clear" w:color="auto" w:fill="auto"/>
            <w:vAlign w:val="center"/>
          </w:tcPr>
          <w:p w14:paraId="30018C40">
            <w:pPr>
              <w:keepNext w:val="0"/>
              <w:keepLines w:val="0"/>
              <w:pageBreakBefore w:val="0"/>
              <w:widowControl w:val="0"/>
              <w:kinsoku/>
              <w:wordWrap/>
              <w:overflowPunct/>
              <w:topLinePunct w:val="0"/>
              <w:autoSpaceDE/>
              <w:autoSpaceDN/>
              <w:bidi w:val="0"/>
              <w:spacing w:line="360" w:lineRule="exact"/>
              <w:jc w:val="center"/>
              <w:rPr>
                <w:rFonts w:hint="eastAsia" w:ascii="宋体" w:hAnsi="宋体" w:eastAsia="宋体" w:cs="宋体"/>
                <w:kern w:val="20"/>
                <w:sz w:val="21"/>
                <w:szCs w:val="21"/>
                <w:highlight w:val="none"/>
                <w:u w:val="single"/>
              </w:rPr>
            </w:pPr>
          </w:p>
        </w:tc>
        <w:tc>
          <w:tcPr>
            <w:tcW w:w="1909" w:type="dxa"/>
            <w:vMerge w:val="continue"/>
            <w:shd w:val="clear" w:color="auto" w:fill="auto"/>
            <w:vAlign w:val="center"/>
          </w:tcPr>
          <w:p w14:paraId="69CDA058">
            <w:pPr>
              <w:keepNext w:val="0"/>
              <w:keepLines w:val="0"/>
              <w:pageBreakBefore w:val="0"/>
              <w:widowControl w:val="0"/>
              <w:kinsoku/>
              <w:wordWrap/>
              <w:overflowPunct/>
              <w:topLinePunct w:val="0"/>
              <w:autoSpaceDE/>
              <w:autoSpaceDN/>
              <w:bidi w:val="0"/>
              <w:adjustRightInd w:val="0"/>
              <w:snapToGrid w:val="0"/>
              <w:spacing w:line="360" w:lineRule="exact"/>
              <w:jc w:val="center"/>
              <w:rPr>
                <w:rFonts w:hint="eastAsia" w:ascii="宋体" w:hAnsi="宋体" w:eastAsia="宋体" w:cs="宋体"/>
                <w:sz w:val="21"/>
                <w:szCs w:val="21"/>
                <w:highlight w:val="none"/>
              </w:rPr>
            </w:pPr>
          </w:p>
        </w:tc>
        <w:tc>
          <w:tcPr>
            <w:tcW w:w="723" w:type="dxa"/>
            <w:shd w:val="clear" w:color="auto" w:fill="auto"/>
            <w:vAlign w:val="center"/>
          </w:tcPr>
          <w:p w14:paraId="392F656D">
            <w:pPr>
              <w:keepNext w:val="0"/>
              <w:keepLines w:val="0"/>
              <w:pageBreakBefore w:val="0"/>
              <w:widowControl w:val="0"/>
              <w:kinsoku/>
              <w:wordWrap/>
              <w:overflowPunct/>
              <w:topLinePunct w:val="0"/>
              <w:autoSpaceDE/>
              <w:autoSpaceDN/>
              <w:bidi w:val="0"/>
              <w:adjustRightInd w:val="0"/>
              <w:snapToGrid w:val="0"/>
              <w:spacing w:line="360" w:lineRule="exact"/>
              <w:jc w:val="center"/>
              <w:rPr>
                <w:rFonts w:hint="eastAsia" w:ascii="宋体" w:hAnsi="宋体" w:eastAsia="宋体" w:cs="宋体"/>
                <w:sz w:val="21"/>
                <w:szCs w:val="21"/>
                <w:highlight w:val="none"/>
              </w:rPr>
            </w:pPr>
            <w:r>
              <w:rPr>
                <w:rFonts w:hint="eastAsia" w:ascii="宋体" w:hAnsi="宋体" w:eastAsia="宋体" w:cs="宋体"/>
                <w:sz w:val="21"/>
                <w:szCs w:val="21"/>
                <w:highlight w:val="none"/>
                <w:u w:val="single"/>
                <w:lang w:val="en-US" w:eastAsia="zh-CN"/>
              </w:rPr>
              <w:t>0</w:t>
            </w:r>
            <w:r>
              <w:rPr>
                <w:rFonts w:hint="eastAsia" w:ascii="宋体" w:hAnsi="宋体" w:eastAsia="宋体" w:cs="宋体"/>
                <w:sz w:val="21"/>
                <w:szCs w:val="21"/>
                <w:highlight w:val="none"/>
              </w:rPr>
              <w:t>分</w:t>
            </w:r>
          </w:p>
        </w:tc>
        <w:tc>
          <w:tcPr>
            <w:tcW w:w="3822" w:type="dxa"/>
            <w:shd w:val="clear" w:color="auto" w:fill="auto"/>
            <w:vAlign w:val="center"/>
          </w:tcPr>
          <w:p w14:paraId="07C538E2">
            <w:pPr>
              <w:keepNext w:val="0"/>
              <w:keepLines w:val="0"/>
              <w:pageBreakBefore w:val="0"/>
              <w:widowControl w:val="0"/>
              <w:kinsoku/>
              <w:wordWrap/>
              <w:overflowPunct/>
              <w:topLinePunct w:val="0"/>
              <w:autoSpaceDE/>
              <w:autoSpaceDN/>
              <w:bidi w:val="0"/>
              <w:adjustRightInd w:val="0"/>
              <w:snapToGrid w:val="0"/>
              <w:spacing w:line="360" w:lineRule="exact"/>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rPr>
              <w:t>信用评价C级</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rPr>
              <w:t>D级</w:t>
            </w:r>
          </w:p>
        </w:tc>
      </w:tr>
      <w:tr w14:paraId="4F1CD61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877" w:type="dxa"/>
            <w:vMerge w:val="continue"/>
            <w:shd w:val="clear" w:color="auto" w:fill="auto"/>
            <w:vAlign w:val="center"/>
          </w:tcPr>
          <w:p w14:paraId="79653DEC">
            <w:pPr>
              <w:keepNext w:val="0"/>
              <w:keepLines w:val="0"/>
              <w:pageBreakBefore w:val="0"/>
              <w:widowControl w:val="0"/>
              <w:kinsoku/>
              <w:wordWrap/>
              <w:overflowPunct/>
              <w:topLinePunct w:val="0"/>
              <w:autoSpaceDE/>
              <w:autoSpaceDN/>
              <w:bidi w:val="0"/>
              <w:spacing w:line="360" w:lineRule="exact"/>
              <w:jc w:val="center"/>
              <w:rPr>
                <w:rFonts w:hint="eastAsia" w:ascii="宋体" w:hAnsi="宋体" w:eastAsia="宋体" w:cs="宋体"/>
                <w:kern w:val="20"/>
                <w:sz w:val="21"/>
                <w:szCs w:val="21"/>
                <w:highlight w:val="none"/>
              </w:rPr>
            </w:pPr>
          </w:p>
        </w:tc>
        <w:tc>
          <w:tcPr>
            <w:tcW w:w="573" w:type="dxa"/>
            <w:vMerge w:val="continue"/>
            <w:shd w:val="clear" w:color="auto" w:fill="auto"/>
            <w:vAlign w:val="center"/>
          </w:tcPr>
          <w:p w14:paraId="5961FF6E">
            <w:pPr>
              <w:keepNext w:val="0"/>
              <w:keepLines w:val="0"/>
              <w:pageBreakBefore w:val="0"/>
              <w:widowControl w:val="0"/>
              <w:kinsoku/>
              <w:wordWrap/>
              <w:overflowPunct/>
              <w:topLinePunct w:val="0"/>
              <w:autoSpaceDE/>
              <w:autoSpaceDN/>
              <w:bidi w:val="0"/>
              <w:spacing w:line="360" w:lineRule="exact"/>
              <w:jc w:val="center"/>
              <w:rPr>
                <w:rStyle w:val="15"/>
                <w:rFonts w:hint="eastAsia" w:ascii="宋体" w:hAnsi="宋体" w:eastAsia="宋体" w:cs="宋体"/>
                <w:color w:val="auto"/>
                <w:sz w:val="21"/>
                <w:szCs w:val="21"/>
                <w:highlight w:val="none"/>
                <w:shd w:val="clear" w:color="auto" w:fill="auto"/>
              </w:rPr>
            </w:pPr>
          </w:p>
        </w:tc>
        <w:tc>
          <w:tcPr>
            <w:tcW w:w="586" w:type="dxa"/>
            <w:vMerge w:val="continue"/>
            <w:shd w:val="clear" w:color="auto" w:fill="auto"/>
            <w:vAlign w:val="center"/>
          </w:tcPr>
          <w:p w14:paraId="756B68DD">
            <w:pPr>
              <w:keepNext w:val="0"/>
              <w:keepLines w:val="0"/>
              <w:pageBreakBefore w:val="0"/>
              <w:widowControl w:val="0"/>
              <w:kinsoku/>
              <w:wordWrap/>
              <w:overflowPunct/>
              <w:topLinePunct w:val="0"/>
              <w:autoSpaceDE/>
              <w:autoSpaceDN/>
              <w:bidi w:val="0"/>
              <w:spacing w:line="360" w:lineRule="exact"/>
              <w:jc w:val="center"/>
              <w:rPr>
                <w:rFonts w:hint="eastAsia" w:ascii="宋体" w:hAnsi="宋体" w:eastAsia="宋体" w:cs="宋体"/>
                <w:kern w:val="20"/>
                <w:sz w:val="21"/>
                <w:szCs w:val="21"/>
                <w:highlight w:val="none"/>
              </w:rPr>
            </w:pPr>
          </w:p>
        </w:tc>
        <w:tc>
          <w:tcPr>
            <w:tcW w:w="1091" w:type="dxa"/>
            <w:vMerge w:val="continue"/>
            <w:shd w:val="clear" w:color="auto" w:fill="auto"/>
            <w:vAlign w:val="center"/>
          </w:tcPr>
          <w:p w14:paraId="46E347EC">
            <w:pPr>
              <w:keepNext w:val="0"/>
              <w:keepLines w:val="0"/>
              <w:pageBreakBefore w:val="0"/>
              <w:widowControl w:val="0"/>
              <w:kinsoku/>
              <w:wordWrap/>
              <w:overflowPunct/>
              <w:topLinePunct w:val="0"/>
              <w:autoSpaceDE/>
              <w:autoSpaceDN/>
              <w:bidi w:val="0"/>
              <w:spacing w:line="360" w:lineRule="exact"/>
              <w:jc w:val="center"/>
              <w:rPr>
                <w:rFonts w:hint="eastAsia" w:ascii="宋体" w:hAnsi="宋体" w:eastAsia="宋体" w:cs="宋体"/>
                <w:kern w:val="20"/>
                <w:sz w:val="21"/>
                <w:szCs w:val="21"/>
                <w:highlight w:val="none"/>
                <w:u w:val="single"/>
              </w:rPr>
            </w:pPr>
          </w:p>
        </w:tc>
        <w:tc>
          <w:tcPr>
            <w:tcW w:w="6454" w:type="dxa"/>
            <w:gridSpan w:val="3"/>
            <w:shd w:val="clear" w:color="auto" w:fill="auto"/>
            <w:vAlign w:val="center"/>
          </w:tcPr>
          <w:p w14:paraId="681D178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投标人的信用等级按照以下</w:t>
            </w:r>
            <w:r>
              <w:rPr>
                <w:rFonts w:hint="eastAsia" w:ascii="宋体" w:hAnsi="宋体" w:eastAsia="宋体" w:cs="宋体"/>
                <w:color w:val="auto"/>
                <w:sz w:val="21"/>
                <w:szCs w:val="21"/>
                <w:highlight w:val="none"/>
                <w:lang w:val="en-US" w:eastAsia="zh-CN"/>
              </w:rPr>
              <w:t>原则</w:t>
            </w:r>
            <w:r>
              <w:rPr>
                <w:rFonts w:hint="eastAsia" w:ascii="宋体" w:hAnsi="宋体" w:eastAsia="宋体" w:cs="宋体"/>
                <w:color w:val="auto"/>
                <w:sz w:val="21"/>
                <w:szCs w:val="21"/>
                <w:highlight w:val="none"/>
              </w:rPr>
              <w:t>采用：</w:t>
            </w:r>
          </w:p>
          <w:p w14:paraId="018091C1">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360" w:lineRule="exact"/>
              <w:ind w:left="0" w:right="0"/>
              <w:rPr>
                <w:rFonts w:hint="eastAsia" w:ascii="宋体" w:hAnsi="宋体" w:eastAsia="宋体" w:cs="宋体"/>
                <w:color w:val="auto"/>
                <w:sz w:val="21"/>
                <w:szCs w:val="21"/>
                <w:highlight w:val="none"/>
                <w:lang w:eastAsia="zh-CN"/>
              </w:rPr>
            </w:pPr>
            <w:r>
              <w:rPr>
                <w:rFonts w:hint="eastAsia" w:ascii="宋体" w:hAnsi="宋体" w:eastAsia="宋体" w:cs="宋体"/>
                <w:color w:val="auto"/>
                <w:kern w:val="2"/>
                <w:sz w:val="21"/>
                <w:szCs w:val="21"/>
                <w:highlight w:val="none"/>
                <w:lang w:val="en-US" w:eastAsia="zh-CN" w:bidi="ar-SA"/>
              </w:rPr>
              <w:t>（1）</w:t>
            </w:r>
            <w:r>
              <w:rPr>
                <w:rFonts w:hint="eastAsia" w:ascii="宋体" w:hAnsi="宋体" w:eastAsia="宋体" w:cs="宋体"/>
                <w:color w:val="auto"/>
                <w:sz w:val="21"/>
                <w:szCs w:val="21"/>
                <w:highlight w:val="none"/>
              </w:rPr>
              <w:t>采用吉林省交通运输厅发布的《关于发布吉林省202</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年度公路建设市场省级信用评价结果的通告》中的</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设计企业</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信用</w:t>
            </w:r>
            <w:r>
              <w:rPr>
                <w:rFonts w:hint="eastAsia" w:ascii="宋体" w:hAnsi="宋体" w:eastAsia="宋体" w:cs="宋体"/>
                <w:color w:val="auto"/>
                <w:sz w:val="21"/>
                <w:szCs w:val="21"/>
                <w:highlight w:val="none"/>
              </w:rPr>
              <w:t>等级</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以下简称“吉林省评价”</w:t>
            </w:r>
            <w:r>
              <w:rPr>
                <w:rFonts w:hint="eastAsia" w:ascii="宋体" w:hAnsi="宋体" w:eastAsia="宋体" w:cs="宋体"/>
                <w:color w:val="auto"/>
                <w:sz w:val="21"/>
                <w:szCs w:val="21"/>
                <w:highlight w:val="none"/>
                <w:lang w:eastAsia="zh-CN"/>
              </w:rPr>
              <w:t>）；</w:t>
            </w:r>
          </w:p>
          <w:p w14:paraId="596F74C0">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360" w:lineRule="exact"/>
              <w:ind w:left="0" w:right="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采用</w:t>
            </w:r>
            <w:r>
              <w:rPr>
                <w:rFonts w:hint="eastAsia" w:ascii="宋体" w:hAnsi="宋体" w:eastAsia="宋体" w:cs="宋体"/>
                <w:color w:val="auto"/>
                <w:sz w:val="21"/>
                <w:szCs w:val="21"/>
                <w:highlight w:val="none"/>
              </w:rPr>
              <w:t>交通运输部“全国公路建设市场监督管理系统</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全国公路从业单位信用评价结果”中投标人的202</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年度</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设计</w:t>
            </w:r>
            <w:r>
              <w:rPr>
                <w:rFonts w:hint="eastAsia" w:ascii="宋体" w:hAnsi="宋体" w:eastAsia="宋体" w:cs="宋体"/>
                <w:color w:val="auto"/>
                <w:sz w:val="21"/>
                <w:szCs w:val="21"/>
                <w:highlight w:val="none"/>
              </w:rPr>
              <w:t>企业</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信用等级</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以下简称“全国评价”</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w:t>
            </w:r>
          </w:p>
          <w:p w14:paraId="302A2E3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投标人无以上信用评价时，若未列入交通运输部“全国公路建设市场监督管理系统”中“不良信用记录”的，按A级对待，否则按</w:t>
            </w:r>
            <w:r>
              <w:rPr>
                <w:rFonts w:hint="eastAsia" w:ascii="宋体" w:hAnsi="宋体" w:eastAsia="宋体" w:cs="宋体"/>
                <w:sz w:val="21"/>
                <w:szCs w:val="21"/>
                <w:highlight w:val="none"/>
              </w:rPr>
              <w:t>C级</w:t>
            </w:r>
            <w:r>
              <w:rPr>
                <w:rFonts w:hint="eastAsia" w:ascii="宋体" w:hAnsi="宋体" w:eastAsia="宋体" w:cs="宋体"/>
                <w:color w:val="auto"/>
                <w:sz w:val="21"/>
                <w:szCs w:val="21"/>
                <w:highlight w:val="none"/>
              </w:rPr>
              <w:t>对待</w:t>
            </w:r>
            <w:r>
              <w:rPr>
                <w:rFonts w:hint="eastAsia" w:ascii="宋体" w:hAnsi="宋体" w:eastAsia="宋体" w:cs="宋体"/>
                <w:color w:val="auto"/>
                <w:sz w:val="21"/>
                <w:szCs w:val="21"/>
                <w:highlight w:val="none"/>
                <w:lang w:eastAsia="zh-CN"/>
              </w:rPr>
              <w:t>；</w:t>
            </w:r>
          </w:p>
          <w:p w14:paraId="607B0D4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投标人既有吉林省评价又有全国评价的，采用等级较低的信用评价结果；</w:t>
            </w:r>
          </w:p>
          <w:p w14:paraId="4CF24A66">
            <w:pPr>
              <w:keepNext w:val="0"/>
              <w:keepLines w:val="0"/>
              <w:pageBreakBefore w:val="0"/>
              <w:widowControl w:val="0"/>
              <w:kinsoku/>
              <w:wordWrap/>
              <w:overflowPunct/>
              <w:topLinePunct w:val="0"/>
              <w:autoSpaceDE/>
              <w:autoSpaceDN/>
              <w:bidi w:val="0"/>
              <w:adjustRightInd w:val="0"/>
              <w:snapToGrid w:val="0"/>
              <w:spacing w:line="360" w:lineRule="exact"/>
              <w:rPr>
                <w:rFonts w:hint="eastAsia" w:ascii="宋体" w:hAnsi="宋体" w:eastAsia="宋体" w:cs="宋体"/>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以联合体形式</w:t>
            </w:r>
            <w:r>
              <w:rPr>
                <w:rFonts w:hint="eastAsia" w:ascii="宋体" w:hAnsi="宋体" w:eastAsia="宋体" w:cs="宋体"/>
                <w:color w:val="auto"/>
                <w:sz w:val="21"/>
                <w:szCs w:val="21"/>
                <w:highlight w:val="none"/>
                <w:lang w:val="en-US" w:eastAsia="zh-CN"/>
              </w:rPr>
              <w:t>参与</w:t>
            </w:r>
            <w:r>
              <w:rPr>
                <w:rFonts w:hint="eastAsia" w:ascii="宋体" w:hAnsi="宋体" w:eastAsia="宋体" w:cs="宋体"/>
                <w:color w:val="auto"/>
                <w:sz w:val="21"/>
                <w:szCs w:val="21"/>
                <w:highlight w:val="none"/>
              </w:rPr>
              <w:t>投标的，</w:t>
            </w:r>
            <w:r>
              <w:rPr>
                <w:rFonts w:hint="eastAsia" w:ascii="宋体" w:hAnsi="宋体" w:eastAsia="宋体" w:cs="宋体"/>
                <w:color w:val="auto"/>
                <w:sz w:val="21"/>
                <w:szCs w:val="21"/>
                <w:highlight w:val="none"/>
                <w:lang w:val="en-US" w:eastAsia="zh-CN"/>
              </w:rPr>
              <w:t>其信用等级按照</w:t>
            </w:r>
            <w:r>
              <w:rPr>
                <w:rFonts w:hint="eastAsia" w:ascii="宋体" w:hAnsi="宋体" w:eastAsia="宋体" w:cs="宋体"/>
                <w:color w:val="auto"/>
                <w:sz w:val="21"/>
                <w:szCs w:val="21"/>
                <w:highlight w:val="none"/>
              </w:rPr>
              <w:t>联合体</w:t>
            </w:r>
            <w:r>
              <w:rPr>
                <w:rFonts w:hint="eastAsia" w:ascii="宋体" w:hAnsi="宋体" w:eastAsia="宋体" w:cs="宋体"/>
                <w:color w:val="auto"/>
                <w:sz w:val="21"/>
                <w:szCs w:val="21"/>
                <w:highlight w:val="none"/>
                <w:lang w:val="en-US" w:eastAsia="zh-CN"/>
              </w:rPr>
              <w:t>成员中承担</w:t>
            </w:r>
            <w:r>
              <w:rPr>
                <w:rFonts w:hint="eastAsia" w:ascii="宋体" w:hAnsi="宋体" w:eastAsia="宋体" w:cs="宋体"/>
                <w:b/>
                <w:bCs/>
                <w:color w:val="auto"/>
                <w:sz w:val="21"/>
                <w:szCs w:val="21"/>
                <w:highlight w:val="none"/>
                <w:lang w:val="en-US" w:eastAsia="zh-CN"/>
              </w:rPr>
              <w:t>公路设计工作</w:t>
            </w:r>
            <w:r>
              <w:rPr>
                <w:rFonts w:hint="eastAsia" w:ascii="宋体" w:hAnsi="宋体" w:eastAsia="宋体" w:cs="宋体"/>
                <w:color w:val="auto"/>
                <w:sz w:val="21"/>
                <w:szCs w:val="21"/>
                <w:highlight w:val="none"/>
                <w:lang w:val="en-US" w:eastAsia="zh-CN"/>
              </w:rPr>
              <w:t>的最低信用等级方认定</w:t>
            </w:r>
            <w:r>
              <w:rPr>
                <w:rFonts w:hint="eastAsia" w:ascii="宋体" w:hAnsi="宋体" w:eastAsia="宋体" w:cs="宋体"/>
                <w:color w:val="auto"/>
                <w:sz w:val="21"/>
                <w:szCs w:val="21"/>
                <w:highlight w:val="none"/>
              </w:rPr>
              <w:t>。</w:t>
            </w:r>
          </w:p>
        </w:tc>
      </w:tr>
      <w:tr w14:paraId="0312E2D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1" w:hRule="atLeast"/>
          <w:jc w:val="center"/>
        </w:trPr>
        <w:tc>
          <w:tcPr>
            <w:tcW w:w="9581" w:type="dxa"/>
            <w:gridSpan w:val="7"/>
            <w:shd w:val="clear" w:color="auto" w:fill="auto"/>
            <w:vAlign w:val="center"/>
          </w:tcPr>
          <w:p w14:paraId="39E05418">
            <w:pPr>
              <w:pStyle w:val="14"/>
              <w:keepNext w:val="0"/>
              <w:keepLines w:val="0"/>
              <w:pageBreakBefore w:val="0"/>
              <w:widowControl w:val="0"/>
              <w:kinsoku/>
              <w:wordWrap/>
              <w:overflowPunct/>
              <w:topLinePunct w:val="0"/>
              <w:autoSpaceDE/>
              <w:autoSpaceDN/>
              <w:bidi w:val="0"/>
              <w:adjustRightInd w:val="0"/>
              <w:snapToGrid w:val="0"/>
              <w:spacing w:line="360" w:lineRule="exact"/>
              <w:ind w:left="0" w:leftChars="0" w:firstLine="0" w:firstLineChars="0"/>
              <w:textAlignment w:val="baseline"/>
              <w:rPr>
                <w:rFonts w:hint="eastAsia" w:ascii="宋体" w:hAnsi="宋体" w:eastAsia="宋体" w:cs="宋体"/>
                <w:kern w:val="20"/>
                <w:sz w:val="21"/>
                <w:szCs w:val="21"/>
                <w:highlight w:val="none"/>
              </w:rPr>
            </w:pPr>
            <w:r>
              <w:rPr>
                <w:rFonts w:hint="eastAsia" w:ascii="宋体" w:hAnsi="宋体" w:eastAsia="宋体" w:cs="宋体"/>
                <w:kern w:val="20"/>
                <w:sz w:val="21"/>
                <w:szCs w:val="21"/>
                <w:highlight w:val="none"/>
              </w:rPr>
              <w:t>需要补充的其他内容：</w:t>
            </w:r>
          </w:p>
          <w:p w14:paraId="46BA4393">
            <w:pPr>
              <w:pStyle w:val="14"/>
              <w:keepNext w:val="0"/>
              <w:keepLines w:val="0"/>
              <w:pageBreakBefore w:val="0"/>
              <w:widowControl w:val="0"/>
              <w:kinsoku/>
              <w:wordWrap/>
              <w:overflowPunct/>
              <w:topLinePunct w:val="0"/>
              <w:autoSpaceDE/>
              <w:autoSpaceDN/>
              <w:bidi w:val="0"/>
              <w:adjustRightInd w:val="0"/>
              <w:snapToGrid w:val="0"/>
              <w:spacing w:line="360" w:lineRule="exact"/>
              <w:textAlignment w:val="baseline"/>
              <w:rPr>
                <w:rFonts w:hint="eastAsia" w:ascii="宋体" w:hAnsi="宋体" w:eastAsia="宋体" w:cs="宋体"/>
                <w:kern w:val="20"/>
                <w:sz w:val="21"/>
                <w:szCs w:val="21"/>
                <w:highlight w:val="none"/>
              </w:rPr>
            </w:pP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lang w:val="en-US" w:eastAsia="zh-CN"/>
              </w:rPr>
              <w:t>1</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rPr>
              <w:t>各评分因素</w:t>
            </w:r>
            <w:r>
              <w:rPr>
                <w:rFonts w:hint="eastAsia" w:ascii="宋体" w:hAnsi="宋体" w:eastAsia="宋体" w:cs="宋体"/>
                <w:sz w:val="21"/>
                <w:szCs w:val="21"/>
                <w:highlight w:val="none"/>
                <w:lang w:bidi="en-US"/>
              </w:rPr>
              <w:t>（</w:t>
            </w:r>
            <w:r>
              <w:rPr>
                <w:rFonts w:hint="eastAsia" w:ascii="宋体" w:hAnsi="宋体" w:eastAsia="宋体" w:cs="宋体"/>
                <w:sz w:val="21"/>
                <w:szCs w:val="21"/>
                <w:highlight w:val="none"/>
              </w:rPr>
              <w:t>评标价和履约信誉评分项除外）得分一般不得低于其权重分值的60%，且各评分因素得分应以评标委员会各成员的打分平均值确定。评标委员会成员总数为7人以上（含7人）时，该平均值以去掉一个最高分和一个最低分后计算。评标委员会成员对某一项评分因素的评分低于权重分值60%的，应在评标报告中做出说明。</w:t>
            </w:r>
          </w:p>
          <w:p w14:paraId="0F2B4FBC">
            <w:pPr>
              <w:pStyle w:val="14"/>
              <w:keepNext w:val="0"/>
              <w:keepLines w:val="0"/>
              <w:pageBreakBefore w:val="0"/>
              <w:widowControl w:val="0"/>
              <w:kinsoku/>
              <w:wordWrap/>
              <w:overflowPunct/>
              <w:topLinePunct w:val="0"/>
              <w:autoSpaceDE/>
              <w:autoSpaceDN/>
              <w:bidi w:val="0"/>
              <w:adjustRightInd w:val="0"/>
              <w:snapToGrid w:val="0"/>
              <w:spacing w:line="360" w:lineRule="exact"/>
              <w:ind w:left="0" w:leftChars="0" w:firstLine="420" w:firstLineChars="200"/>
              <w:textAlignment w:val="baseline"/>
              <w:rPr>
                <w:rFonts w:hint="eastAsia" w:ascii="宋体" w:hAnsi="宋体" w:eastAsia="宋体" w:cs="宋体"/>
                <w:sz w:val="21"/>
                <w:szCs w:val="21"/>
                <w:highlight w:val="none"/>
              </w:rPr>
            </w:pPr>
            <w:r>
              <w:rPr>
                <w:rFonts w:hint="eastAsia" w:ascii="宋体" w:hAnsi="宋体" w:eastAsia="宋体" w:cs="宋体"/>
                <w:b w:val="0"/>
                <w:bCs w:val="0"/>
                <w:sz w:val="21"/>
                <w:szCs w:val="21"/>
                <w:highlight w:val="none"/>
                <w:lang w:eastAsia="zh-CN"/>
              </w:rPr>
              <w:t>（</w:t>
            </w:r>
            <w:r>
              <w:rPr>
                <w:rFonts w:hint="eastAsia" w:ascii="宋体" w:hAnsi="宋体" w:eastAsia="宋体" w:cs="宋体"/>
                <w:b w:val="0"/>
                <w:bCs w:val="0"/>
                <w:sz w:val="21"/>
                <w:szCs w:val="21"/>
                <w:highlight w:val="none"/>
                <w:lang w:val="en-US" w:eastAsia="zh-CN"/>
              </w:rPr>
              <w:t>2</w:t>
            </w:r>
            <w:r>
              <w:rPr>
                <w:rFonts w:hint="eastAsia" w:ascii="宋体" w:hAnsi="宋体" w:eastAsia="宋体" w:cs="宋体"/>
                <w:b w:val="0"/>
                <w:bCs w:val="0"/>
                <w:sz w:val="21"/>
                <w:szCs w:val="21"/>
                <w:highlight w:val="none"/>
                <w:lang w:eastAsia="zh-CN"/>
              </w:rPr>
              <w:t>）</w:t>
            </w:r>
            <w:r>
              <w:rPr>
                <w:rFonts w:hint="eastAsia" w:ascii="宋体" w:hAnsi="宋体" w:eastAsia="宋体" w:cs="宋体"/>
                <w:b w:val="0"/>
                <w:bCs w:val="0"/>
                <w:sz w:val="21"/>
                <w:szCs w:val="21"/>
                <w:highlight w:val="none"/>
              </w:rPr>
              <w:t>投标文件的技术建议书采用</w:t>
            </w:r>
            <w:r>
              <w:rPr>
                <w:rFonts w:hint="eastAsia" w:ascii="宋体" w:hAnsi="宋体" w:eastAsia="宋体" w:cs="宋体"/>
                <w:sz w:val="21"/>
                <w:szCs w:val="21"/>
                <w:highlight w:val="none"/>
              </w:rPr>
              <w:t>“暗标”评</w:t>
            </w:r>
            <w:r>
              <w:rPr>
                <w:rFonts w:hint="eastAsia" w:ascii="宋体" w:hAnsi="宋体" w:eastAsia="宋体" w:cs="宋体"/>
                <w:b w:val="0"/>
                <w:bCs w:val="0"/>
                <w:sz w:val="21"/>
                <w:szCs w:val="21"/>
                <w:highlight w:val="none"/>
              </w:rPr>
              <w:t>审，</w:t>
            </w:r>
            <w:r>
              <w:rPr>
                <w:rFonts w:hint="eastAsia" w:ascii="宋体" w:hAnsi="宋体" w:eastAsia="宋体" w:cs="宋体"/>
                <w:sz w:val="21"/>
                <w:szCs w:val="21"/>
                <w:highlight w:val="none"/>
              </w:rPr>
              <w:t>如果某投标人的</w:t>
            </w:r>
            <w:r>
              <w:rPr>
                <w:rFonts w:hint="eastAsia" w:ascii="宋体" w:hAnsi="宋体" w:eastAsia="宋体" w:cs="宋体"/>
                <w:sz w:val="21"/>
                <w:szCs w:val="21"/>
                <w:highlight w:val="none"/>
                <w:lang w:val="en-US" w:eastAsia="zh-CN"/>
              </w:rPr>
              <w:t>技术建议书</w:t>
            </w:r>
            <w:r>
              <w:rPr>
                <w:rFonts w:hint="eastAsia" w:ascii="宋体" w:hAnsi="宋体" w:eastAsia="宋体" w:cs="宋体"/>
                <w:sz w:val="21"/>
                <w:szCs w:val="21"/>
                <w:highlight w:val="none"/>
              </w:rPr>
              <w:t>没有按照招标文件规定的</w:t>
            </w:r>
            <w:r>
              <w:rPr>
                <w:rFonts w:hint="eastAsia" w:ascii="宋体" w:hAnsi="宋体" w:eastAsia="宋体" w:cs="宋体"/>
                <w:sz w:val="21"/>
                <w:szCs w:val="21"/>
                <w:highlight w:val="none"/>
                <w:lang w:val="en-US" w:eastAsia="zh-CN"/>
              </w:rPr>
              <w:t>要求</w:t>
            </w:r>
            <w:r>
              <w:rPr>
                <w:rFonts w:hint="eastAsia" w:ascii="宋体" w:hAnsi="宋体" w:eastAsia="宋体" w:cs="宋体"/>
                <w:sz w:val="21"/>
                <w:szCs w:val="21"/>
                <w:highlight w:val="none"/>
              </w:rPr>
              <w:t>编制，</w:t>
            </w:r>
            <w:r>
              <w:rPr>
                <w:rFonts w:hint="eastAsia" w:ascii="宋体" w:hAnsi="宋体" w:eastAsia="宋体" w:cs="宋体"/>
                <w:sz w:val="21"/>
                <w:szCs w:val="21"/>
                <w:highlight w:val="none"/>
                <w:lang w:val="en-US" w:eastAsia="zh-CN"/>
              </w:rPr>
              <w:t>但</w:t>
            </w:r>
            <w:r>
              <w:rPr>
                <w:rFonts w:hint="eastAsia" w:ascii="宋体" w:hAnsi="宋体" w:eastAsia="宋体" w:cs="宋体"/>
                <w:b w:val="0"/>
                <w:bCs w:val="0"/>
                <w:sz w:val="21"/>
                <w:szCs w:val="21"/>
                <w:highlight w:val="none"/>
              </w:rPr>
              <w:t>技术建议书</w:t>
            </w:r>
            <w:r>
              <w:rPr>
                <w:rFonts w:hint="eastAsia" w:ascii="宋体" w:hAnsi="宋体" w:eastAsia="宋体" w:cs="宋体"/>
                <w:b w:val="0"/>
                <w:bCs w:val="0"/>
                <w:sz w:val="21"/>
                <w:szCs w:val="21"/>
                <w:highlight w:val="none"/>
                <w:lang w:val="en-US" w:eastAsia="zh-CN"/>
              </w:rPr>
              <w:t>没有</w:t>
            </w:r>
            <w:r>
              <w:rPr>
                <w:rFonts w:hint="eastAsia" w:ascii="宋体" w:hAnsi="宋体" w:eastAsia="宋体" w:cs="宋体"/>
                <w:b w:val="0"/>
                <w:bCs w:val="0"/>
                <w:sz w:val="21"/>
                <w:szCs w:val="21"/>
                <w:highlight w:val="none"/>
              </w:rPr>
              <w:t>出现能识别投标人的内容，</w:t>
            </w:r>
            <w:r>
              <w:rPr>
                <w:rFonts w:hint="eastAsia" w:ascii="宋体" w:hAnsi="宋体" w:eastAsia="宋体" w:cs="宋体"/>
                <w:b w:val="0"/>
                <w:bCs w:val="0"/>
                <w:sz w:val="21"/>
                <w:szCs w:val="21"/>
                <w:highlight w:val="none"/>
                <w:lang w:val="en-US" w:eastAsia="zh-CN"/>
              </w:rPr>
              <w:t>评标委员会可以在相应的评分因素中酌情扣分，最多可扣至0分；</w:t>
            </w:r>
            <w:r>
              <w:rPr>
                <w:rFonts w:hint="eastAsia" w:ascii="宋体" w:hAnsi="宋体" w:eastAsia="宋体" w:cs="宋体"/>
                <w:b w:val="0"/>
                <w:bCs w:val="0"/>
                <w:sz w:val="21"/>
                <w:szCs w:val="21"/>
                <w:highlight w:val="none"/>
              </w:rPr>
              <w:t>如果技术建议书出现能识别投标人的内容，经评标委员会</w:t>
            </w:r>
            <w:r>
              <w:rPr>
                <w:rFonts w:hint="eastAsia" w:ascii="宋体" w:hAnsi="宋体" w:eastAsia="宋体" w:cs="宋体"/>
                <w:b w:val="0"/>
                <w:bCs w:val="0"/>
                <w:sz w:val="21"/>
                <w:szCs w:val="21"/>
                <w:highlight w:val="none"/>
                <w:lang w:val="en-US" w:eastAsia="zh-CN"/>
              </w:rPr>
              <w:t>认定</w:t>
            </w:r>
            <w:r>
              <w:rPr>
                <w:rFonts w:hint="eastAsia" w:ascii="宋体" w:hAnsi="宋体" w:eastAsia="宋体" w:cs="宋体"/>
                <w:b w:val="0"/>
                <w:bCs w:val="0"/>
                <w:sz w:val="21"/>
                <w:szCs w:val="21"/>
                <w:highlight w:val="none"/>
              </w:rPr>
              <w:t>后，评标委员会应在详细评审中</w:t>
            </w:r>
            <w:r>
              <w:rPr>
                <w:rFonts w:hint="eastAsia" w:ascii="宋体" w:hAnsi="宋体" w:eastAsia="宋体" w:cs="宋体"/>
                <w:b w:val="0"/>
                <w:bCs w:val="0"/>
                <w:sz w:val="21"/>
                <w:szCs w:val="21"/>
                <w:highlight w:val="none"/>
                <w:lang w:val="en-US" w:eastAsia="zh-CN"/>
              </w:rPr>
              <w:t>否决其投标</w:t>
            </w:r>
            <w:r>
              <w:rPr>
                <w:rFonts w:hint="eastAsia" w:ascii="宋体" w:hAnsi="宋体" w:eastAsia="宋体" w:cs="宋体"/>
                <w:sz w:val="21"/>
                <w:szCs w:val="21"/>
                <w:highlight w:val="none"/>
              </w:rPr>
              <w:t>，并在评标报告中作出详细说明。</w:t>
            </w:r>
            <w:r>
              <w:rPr>
                <w:rFonts w:hint="eastAsia" w:ascii="宋体" w:hAnsi="宋体" w:eastAsia="宋体" w:cs="宋体"/>
                <w:b/>
                <w:bCs/>
                <w:sz w:val="21"/>
                <w:szCs w:val="21"/>
                <w:highlight w:val="none"/>
                <w:lang w:val="en-US" w:eastAsia="zh-CN"/>
              </w:rPr>
              <w:t>除能识别投标人情形外</w:t>
            </w:r>
            <w:r>
              <w:rPr>
                <w:rFonts w:hint="eastAsia" w:ascii="宋体" w:hAnsi="宋体" w:eastAsia="宋体" w:cs="宋体"/>
                <w:b/>
                <w:bCs/>
                <w:sz w:val="21"/>
                <w:szCs w:val="21"/>
                <w:highlight w:val="none"/>
              </w:rPr>
              <w:t>，不得因暗标格式问题</w:t>
            </w:r>
            <w:r>
              <w:rPr>
                <w:rFonts w:hint="eastAsia" w:ascii="宋体" w:hAnsi="宋体" w:eastAsia="宋体" w:cs="宋体"/>
                <w:b/>
                <w:bCs/>
                <w:sz w:val="21"/>
                <w:szCs w:val="21"/>
                <w:highlight w:val="none"/>
                <w:lang w:val="en-US" w:eastAsia="zh-CN"/>
              </w:rPr>
              <w:t>否决其投标</w:t>
            </w:r>
            <w:r>
              <w:rPr>
                <w:rFonts w:hint="eastAsia" w:ascii="宋体" w:hAnsi="宋体" w:eastAsia="宋体" w:cs="宋体"/>
                <w:b/>
                <w:bCs/>
                <w:sz w:val="21"/>
                <w:szCs w:val="21"/>
                <w:highlight w:val="none"/>
              </w:rPr>
              <w:t>。</w:t>
            </w:r>
          </w:p>
        </w:tc>
      </w:tr>
    </w:tbl>
    <w:p w14:paraId="1545C978">
      <w:pPr>
        <w:keepLines w:val="0"/>
        <w:pageBreakBefore w:val="0"/>
        <w:kinsoku/>
        <w:wordWrap/>
        <w:overflowPunct/>
        <w:topLinePunct w:val="0"/>
        <w:autoSpaceDE/>
        <w:autoSpaceDN/>
        <w:bidi w:val="0"/>
        <w:spacing w:line="360" w:lineRule="exact"/>
        <w:rPr>
          <w:rFonts w:hint="eastAsia" w:ascii="宋体" w:hAnsi="宋体" w:eastAsia="宋体" w:cs="宋体"/>
          <w:sz w:val="21"/>
          <w:szCs w:val="21"/>
          <w:highlight w:val="none"/>
        </w:rPr>
      </w:pPr>
    </w:p>
    <w:p w14:paraId="369A492C">
      <w:pPr>
        <w:keepLines w:val="0"/>
        <w:pageBreakBefore w:val="0"/>
        <w:kinsoku/>
        <w:wordWrap/>
        <w:overflowPunct/>
        <w:topLinePunct w:val="0"/>
        <w:autoSpaceDE/>
        <w:autoSpaceDN/>
        <w:bidi w:val="0"/>
        <w:spacing w:line="360" w:lineRule="exact"/>
        <w:rPr>
          <w:rFonts w:hint="eastAsia" w:ascii="宋体" w:hAnsi="宋体" w:eastAsia="宋体" w:cs="宋体"/>
          <w:b/>
          <w:sz w:val="21"/>
          <w:szCs w:val="21"/>
          <w:highlight w:val="none"/>
        </w:rPr>
      </w:pPr>
      <w:r>
        <w:rPr>
          <w:rFonts w:hint="eastAsia" w:ascii="宋体" w:hAnsi="宋体" w:eastAsia="宋体" w:cs="宋体"/>
          <w:b/>
          <w:sz w:val="21"/>
          <w:szCs w:val="21"/>
          <w:highlight w:val="none"/>
        </w:rPr>
        <w:t>四、联系方式</w:t>
      </w:r>
    </w:p>
    <w:tbl>
      <w:tblPr>
        <w:tblStyle w:val="6"/>
        <w:tblW w:w="0" w:type="auto"/>
        <w:tblInd w:w="0" w:type="dxa"/>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Layout w:type="fixed"/>
        <w:tblCellMar>
          <w:top w:w="0" w:type="dxa"/>
          <w:left w:w="108" w:type="dxa"/>
          <w:bottom w:w="0" w:type="dxa"/>
          <w:right w:w="108" w:type="dxa"/>
        </w:tblCellMar>
      </w:tblPr>
      <w:tblGrid>
        <w:gridCol w:w="9727"/>
      </w:tblGrid>
      <w:tr w14:paraId="12586AD6">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Ex>
        <w:trPr>
          <w:trHeight w:val="166" w:hRule="atLeast"/>
        </w:trPr>
        <w:tc>
          <w:tcPr>
            <w:tcW w:w="9727" w:type="dxa"/>
            <w:tcBorders>
              <w:top w:val="single" w:color="FFFFFF" w:sz="4" w:space="0"/>
              <w:left w:val="single" w:color="FFFFFF" w:sz="4" w:space="0"/>
              <w:bottom w:val="single" w:color="FFFFFF" w:sz="4" w:space="0"/>
              <w:right w:val="single" w:color="FFFFFF" w:sz="4" w:space="0"/>
            </w:tcBorders>
          </w:tcPr>
          <w:p w14:paraId="57F5F8D8">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both"/>
              <w:textAlignment w:val="auto"/>
              <w:rPr>
                <w:rFonts w:hint="eastAsia" w:ascii="宋体" w:hAnsi="宋体" w:eastAsia="宋体" w:cs="宋体"/>
                <w:color w:val="000000"/>
                <w:sz w:val="21"/>
                <w:szCs w:val="21"/>
                <w:highlight w:val="none"/>
              </w:rPr>
            </w:pPr>
            <w:r>
              <w:rPr>
                <w:rFonts w:hint="eastAsia" w:ascii="宋体" w:hAnsi="宋体" w:eastAsia="宋体" w:cs="宋体"/>
                <w:color w:val="000000" w:themeColor="text1"/>
                <w:sz w:val="21"/>
                <w:szCs w:val="21"/>
                <w:highlight w:val="none"/>
                <w:lang w:val="zh-CN" w:bidi="zh-CN"/>
              </w:rPr>
              <w:t>招 标 人：吉林省高速公路集团有限公司</w:t>
            </w:r>
          </w:p>
        </w:tc>
      </w:tr>
      <w:tr w14:paraId="63C55B32">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Ex>
        <w:trPr>
          <w:trHeight w:val="166" w:hRule="atLeast"/>
        </w:trPr>
        <w:tc>
          <w:tcPr>
            <w:tcW w:w="9727" w:type="dxa"/>
            <w:tcBorders>
              <w:top w:val="single" w:color="FFFFFF" w:sz="4" w:space="0"/>
              <w:left w:val="single" w:color="FFFFFF" w:sz="4" w:space="0"/>
              <w:bottom w:val="single" w:color="FFFFFF" w:sz="4" w:space="0"/>
              <w:right w:val="single" w:color="FFFFFF" w:sz="4" w:space="0"/>
            </w:tcBorders>
          </w:tcPr>
          <w:p w14:paraId="65074A96">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both"/>
              <w:textAlignment w:val="auto"/>
              <w:rPr>
                <w:rFonts w:hint="eastAsia" w:ascii="宋体" w:hAnsi="宋体" w:eastAsia="宋体" w:cs="宋体"/>
                <w:color w:val="000000"/>
                <w:sz w:val="21"/>
                <w:szCs w:val="21"/>
                <w:highlight w:val="none"/>
              </w:rPr>
            </w:pPr>
            <w:r>
              <w:rPr>
                <w:rFonts w:hint="eastAsia" w:ascii="宋体" w:hAnsi="宋体" w:eastAsia="宋体" w:cs="宋体"/>
                <w:color w:val="000000" w:themeColor="text1"/>
                <w:sz w:val="21"/>
                <w:szCs w:val="21"/>
                <w:highlight w:val="none"/>
                <w:lang w:val="zh-CN" w:bidi="zh-CN"/>
              </w:rPr>
              <w:t>地    址：长春市南关区人民大街11511号</w:t>
            </w:r>
          </w:p>
        </w:tc>
      </w:tr>
      <w:tr w14:paraId="668778D1">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Ex>
        <w:trPr>
          <w:trHeight w:val="166" w:hRule="atLeast"/>
        </w:trPr>
        <w:tc>
          <w:tcPr>
            <w:tcW w:w="9727" w:type="dxa"/>
            <w:tcBorders>
              <w:top w:val="single" w:color="FFFFFF" w:sz="4" w:space="0"/>
              <w:left w:val="single" w:color="FFFFFF" w:sz="4" w:space="0"/>
              <w:bottom w:val="single" w:color="FFFFFF" w:sz="4" w:space="0"/>
              <w:right w:val="single" w:color="FFFFFF" w:sz="4" w:space="0"/>
            </w:tcBorders>
          </w:tcPr>
          <w:p w14:paraId="25486CED">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both"/>
              <w:textAlignment w:val="auto"/>
              <w:rPr>
                <w:rFonts w:hint="eastAsia" w:ascii="宋体" w:hAnsi="宋体" w:eastAsia="宋体" w:cs="宋体"/>
                <w:color w:val="000000"/>
                <w:sz w:val="21"/>
                <w:szCs w:val="21"/>
                <w:highlight w:val="none"/>
              </w:rPr>
            </w:pPr>
            <w:r>
              <w:rPr>
                <w:rFonts w:hint="eastAsia" w:ascii="宋体" w:hAnsi="宋体" w:eastAsia="宋体" w:cs="宋体"/>
                <w:color w:val="000000" w:themeColor="text1"/>
                <w:sz w:val="21"/>
                <w:szCs w:val="21"/>
                <w:highlight w:val="none"/>
              </w:rPr>
              <w:t>联 系 人：于</w:t>
            </w:r>
            <w:r>
              <w:rPr>
                <w:rFonts w:hint="eastAsia" w:ascii="宋体" w:hAnsi="宋体" w:eastAsia="宋体" w:cs="宋体"/>
                <w:color w:val="000000" w:themeColor="text1"/>
                <w:sz w:val="21"/>
                <w:szCs w:val="21"/>
                <w:highlight w:val="none"/>
                <w:lang w:val="en-US" w:eastAsia="zh-CN"/>
              </w:rPr>
              <w:t>先生</w:t>
            </w:r>
          </w:p>
        </w:tc>
      </w:tr>
      <w:tr w14:paraId="176FC6A4">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Ex>
        <w:trPr>
          <w:trHeight w:val="90" w:hRule="atLeast"/>
        </w:trPr>
        <w:tc>
          <w:tcPr>
            <w:tcW w:w="9727" w:type="dxa"/>
            <w:tcBorders>
              <w:top w:val="single" w:color="FFFFFF" w:sz="4" w:space="0"/>
              <w:left w:val="single" w:color="FFFFFF" w:sz="4" w:space="0"/>
              <w:bottom w:val="single" w:color="FFFFFF" w:sz="4" w:space="0"/>
              <w:right w:val="single" w:color="FFFFFF" w:sz="4" w:space="0"/>
            </w:tcBorders>
          </w:tcPr>
          <w:p w14:paraId="7632D705">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both"/>
              <w:textAlignment w:val="auto"/>
              <w:rPr>
                <w:rFonts w:hint="eastAsia" w:ascii="宋体" w:hAnsi="宋体" w:eastAsia="宋体" w:cs="宋体"/>
                <w:color w:val="000000"/>
                <w:sz w:val="21"/>
                <w:szCs w:val="21"/>
                <w:highlight w:val="none"/>
              </w:rPr>
            </w:pPr>
            <w:r>
              <w:rPr>
                <w:rFonts w:hint="eastAsia" w:ascii="宋体" w:hAnsi="宋体" w:eastAsia="宋体" w:cs="宋体"/>
                <w:color w:val="000000" w:themeColor="text1"/>
                <w:sz w:val="21"/>
                <w:szCs w:val="21"/>
                <w:highlight w:val="none"/>
                <w:lang w:val="zh-CN" w:bidi="zh-CN"/>
              </w:rPr>
              <w:t>电    话：0431-85254020</w:t>
            </w:r>
          </w:p>
        </w:tc>
      </w:tr>
    </w:tbl>
    <w:p w14:paraId="5BED19E0">
      <w:pPr>
        <w:rPr>
          <w:rFonts w:asciiTheme="minorEastAsia" w:hAnsiTheme="minorEastAsia"/>
          <w:sz w:val="18"/>
        </w:rPr>
      </w:pPr>
    </w:p>
    <w:sectPr>
      <w:footnotePr>
        <w:numFmt w:val="decimalEnclosedCircleChinese"/>
        <w:numRestart w:val="eachPage"/>
      </w:footnotePr>
      <w:pgSz w:w="11906" w:h="16838"/>
      <w:pgMar w:top="1134" w:right="1134" w:bottom="1134"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ngLiU">
    <w:panose1 w:val="02020509000000000000"/>
    <w:charset w:val="88"/>
    <w:family w:val="modern"/>
    <w:pitch w:val="default"/>
    <w:sig w:usb0="A00002FF" w:usb1="28CFFCFA" w:usb2="00000016" w:usb3="00000000" w:csb0="00100001" w:csb1="00000000"/>
  </w:font>
  <w:font w:name="BatangChe">
    <w:panose1 w:val="02030609000101010101"/>
    <w:charset w:val="81"/>
    <w:family w:val="modern"/>
    <w:pitch w:val="default"/>
    <w:sig w:usb0="B00002AF" w:usb1="69D77CFB" w:usb2="00000030" w:usb3="00000000" w:csb0="4008009F" w:csb1="DFD7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6">
    <w:p>
      <w:r>
        <w:separator/>
      </w:r>
    </w:p>
  </w:footnote>
  <w:footnote w:type="continuationSeparator" w:id="7">
    <w:p>
      <w:r>
        <w:continuationSeparator/>
      </w:r>
    </w:p>
  </w:footnote>
  <w:footnote w:id="0">
    <w:p w14:paraId="2479A7EE">
      <w:pPr>
        <w:pStyle w:val="5"/>
      </w:pPr>
      <w:r>
        <w:rPr>
          <w:rStyle w:val="8"/>
        </w:rPr>
        <w:footnoteRef/>
      </w:r>
      <w:r>
        <w:rPr>
          <w:rFonts w:hint="eastAsia"/>
        </w:rPr>
        <w:t>本项规定仅适用于根据《关于发布公路工程从业企业资质名录的通知》（厅公路字</w:t>
      </w:r>
      <w:r>
        <w:t>[2011]114</w:t>
      </w:r>
      <w:r>
        <w:rPr>
          <w:rFonts w:hint="eastAsia"/>
        </w:rPr>
        <w:t>号）要求，招标人应通过名录对投标人资质条件进行审核的公路设计企业。</w:t>
      </w:r>
    </w:p>
  </w:footnote>
  <w:footnote w:id="1">
    <w:p w14:paraId="46ED8A40">
      <w:pPr>
        <w:pStyle w:val="5"/>
        <w:snapToGrid w:val="0"/>
        <w:rPr>
          <w:rFonts w:hint="eastAsia" w:ascii="宋体" w:hAnsi="宋体"/>
          <w:color w:val="000000"/>
          <w:lang w:val="zh-CN"/>
        </w:rPr>
      </w:pPr>
      <w:r>
        <w:rPr>
          <w:rStyle w:val="8"/>
        </w:rPr>
        <w:footnoteRef/>
      </w:r>
      <w:r>
        <w:rPr>
          <w:rFonts w:hint="eastAsia"/>
          <w:lang w:val="en-US" w:eastAsia="zh-CN"/>
        </w:rPr>
        <w:t>1.</w:t>
      </w:r>
      <w:r>
        <w:rPr>
          <w:rFonts w:hint="eastAsia" w:ascii="BatangChe" w:hAnsi="BatangChe"/>
          <w:b/>
        </w:rPr>
        <w:t>“</w:t>
      </w:r>
      <w:r>
        <w:rPr>
          <w:rFonts w:hint="eastAsia" w:ascii="BatangChe" w:hAnsi="BatangChe"/>
          <w:b/>
          <w:spacing w:val="-6"/>
        </w:rPr>
        <w:t>投标人自有人员”</w:t>
      </w:r>
      <w:r>
        <w:rPr>
          <w:rFonts w:hint="eastAsia" w:ascii="BatangChe" w:hAnsi="BatangChe"/>
          <w:spacing w:val="-6"/>
        </w:rPr>
        <w:t>指</w:t>
      </w:r>
      <w:r>
        <w:t>社保缴费证明中</w:t>
      </w:r>
      <w:r>
        <w:rPr>
          <w:rFonts w:hint="eastAsia" w:ascii="宋体" w:hAnsi="宋体"/>
        </w:rPr>
        <w:t>缴费单位与投标人名称一致</w:t>
      </w:r>
      <w:r>
        <w:rPr>
          <w:rFonts w:hint="eastAsia" w:ascii="宋体" w:hAnsi="宋体"/>
          <w:lang w:eastAsia="zh-CN"/>
        </w:rPr>
        <w:t>（</w:t>
      </w:r>
      <w:r>
        <w:rPr>
          <w:rFonts w:hint="eastAsia" w:ascii="宋体" w:hAnsi="宋体"/>
          <w:lang w:val="en-US" w:eastAsia="zh-CN"/>
        </w:rPr>
        <w:t>投标人的上级公司、子公司、人力资源服务机构等其他单位缴纳或个人缴纳社会保险均不予认定，分公司缴纳的社会保险可以予以认定</w:t>
      </w:r>
      <w:r>
        <w:rPr>
          <w:rFonts w:hint="eastAsia" w:ascii="宋体" w:hAnsi="宋体"/>
          <w:lang w:eastAsia="zh-CN"/>
        </w:rPr>
        <w:t>），</w:t>
      </w:r>
      <w:r>
        <w:rPr>
          <w:rFonts w:hint="eastAsia" w:ascii="宋体" w:hAnsi="宋体"/>
          <w:color w:val="000000"/>
          <w:lang w:val="zh-CN"/>
        </w:rPr>
        <w:t>如果投标人属事业法人单位，则应提供拟委任的</w:t>
      </w:r>
      <w:r>
        <w:rPr>
          <w:rFonts w:hint="eastAsia" w:ascii="宋体" w:hAnsi="宋体"/>
          <w:color w:val="000000"/>
          <w:lang w:val="en-US" w:eastAsia="zh-CN"/>
        </w:rPr>
        <w:t>项目负责人</w:t>
      </w:r>
      <w:r>
        <w:rPr>
          <w:rFonts w:hint="eastAsia" w:ascii="宋体" w:hAnsi="宋体"/>
          <w:color w:val="000000"/>
          <w:lang w:val="zh-CN"/>
        </w:rPr>
        <w:t>是投标人单位职工的有效书面证明材料。</w:t>
      </w:r>
    </w:p>
    <w:p w14:paraId="03C6D14F">
      <w:pPr>
        <w:pStyle w:val="5"/>
        <w:snapToGrid w:val="0"/>
        <w:rPr>
          <w:rFonts w:hint="eastAsia" w:ascii="宋体" w:hAnsi="宋体" w:eastAsia="宋体" w:cs="Times New Roman"/>
          <w:lang w:val="en-US" w:eastAsia="zh-CN"/>
        </w:rPr>
      </w:pPr>
      <w:r>
        <w:rPr>
          <w:rFonts w:hint="eastAsia" w:ascii="宋体" w:hAnsi="宋体" w:eastAsia="宋体" w:cs="Times New Roman"/>
          <w:lang w:val="en-US" w:eastAsia="zh-CN"/>
        </w:rPr>
        <w:t>2.以联合体形式投标的，分项负责人自有人员</w:t>
      </w:r>
      <w:bookmarkStart w:id="17" w:name="_Hlk207979575"/>
      <w:r>
        <w:rPr>
          <w:rFonts w:hint="eastAsia" w:ascii="宋体" w:hAnsi="宋体" w:eastAsia="宋体" w:cs="Times New Roman"/>
          <w:lang w:val="en-US" w:eastAsia="zh-CN"/>
        </w:rPr>
        <w:t>可为联合体任一成员单位的自有人员</w:t>
      </w:r>
      <w:bookmarkEnd w:id="17"/>
      <w:r>
        <w:rPr>
          <w:rFonts w:hint="eastAsia" w:ascii="宋体" w:hAnsi="宋体" w:eastAsia="宋体" w:cs="Times New Roman"/>
          <w:lang w:val="en-US" w:eastAsia="zh-CN"/>
        </w:rPr>
        <w:t>。</w:t>
      </w:r>
    </w:p>
  </w:footnote>
  <w:footnote w:id="2">
    <w:p w14:paraId="4C91D788">
      <w:pPr>
        <w:pStyle w:val="5"/>
        <w:snapToGrid w:val="0"/>
      </w:pPr>
      <w:r>
        <w:rPr>
          <w:rStyle w:val="8"/>
        </w:rPr>
        <w:footnoteRef/>
      </w:r>
      <w:r>
        <w:rPr>
          <w:rFonts w:hint="eastAsia" w:ascii="宋体" w:hAnsi="宋体" w:cs="宋体"/>
          <w:lang w:val="zh-CN"/>
        </w:rPr>
        <w:t>公路工程相关专业职称包括公路工程、桥梁工程、公路与桥梁工程、交通土建、隧道（地下结构）工程、交通工程等专业职称。如职称证上无专业，则以毕业证上的专业为准。</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3DBAD03"/>
    <w:multiLevelType w:val="singleLevel"/>
    <w:tmpl w:val="53DBAD0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footnotePr>
    <w:numFmt w:val="decimalEnclosedCircleChinese"/>
    <w:numRestart w:val="eachPage"/>
    <w:footnote w:id="6"/>
    <w:footnote w:id="7"/>
  </w:footnotePr>
  <w:compat>
    <w:spaceForUL/>
    <w:balanceSingleByteDoubleByteWidth/>
    <w:doNotLeaveBackslashAlone/>
    <w:ulTrailSpace/>
    <w:doNotExpandShiftReturn/>
    <w:adjustLineHeightInTable/>
    <w:useFELayout/>
    <w:compatSetting w:name="compatibilityMode" w:uri="http://schemas.microsoft.com/office/word" w:val="12"/>
  </w:compat>
  <w:rsids>
    <w:rsidRoot w:val="00DE1914"/>
    <w:rsid w:val="00007D0D"/>
    <w:rsid w:val="000C7FFE"/>
    <w:rsid w:val="001F4B00"/>
    <w:rsid w:val="001F767C"/>
    <w:rsid w:val="00250688"/>
    <w:rsid w:val="00316C16"/>
    <w:rsid w:val="003171A3"/>
    <w:rsid w:val="0037455E"/>
    <w:rsid w:val="003E1571"/>
    <w:rsid w:val="00530DB1"/>
    <w:rsid w:val="005C0428"/>
    <w:rsid w:val="00643E44"/>
    <w:rsid w:val="006A39C9"/>
    <w:rsid w:val="006C28DA"/>
    <w:rsid w:val="006D6162"/>
    <w:rsid w:val="0072686E"/>
    <w:rsid w:val="00786838"/>
    <w:rsid w:val="00810ED6"/>
    <w:rsid w:val="008715DB"/>
    <w:rsid w:val="00873F02"/>
    <w:rsid w:val="008E2951"/>
    <w:rsid w:val="009B01BC"/>
    <w:rsid w:val="009D3B6D"/>
    <w:rsid w:val="00A73217"/>
    <w:rsid w:val="00AB197A"/>
    <w:rsid w:val="00B77B1E"/>
    <w:rsid w:val="00BB6447"/>
    <w:rsid w:val="00BE0105"/>
    <w:rsid w:val="00C15CD1"/>
    <w:rsid w:val="00C40C09"/>
    <w:rsid w:val="00CA3A18"/>
    <w:rsid w:val="00D57E3A"/>
    <w:rsid w:val="00DC39DC"/>
    <w:rsid w:val="00DE1914"/>
    <w:rsid w:val="00DF2D8E"/>
    <w:rsid w:val="00E16787"/>
    <w:rsid w:val="00E7408A"/>
    <w:rsid w:val="00EA5385"/>
    <w:rsid w:val="00F641C5"/>
    <w:rsid w:val="00FC5FAE"/>
    <w:rsid w:val="00FD038E"/>
    <w:rsid w:val="00FF554C"/>
    <w:rsid w:val="07C911F2"/>
    <w:rsid w:val="07E977C7"/>
    <w:rsid w:val="12BE7183"/>
    <w:rsid w:val="18203860"/>
    <w:rsid w:val="315468C5"/>
    <w:rsid w:val="38404012"/>
    <w:rsid w:val="39C41070"/>
    <w:rsid w:val="3D227157"/>
    <w:rsid w:val="3DB2627F"/>
    <w:rsid w:val="3F860355"/>
    <w:rsid w:val="58F2172B"/>
    <w:rsid w:val="5AD5267A"/>
    <w:rsid w:val="5F2137CD"/>
    <w:rsid w:val="6E8121ED"/>
    <w:rsid w:val="77141486"/>
    <w:rsid w:val="7D6A30B8"/>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qFormat="1" w:uiPriority="99" w:semiHidden="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nhideWhenUsed="0" w:uiPriority="0" w:semiHidden="0"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Normal Indent"/>
    <w:basedOn w:val="1"/>
    <w:qFormat/>
    <w:uiPriority w:val="0"/>
    <w:pPr>
      <w:widowControl/>
      <w:ind w:firstLine="420" w:firstLineChars="200"/>
      <w:jc w:val="center"/>
    </w:pPr>
    <w:rPr>
      <w:rFonts w:ascii="Times New Roman" w:hAnsi="Times New Roman" w:eastAsia="宋体" w:cs="Times New Roman"/>
      <w:b/>
      <w:kern w:val="0"/>
      <w:sz w:val="44"/>
      <w:szCs w:val="20"/>
    </w:rPr>
  </w:style>
  <w:style w:type="paragraph" w:styleId="3">
    <w:name w:val="footer"/>
    <w:basedOn w:val="1"/>
    <w:link w:val="19"/>
    <w:unhideWhenUsed/>
    <w:qFormat/>
    <w:uiPriority w:val="99"/>
    <w:pPr>
      <w:tabs>
        <w:tab w:val="center" w:pos="4153"/>
        <w:tab w:val="right" w:pos="8306"/>
      </w:tabs>
      <w:snapToGrid w:val="0"/>
      <w:jc w:val="left"/>
    </w:pPr>
    <w:rPr>
      <w:sz w:val="18"/>
      <w:szCs w:val="18"/>
    </w:rPr>
  </w:style>
  <w:style w:type="paragraph" w:styleId="4">
    <w:name w:val="header"/>
    <w:basedOn w:val="1"/>
    <w:link w:val="18"/>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footnote text"/>
    <w:basedOn w:val="1"/>
    <w:link w:val="11"/>
    <w:unhideWhenUsed/>
    <w:qFormat/>
    <w:uiPriority w:val="99"/>
    <w:pPr>
      <w:snapToGrid w:val="0"/>
      <w:jc w:val="left"/>
    </w:pPr>
    <w:rPr>
      <w:rFonts w:ascii="Times New Roman" w:hAnsi="Times New Roman" w:eastAsia="宋体" w:cs="Times New Roman"/>
      <w:kern w:val="0"/>
      <w:sz w:val="18"/>
      <w:szCs w:val="18"/>
    </w:rPr>
  </w:style>
  <w:style w:type="character" w:styleId="8">
    <w:name w:val="footnote reference"/>
    <w:qFormat/>
    <w:uiPriority w:val="0"/>
    <w:rPr>
      <w:vertAlign w:val="superscript"/>
    </w:rPr>
  </w:style>
  <w:style w:type="character" w:customStyle="1" w:styleId="9">
    <w:name w:val="其他_"/>
    <w:link w:val="10"/>
    <w:qFormat/>
    <w:uiPriority w:val="0"/>
    <w:rPr>
      <w:rFonts w:ascii="宋体" w:hAnsi="宋体" w:cs="宋体"/>
      <w:shd w:val="clear" w:color="auto" w:fill="FFFFFF"/>
      <w:lang w:val="zh-CN" w:bidi="zh-CN"/>
    </w:rPr>
  </w:style>
  <w:style w:type="paragraph" w:customStyle="1" w:styleId="10">
    <w:name w:val="其他"/>
    <w:basedOn w:val="1"/>
    <w:link w:val="9"/>
    <w:qFormat/>
    <w:uiPriority w:val="0"/>
    <w:pPr>
      <w:shd w:val="clear" w:color="auto" w:fill="FFFFFF"/>
      <w:spacing w:line="430" w:lineRule="auto"/>
      <w:ind w:firstLine="400"/>
      <w:jc w:val="distribute"/>
    </w:pPr>
    <w:rPr>
      <w:rFonts w:ascii="宋体" w:hAnsi="宋体" w:cs="宋体"/>
      <w:lang w:val="zh-CN" w:bidi="zh-CN"/>
    </w:rPr>
  </w:style>
  <w:style w:type="character" w:customStyle="1" w:styleId="11">
    <w:name w:val="脚注文本 字符"/>
    <w:basedOn w:val="7"/>
    <w:link w:val="5"/>
    <w:qFormat/>
    <w:uiPriority w:val="99"/>
    <w:rPr>
      <w:rFonts w:ascii="Times New Roman" w:hAnsi="Times New Roman" w:eastAsia="宋体" w:cs="Times New Roman"/>
      <w:kern w:val="0"/>
      <w:sz w:val="18"/>
      <w:szCs w:val="18"/>
    </w:rPr>
  </w:style>
  <w:style w:type="character" w:customStyle="1" w:styleId="12">
    <w:name w:val="正文文本 (2)_"/>
    <w:link w:val="13"/>
    <w:qFormat/>
    <w:uiPriority w:val="0"/>
    <w:rPr>
      <w:rFonts w:ascii="宋体" w:hAnsi="宋体" w:cs="宋体"/>
      <w:sz w:val="22"/>
      <w:shd w:val="clear" w:color="auto" w:fill="FFFFFF"/>
    </w:rPr>
  </w:style>
  <w:style w:type="paragraph" w:customStyle="1" w:styleId="13">
    <w:name w:val="正文文本 (2)"/>
    <w:basedOn w:val="1"/>
    <w:link w:val="12"/>
    <w:qFormat/>
    <w:uiPriority w:val="0"/>
    <w:pPr>
      <w:shd w:val="clear" w:color="auto" w:fill="FFFFFF"/>
      <w:spacing w:before="300" w:line="439" w:lineRule="exact"/>
      <w:jc w:val="distribute"/>
    </w:pPr>
    <w:rPr>
      <w:rFonts w:ascii="宋体" w:hAnsi="宋体" w:cs="宋体"/>
      <w:sz w:val="22"/>
    </w:rPr>
  </w:style>
  <w:style w:type="paragraph" w:styleId="14">
    <w:name w:val="List Paragraph"/>
    <w:basedOn w:val="1"/>
    <w:qFormat/>
    <w:uiPriority w:val="34"/>
    <w:pPr>
      <w:ind w:firstLine="420" w:firstLineChars="200"/>
    </w:pPr>
    <w:rPr>
      <w:rFonts w:ascii="Times New Roman" w:hAnsi="Times New Roman" w:eastAsia="宋体" w:cs="Times New Roman"/>
    </w:rPr>
  </w:style>
  <w:style w:type="character" w:customStyle="1" w:styleId="15">
    <w:name w:val="正文文本 (2) + 9.5 pt"/>
    <w:qFormat/>
    <w:uiPriority w:val="0"/>
    <w:rPr>
      <w:rFonts w:ascii="MingLiU" w:hAnsi="MingLiU" w:eastAsia="MingLiU" w:cs="MingLiU"/>
      <w:color w:val="000000"/>
      <w:spacing w:val="0"/>
      <w:w w:val="100"/>
      <w:position w:val="0"/>
      <w:sz w:val="19"/>
      <w:szCs w:val="19"/>
      <w:shd w:val="clear" w:color="auto" w:fill="FFFFFF"/>
      <w:lang w:val="zh-TW" w:eastAsia="zh-TW" w:bidi="zh-TW"/>
    </w:rPr>
  </w:style>
  <w:style w:type="character" w:customStyle="1" w:styleId="16">
    <w:name w:val="正文文本 (2) + 10 pt"/>
    <w:qFormat/>
    <w:uiPriority w:val="0"/>
    <w:rPr>
      <w:rFonts w:ascii="MingLiU" w:hAnsi="MingLiU" w:eastAsia="MingLiU" w:cs="MingLiU"/>
      <w:b/>
      <w:bCs/>
      <w:color w:val="000000"/>
      <w:spacing w:val="0"/>
      <w:w w:val="100"/>
      <w:position w:val="0"/>
      <w:sz w:val="20"/>
      <w:szCs w:val="20"/>
      <w:u w:val="none"/>
      <w:lang w:val="zh-TW" w:eastAsia="zh-TW" w:bidi="zh-TW"/>
    </w:rPr>
  </w:style>
  <w:style w:type="character" w:customStyle="1" w:styleId="17">
    <w:name w:val="正文文本 (2) + 9 pt"/>
    <w:qFormat/>
    <w:uiPriority w:val="0"/>
    <w:rPr>
      <w:rFonts w:ascii="MingLiU" w:hAnsi="MingLiU" w:eastAsia="MingLiU" w:cs="MingLiU"/>
      <w:color w:val="000000"/>
      <w:spacing w:val="0"/>
      <w:w w:val="100"/>
      <w:position w:val="0"/>
      <w:sz w:val="18"/>
      <w:szCs w:val="18"/>
      <w:u w:val="none"/>
      <w:shd w:val="clear" w:color="auto" w:fill="FFFFFF"/>
      <w:lang w:val="en-US" w:eastAsia="en-US" w:bidi="en-US"/>
    </w:rPr>
  </w:style>
  <w:style w:type="character" w:customStyle="1" w:styleId="18">
    <w:name w:val="页眉 字符"/>
    <w:basedOn w:val="7"/>
    <w:link w:val="4"/>
    <w:qFormat/>
    <w:uiPriority w:val="99"/>
    <w:rPr>
      <w:sz w:val="18"/>
      <w:szCs w:val="18"/>
    </w:rPr>
  </w:style>
  <w:style w:type="character" w:customStyle="1" w:styleId="19">
    <w:name w:val="页脚 字符"/>
    <w:basedOn w:val="7"/>
    <w:link w:val="3"/>
    <w:qFormat/>
    <w:uiPriority w:val="99"/>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5D1415-EB3F-4E4B-8E9A-7202B2D1D162}">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9</Pages>
  <Words>3653</Words>
  <Characters>3833</Characters>
  <Lines>42</Lines>
  <Paragraphs>12</Paragraphs>
  <TotalTime>2</TotalTime>
  <ScaleCrop>false</ScaleCrop>
  <LinksUpToDate>false</LinksUpToDate>
  <CharactersWithSpaces>3842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2021-08-02T04:08:00Z</dcterms:created>
  <dc:creator>微软用户</dc:creator>
  <cp:lastModifiedBy>丁聪</cp:lastModifiedBy>
  <dcterms:modified xsi:type="dcterms:W3CDTF">2026-09-23T01:01:34Z</dcterms:modified>
  <cp:revision>30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eyJoZGlkIjoiYzA1Y2IwMGUwOTFkODdiMzk0YjlkMmEyYTgwYWJjNzEiLCJ1c2VySWQiOiIyNDUwODQ0ODUifQ==</vt:lpwstr>
  </property>
  <property fmtid="{D5CDD505-2E9C-101B-9397-08002B2CF9AE}" pid="3" name="KSOProductBuildVer">
    <vt:lpwstr>2052-12.1.0.28505</vt:lpwstr>
  </property>
  <property fmtid="{D5CDD505-2E9C-101B-9397-08002B2CF9AE}" pid="4" name="ICV">
    <vt:lpwstr>D3FFF19BAB014F3AB6904F72D2573AD4_12</vt:lpwstr>
  </property>
</Properties>
</file>