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E8A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eastAsia="zh-CN"/>
        </w:rPr>
      </w:pPr>
      <w:bookmarkStart w:id="0" w:name="_Hlk141166984"/>
      <w:bookmarkStart w:id="18" w:name="_GoBack"/>
      <w:bookmarkEnd w:id="18"/>
      <w:r>
        <w:rPr>
          <w:rFonts w:hint="eastAsia" w:ascii="宋体" w:hAnsi="宋体" w:eastAsia="宋体" w:cs="宋体"/>
          <w:b/>
          <w:sz w:val="21"/>
          <w:szCs w:val="21"/>
          <w:lang w:val="en-US" w:eastAsia="zh-CN"/>
        </w:rPr>
        <w:t>长春</w:t>
      </w:r>
      <w:r>
        <w:rPr>
          <w:rFonts w:hint="eastAsia" w:ascii="宋体" w:hAnsi="宋体" w:eastAsia="宋体" w:cs="宋体"/>
          <w:b/>
          <w:sz w:val="21"/>
          <w:szCs w:val="21"/>
          <w:lang w:eastAsia="zh-CN"/>
        </w:rPr>
        <w:t>市202</w:t>
      </w:r>
      <w:r>
        <w:rPr>
          <w:rFonts w:hint="eastAsia" w:ascii="宋体" w:hAnsi="宋体" w:eastAsia="宋体" w:cs="宋体"/>
          <w:b/>
          <w:sz w:val="21"/>
          <w:szCs w:val="21"/>
          <w:lang w:val="en-US" w:eastAsia="zh-CN"/>
        </w:rPr>
        <w:t>6</w:t>
      </w:r>
      <w:r>
        <w:rPr>
          <w:rFonts w:hint="eastAsia" w:ascii="宋体" w:hAnsi="宋体" w:eastAsia="宋体" w:cs="宋体"/>
          <w:b/>
          <w:sz w:val="21"/>
          <w:szCs w:val="21"/>
          <w:lang w:eastAsia="zh-CN"/>
        </w:rPr>
        <w:t>年</w:t>
      </w:r>
      <w:r>
        <w:rPr>
          <w:rFonts w:hint="eastAsia" w:ascii="宋体" w:hAnsi="宋体" w:eastAsia="宋体" w:cs="宋体"/>
          <w:b/>
          <w:sz w:val="21"/>
          <w:szCs w:val="21"/>
          <w:lang w:val="en-US" w:eastAsia="zh-CN"/>
        </w:rPr>
        <w:t>G503国道五通公路榆树市北环路段增设排水设施工程和长春市2026年普通国省干线公路标线恢复及安全提升（隐患整治）工程</w:t>
      </w:r>
      <w:r>
        <w:rPr>
          <w:rFonts w:hint="eastAsia" w:ascii="宋体" w:hAnsi="宋体" w:eastAsia="宋体" w:cs="宋体"/>
          <w:b/>
          <w:sz w:val="21"/>
          <w:szCs w:val="21"/>
          <w:lang w:eastAsia="zh-CN"/>
        </w:rPr>
        <w:t>施工</w:t>
      </w:r>
    </w:p>
    <w:p w14:paraId="2941CA4A">
      <w:pPr>
        <w:keepLines w:val="0"/>
        <w:kinsoku/>
        <w:wordWrap/>
        <w:overflowPunct/>
        <w:topLinePunct w:val="0"/>
        <w:bidi w:val="0"/>
        <w:spacing w:line="3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lang w:eastAsia="zh-CN"/>
        </w:rPr>
        <w:t>招标</w:t>
      </w:r>
      <w:bookmarkEnd w:id="0"/>
      <w:r>
        <w:rPr>
          <w:rFonts w:hint="eastAsia" w:ascii="宋体" w:hAnsi="宋体" w:eastAsia="宋体" w:cs="宋体"/>
          <w:b/>
          <w:sz w:val="21"/>
          <w:szCs w:val="21"/>
        </w:rPr>
        <w:t>文件公开内容</w:t>
      </w:r>
    </w:p>
    <w:p w14:paraId="5BFA3234">
      <w:pPr>
        <w:keepLines w:val="0"/>
        <w:tabs>
          <w:tab w:val="center" w:pos="4819"/>
        </w:tabs>
        <w:kinsoku/>
        <w:wordWrap/>
        <w:overflowPunct/>
        <w:topLinePunct w:val="0"/>
        <w:bidi w:val="0"/>
        <w:spacing w:line="360" w:lineRule="exact"/>
        <w:textAlignment w:val="auto"/>
        <w:rPr>
          <w:rFonts w:hint="eastAsia" w:ascii="宋体" w:hAnsi="宋体" w:eastAsia="宋体" w:cs="宋体"/>
          <w:b/>
          <w:sz w:val="21"/>
          <w:szCs w:val="21"/>
        </w:rPr>
      </w:pPr>
      <w:r>
        <w:rPr>
          <w:rFonts w:hint="eastAsia" w:ascii="宋体" w:hAnsi="宋体" w:eastAsia="宋体" w:cs="宋体"/>
          <w:b/>
          <w:sz w:val="21"/>
          <w:szCs w:val="21"/>
        </w:rPr>
        <w:t>一、项目概况与招标范围</w:t>
      </w:r>
      <w:r>
        <w:rPr>
          <w:rFonts w:hint="eastAsia" w:ascii="宋体" w:hAnsi="宋体" w:eastAsia="宋体" w:cs="宋体"/>
          <w:b/>
          <w:sz w:val="21"/>
          <w:szCs w:val="21"/>
        </w:rPr>
        <w:tab/>
      </w:r>
    </w:p>
    <w:p w14:paraId="2864CD02">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详见招标公告</w:t>
      </w:r>
    </w:p>
    <w:p w14:paraId="3E199095">
      <w:pPr>
        <w:keepLines w:val="0"/>
        <w:kinsoku/>
        <w:wordWrap/>
        <w:overflowPunct/>
        <w:topLinePunct w:val="0"/>
        <w:bidi w:val="0"/>
        <w:spacing w:line="360" w:lineRule="exact"/>
        <w:textAlignment w:val="auto"/>
        <w:rPr>
          <w:rFonts w:hint="eastAsia" w:ascii="宋体" w:hAnsi="宋体" w:eastAsia="宋体" w:cs="宋体"/>
          <w:b/>
          <w:sz w:val="21"/>
          <w:szCs w:val="21"/>
        </w:rPr>
      </w:pPr>
      <w:r>
        <w:rPr>
          <w:rFonts w:hint="eastAsia" w:ascii="宋体" w:hAnsi="宋体" w:eastAsia="宋体" w:cs="宋体"/>
          <w:b/>
          <w:sz w:val="21"/>
          <w:szCs w:val="21"/>
        </w:rPr>
        <w:t>二、投标人资格要求</w:t>
      </w:r>
    </w:p>
    <w:p w14:paraId="75CC6936">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投标人须知前附表（投标人资格要求部分）</w:t>
      </w:r>
    </w:p>
    <w:tbl>
      <w:tblPr>
        <w:tblStyle w:val="11"/>
        <w:tblW w:w="9475" w:type="dxa"/>
        <w:jc w:val="center"/>
        <w:tblLayout w:type="fixed"/>
        <w:tblCellMar>
          <w:top w:w="0" w:type="dxa"/>
          <w:left w:w="28" w:type="dxa"/>
          <w:bottom w:w="0" w:type="dxa"/>
          <w:right w:w="28" w:type="dxa"/>
        </w:tblCellMar>
      </w:tblPr>
      <w:tblGrid>
        <w:gridCol w:w="953"/>
        <w:gridCol w:w="2006"/>
        <w:gridCol w:w="6516"/>
      </w:tblGrid>
      <w:tr w14:paraId="50334ED8">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3DED2897">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条款号</w:t>
            </w:r>
          </w:p>
        </w:tc>
        <w:tc>
          <w:tcPr>
            <w:tcW w:w="2006" w:type="dxa"/>
            <w:tcBorders>
              <w:top w:val="single" w:color="000000" w:sz="4" w:space="0"/>
              <w:left w:val="single" w:color="000000" w:sz="4" w:space="0"/>
              <w:bottom w:val="single" w:color="000000" w:sz="4" w:space="0"/>
              <w:right w:val="single" w:color="000000" w:sz="4" w:space="0"/>
            </w:tcBorders>
            <w:vAlign w:val="center"/>
          </w:tcPr>
          <w:p w14:paraId="4E3AF8F4">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条款名称</w:t>
            </w:r>
          </w:p>
        </w:tc>
        <w:tc>
          <w:tcPr>
            <w:tcW w:w="6516" w:type="dxa"/>
            <w:tcBorders>
              <w:top w:val="single" w:color="000000" w:sz="4" w:space="0"/>
              <w:left w:val="single" w:color="000000" w:sz="4" w:space="0"/>
              <w:bottom w:val="single" w:color="000000" w:sz="4" w:space="0"/>
              <w:right w:val="single" w:color="auto" w:sz="12" w:space="0"/>
            </w:tcBorders>
            <w:vAlign w:val="center"/>
          </w:tcPr>
          <w:p w14:paraId="476D8926">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编列内容</w:t>
            </w:r>
          </w:p>
        </w:tc>
      </w:tr>
      <w:tr w14:paraId="2CA833FA">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5B649EB7">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ascii="宋体" w:hAnsi="宋体"/>
                <w:color w:val="auto"/>
                <w:szCs w:val="21"/>
                <w:highlight w:val="none"/>
              </w:rPr>
              <w:t>1.4.1</w:t>
            </w:r>
          </w:p>
        </w:tc>
        <w:tc>
          <w:tcPr>
            <w:tcW w:w="2006" w:type="dxa"/>
            <w:tcBorders>
              <w:top w:val="single" w:color="000000" w:sz="4" w:space="0"/>
              <w:left w:val="single" w:color="000000" w:sz="4" w:space="0"/>
              <w:bottom w:val="single" w:color="000000" w:sz="4" w:space="0"/>
              <w:right w:val="single" w:color="000000" w:sz="4" w:space="0"/>
            </w:tcBorders>
            <w:vAlign w:val="center"/>
          </w:tcPr>
          <w:p w14:paraId="4401E023">
            <w:pPr>
              <w:keepLines w:val="0"/>
              <w:kinsoku/>
              <w:wordWrap/>
              <w:overflowPunct/>
              <w:topLinePunct w:val="0"/>
              <w:bidi w:val="0"/>
              <w:spacing w:line="360" w:lineRule="exact"/>
              <w:jc w:val="center"/>
              <w:textAlignment w:val="auto"/>
              <w:rPr>
                <w:rFonts w:hAnsi="宋体"/>
                <w:color w:val="auto"/>
                <w:szCs w:val="21"/>
                <w:highlight w:val="none"/>
              </w:rPr>
            </w:pPr>
            <w:r>
              <w:rPr>
                <w:rFonts w:hint="eastAsia" w:hAnsi="宋体"/>
                <w:color w:val="auto"/>
                <w:szCs w:val="21"/>
                <w:highlight w:val="none"/>
              </w:rPr>
              <w:t>投标人资质条件、</w:t>
            </w:r>
          </w:p>
          <w:p w14:paraId="4E7FB546">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hAnsi="宋体"/>
                <w:color w:val="auto"/>
                <w:szCs w:val="21"/>
                <w:highlight w:val="none"/>
              </w:rPr>
              <w:t>能力和信誉</w:t>
            </w:r>
          </w:p>
        </w:tc>
        <w:tc>
          <w:tcPr>
            <w:tcW w:w="6516" w:type="dxa"/>
            <w:tcBorders>
              <w:top w:val="single" w:color="000000" w:sz="4" w:space="0"/>
              <w:left w:val="single" w:color="000000" w:sz="4" w:space="0"/>
              <w:bottom w:val="single" w:color="000000" w:sz="4" w:space="0"/>
              <w:right w:val="single" w:color="auto" w:sz="12" w:space="0"/>
            </w:tcBorders>
            <w:vAlign w:val="center"/>
          </w:tcPr>
          <w:p w14:paraId="1B4D282B">
            <w:pPr>
              <w:keepLines w:val="0"/>
              <w:kinsoku/>
              <w:wordWrap/>
              <w:overflowPunct/>
              <w:topLinePunct w:val="0"/>
              <w:bidi w:val="0"/>
              <w:spacing w:line="360" w:lineRule="exact"/>
              <w:textAlignment w:val="auto"/>
              <w:rPr>
                <w:rFonts w:ascii="宋体" w:hAnsi="宋体"/>
                <w:color w:val="auto"/>
                <w:szCs w:val="21"/>
                <w:highlight w:val="none"/>
              </w:rPr>
            </w:pPr>
            <w:r>
              <w:rPr>
                <w:rFonts w:hint="eastAsia"/>
                <w:color w:val="auto"/>
                <w:szCs w:val="21"/>
                <w:highlight w:val="none"/>
              </w:rPr>
              <w:t>资质</w:t>
            </w:r>
            <w:r>
              <w:rPr>
                <w:rFonts w:hint="eastAsia"/>
                <w:color w:val="auto"/>
                <w:szCs w:val="21"/>
                <w:highlight w:val="none"/>
                <w:lang w:val="en-US" w:eastAsia="zh-CN"/>
              </w:rPr>
              <w:t>要求</w:t>
            </w:r>
            <w:r>
              <w:rPr>
                <w:rFonts w:hint="eastAsia"/>
                <w:color w:val="auto"/>
                <w:szCs w:val="21"/>
                <w:highlight w:val="none"/>
              </w:rPr>
              <w:t>：</w:t>
            </w:r>
            <w:r>
              <w:rPr>
                <w:rFonts w:hint="eastAsia" w:ascii="宋体" w:hAnsi="宋体"/>
                <w:color w:val="auto"/>
                <w:szCs w:val="21"/>
                <w:highlight w:val="none"/>
              </w:rPr>
              <w:t>见附录1</w:t>
            </w:r>
          </w:p>
          <w:p w14:paraId="7495260E">
            <w:pPr>
              <w:keepLines w:val="0"/>
              <w:kinsoku/>
              <w:wordWrap/>
              <w:overflowPunct/>
              <w:topLinePunct w:val="0"/>
              <w:bidi w:val="0"/>
              <w:spacing w:line="360" w:lineRule="exact"/>
              <w:textAlignment w:val="auto"/>
              <w:rPr>
                <w:rFonts w:ascii="宋体" w:hAnsi="宋体"/>
                <w:color w:val="auto"/>
                <w:szCs w:val="21"/>
                <w:highlight w:val="none"/>
              </w:rPr>
            </w:pPr>
            <w:r>
              <w:rPr>
                <w:rFonts w:hint="eastAsia" w:ascii="宋体" w:hAnsi="宋体"/>
                <w:color w:val="auto"/>
                <w:szCs w:val="21"/>
                <w:highlight w:val="none"/>
              </w:rPr>
              <w:t>财务要求：见附录2</w:t>
            </w:r>
          </w:p>
          <w:p w14:paraId="3FA3014A">
            <w:pPr>
              <w:keepLines w:val="0"/>
              <w:kinsoku/>
              <w:wordWrap/>
              <w:overflowPunct/>
              <w:topLinePunct w:val="0"/>
              <w:bidi w:val="0"/>
              <w:spacing w:line="360" w:lineRule="exact"/>
              <w:textAlignment w:val="auto"/>
              <w:rPr>
                <w:rFonts w:ascii="宋体" w:hAnsi="宋体"/>
                <w:color w:val="auto"/>
                <w:szCs w:val="21"/>
                <w:highlight w:val="none"/>
              </w:rPr>
            </w:pPr>
            <w:r>
              <w:rPr>
                <w:rFonts w:hint="eastAsia" w:ascii="宋体" w:hAnsi="宋体"/>
                <w:color w:val="auto"/>
                <w:szCs w:val="21"/>
                <w:highlight w:val="none"/>
              </w:rPr>
              <w:t>业绩要求：见附录3</w:t>
            </w:r>
          </w:p>
          <w:p w14:paraId="41ECD748">
            <w:pPr>
              <w:keepLines w:val="0"/>
              <w:kinsoku/>
              <w:wordWrap/>
              <w:overflowPunct/>
              <w:topLinePunct w:val="0"/>
              <w:bidi w:val="0"/>
              <w:spacing w:line="360" w:lineRule="exact"/>
              <w:textAlignment w:val="auto"/>
              <w:rPr>
                <w:rFonts w:ascii="宋体" w:hAnsi="宋体"/>
                <w:color w:val="auto"/>
                <w:szCs w:val="21"/>
                <w:highlight w:val="none"/>
              </w:rPr>
            </w:pPr>
            <w:r>
              <w:rPr>
                <w:rFonts w:hint="eastAsia" w:ascii="宋体" w:hAnsi="宋体"/>
                <w:color w:val="auto"/>
                <w:szCs w:val="21"/>
                <w:highlight w:val="none"/>
              </w:rPr>
              <w:t>信誉要求：见附录4</w:t>
            </w:r>
          </w:p>
          <w:p w14:paraId="4E93550C">
            <w:pPr>
              <w:keepLines w:val="0"/>
              <w:kinsoku/>
              <w:wordWrap/>
              <w:overflowPunct/>
              <w:topLinePunct w:val="0"/>
              <w:bidi w:val="0"/>
              <w:spacing w:line="360" w:lineRule="exact"/>
              <w:textAlignment w:val="auto"/>
              <w:rPr>
                <w:rFonts w:ascii="宋体" w:hAnsi="宋体"/>
                <w:color w:val="auto"/>
                <w:szCs w:val="21"/>
                <w:highlight w:val="none"/>
              </w:rPr>
            </w:pPr>
            <w:r>
              <w:rPr>
                <w:rFonts w:hint="eastAsia" w:ascii="宋体" w:hAnsi="宋体"/>
                <w:color w:val="auto"/>
                <w:szCs w:val="21"/>
                <w:highlight w:val="none"/>
              </w:rPr>
              <w:t>项目经理经历和项目总工资格：见附录5</w:t>
            </w:r>
          </w:p>
          <w:p w14:paraId="4DF96DE0">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color w:val="auto"/>
                <w:szCs w:val="21"/>
                <w:highlight w:val="none"/>
              </w:rPr>
              <w:t>其他要求：无</w:t>
            </w:r>
          </w:p>
        </w:tc>
      </w:tr>
      <w:tr w14:paraId="62D62B33">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BDEBA49">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ascii="宋体" w:hAnsi="宋体"/>
                <w:color w:val="auto"/>
                <w:szCs w:val="21"/>
                <w:highlight w:val="none"/>
              </w:rPr>
              <w:t>1.4.2</w:t>
            </w:r>
          </w:p>
        </w:tc>
        <w:tc>
          <w:tcPr>
            <w:tcW w:w="2006" w:type="dxa"/>
            <w:tcBorders>
              <w:top w:val="single" w:color="000000" w:sz="4" w:space="0"/>
              <w:left w:val="single" w:color="000000" w:sz="4" w:space="0"/>
              <w:bottom w:val="single" w:color="000000" w:sz="4" w:space="0"/>
              <w:right w:val="single" w:color="000000" w:sz="4" w:space="0"/>
            </w:tcBorders>
            <w:vAlign w:val="center"/>
          </w:tcPr>
          <w:p w14:paraId="3A9D72C3">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rFonts w:hint="eastAsia"/>
                <w:color w:val="auto"/>
                <w:szCs w:val="21"/>
                <w:highlight w:val="none"/>
              </w:rPr>
              <w:t>是否接受联合体投标</w:t>
            </w:r>
          </w:p>
        </w:tc>
        <w:tc>
          <w:tcPr>
            <w:tcW w:w="6516" w:type="dxa"/>
            <w:tcBorders>
              <w:top w:val="single" w:color="000000" w:sz="4" w:space="0"/>
              <w:left w:val="single" w:color="000000" w:sz="4" w:space="0"/>
              <w:bottom w:val="single" w:color="000000" w:sz="4" w:space="0"/>
              <w:right w:val="single" w:color="auto" w:sz="12" w:space="0"/>
            </w:tcBorders>
            <w:vAlign w:val="center"/>
          </w:tcPr>
          <w:p w14:paraId="478F5E8E">
            <w:pPr>
              <w:keepLines w:val="0"/>
              <w:kinsoku/>
              <w:wordWrap/>
              <w:overflowPunct/>
              <w:topLinePunct w:val="0"/>
              <w:bidi w:val="0"/>
              <w:spacing w:line="360" w:lineRule="exact"/>
              <w:textAlignment w:val="auto"/>
              <w:rPr>
                <w:color w:val="auto"/>
                <w:szCs w:val="21"/>
                <w:highlight w:val="none"/>
              </w:rPr>
            </w:pPr>
            <w:r>
              <w:rPr>
                <w:rFonts w:ascii="宋体" w:hAnsi="宋体" w:cs="宋体"/>
                <w:color w:val="auto"/>
                <w:sz w:val="21"/>
                <w:szCs w:val="21"/>
                <w:highlight w:val="none"/>
                <w:lang w:val="zh-CN" w:eastAsia="zh-CN"/>
              </w:rPr>
              <w:fldChar w:fldCharType="begin"/>
            </w:r>
            <w:r>
              <w:rPr>
                <w:rFonts w:ascii="宋体" w:hAnsi="宋体" w:cs="宋体"/>
                <w:color w:val="auto"/>
                <w:sz w:val="21"/>
                <w:szCs w:val="21"/>
                <w:highlight w:val="none"/>
                <w:lang w:val="zh-CN" w:eastAsia="zh-CN"/>
              </w:rPr>
              <w:instrText xml:space="preserve"> </w:instrText>
            </w:r>
            <w:r>
              <w:rPr>
                <w:rFonts w:hint="eastAsia" w:ascii="宋体" w:hAnsi="宋体" w:cs="宋体"/>
                <w:color w:val="auto"/>
                <w:sz w:val="21"/>
                <w:szCs w:val="21"/>
                <w:highlight w:val="none"/>
                <w:lang w:val="zh-CN" w:eastAsia="zh-CN"/>
              </w:rPr>
              <w:instrText xml:space="preserve">eq \o\ac(□,</w:instrText>
            </w:r>
            <w:r>
              <w:rPr>
                <w:rFonts w:hint="eastAsia" w:ascii="宋体" w:hAnsi="宋体" w:cs="宋体"/>
                <w:color w:val="auto"/>
                <w:position w:val="2"/>
                <w:sz w:val="14"/>
                <w:szCs w:val="21"/>
                <w:highlight w:val="none"/>
                <w:lang w:val="zh-CN" w:eastAsia="zh-CN"/>
              </w:rPr>
              <w:instrText xml:space="preserve">√</w:instrText>
            </w:r>
            <w:r>
              <w:rPr>
                <w:rFonts w:hint="eastAsia" w:ascii="宋体" w:hAnsi="宋体" w:cs="宋体"/>
                <w:color w:val="auto"/>
                <w:sz w:val="21"/>
                <w:szCs w:val="21"/>
                <w:highlight w:val="none"/>
                <w:lang w:val="zh-CN" w:eastAsia="zh-CN"/>
              </w:rPr>
              <w:instrText xml:space="preserve">)</w:instrText>
            </w:r>
            <w:r>
              <w:rPr>
                <w:rFonts w:ascii="宋体" w:hAnsi="宋体" w:cs="宋体"/>
                <w:color w:val="auto"/>
                <w:sz w:val="21"/>
                <w:szCs w:val="21"/>
                <w:highlight w:val="none"/>
                <w:lang w:val="zh-CN" w:eastAsia="zh-CN"/>
              </w:rPr>
              <w:fldChar w:fldCharType="end"/>
            </w:r>
            <w:r>
              <w:rPr>
                <w:rFonts w:hint="eastAsia"/>
                <w:color w:val="auto"/>
                <w:szCs w:val="21"/>
                <w:highlight w:val="none"/>
              </w:rPr>
              <w:t>不接受</w:t>
            </w:r>
          </w:p>
          <w:p w14:paraId="5F0CEB29">
            <w:pPr>
              <w:keepLines w:val="0"/>
              <w:kinsoku/>
              <w:wordWrap/>
              <w:overflowPunct/>
              <w:topLinePunct w:val="0"/>
              <w:bidi w:val="0"/>
              <w:spacing w:line="360" w:lineRule="exact"/>
              <w:textAlignment w:val="auto"/>
              <w:rPr>
                <w:rFonts w:hint="eastAsia" w:ascii="宋体" w:hAnsi="宋体" w:eastAsia="宋体" w:cs="宋体"/>
                <w:sz w:val="21"/>
                <w:szCs w:val="21"/>
              </w:rPr>
            </w:pPr>
            <w:r>
              <w:rPr>
                <w:rFonts w:ascii="宋体" w:hAnsi="宋体" w:cs="宋体"/>
                <w:color w:val="auto"/>
                <w:kern w:val="0"/>
                <w:szCs w:val="21"/>
                <w:highlight w:val="none"/>
                <w:lang w:val="zh-CN"/>
              </w:rPr>
              <w:fldChar w:fldCharType="begin"/>
            </w:r>
            <w:r>
              <w:rPr>
                <w:rFonts w:ascii="宋体" w:hAnsi="宋体" w:cs="宋体"/>
                <w:color w:val="auto"/>
                <w:kern w:val="0"/>
                <w:szCs w:val="21"/>
                <w:highlight w:val="none"/>
                <w:lang w:val="zh-CN"/>
              </w:rPr>
              <w:instrText xml:space="preserve"> </w:instrText>
            </w:r>
            <w:r>
              <w:rPr>
                <w:rFonts w:hint="eastAsia" w:ascii="宋体" w:hAnsi="宋体" w:cs="宋体"/>
                <w:color w:val="auto"/>
                <w:kern w:val="0"/>
                <w:szCs w:val="21"/>
                <w:highlight w:val="none"/>
                <w:lang w:val="zh-CN"/>
              </w:rPr>
              <w:instrText xml:space="preserve">eq \o\ac(□)</w:instrText>
            </w:r>
            <w:r>
              <w:rPr>
                <w:rFonts w:ascii="宋体" w:hAnsi="宋体" w:cs="宋体"/>
                <w:color w:val="auto"/>
                <w:kern w:val="0"/>
                <w:szCs w:val="21"/>
                <w:highlight w:val="none"/>
                <w:lang w:val="zh-CN"/>
              </w:rPr>
              <w:fldChar w:fldCharType="end"/>
            </w:r>
            <w:r>
              <w:rPr>
                <w:rFonts w:hint="eastAsia"/>
                <w:color w:val="auto"/>
                <w:szCs w:val="21"/>
                <w:highlight w:val="none"/>
              </w:rPr>
              <w:t>接受</w:t>
            </w:r>
            <w:r>
              <w:rPr>
                <w:rFonts w:hint="eastAsia"/>
                <w:color w:val="auto"/>
                <w:szCs w:val="21"/>
                <w:highlight w:val="none"/>
                <w:lang w:eastAsia="zh-CN"/>
              </w:rPr>
              <w:t>，</w:t>
            </w:r>
            <w:r>
              <w:rPr>
                <w:rFonts w:hint="eastAsia"/>
                <w:color w:val="auto"/>
                <w:szCs w:val="21"/>
                <w:highlight w:val="none"/>
              </w:rPr>
              <w:t>应满足下列要求：</w:t>
            </w:r>
            <w:r>
              <w:rPr>
                <w:rFonts w:hint="eastAsia"/>
                <w:color w:val="auto"/>
                <w:szCs w:val="21"/>
                <w:highlight w:val="none"/>
                <w:lang w:val="en-US" w:eastAsia="zh-CN"/>
              </w:rPr>
              <w:t>见第一章招标公告</w:t>
            </w:r>
          </w:p>
        </w:tc>
      </w:tr>
      <w:tr w14:paraId="29727569">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D443B6A">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ascii="宋体" w:hAnsi="宋体"/>
                <w:color w:val="auto"/>
                <w:szCs w:val="21"/>
                <w:highlight w:val="none"/>
              </w:rPr>
              <w:t>1.4.</w:t>
            </w:r>
            <w:r>
              <w:rPr>
                <w:rFonts w:hint="eastAsia" w:ascii="宋体" w:hAnsi="宋体"/>
                <w:color w:val="auto"/>
                <w:szCs w:val="21"/>
                <w:highlight w:val="none"/>
              </w:rPr>
              <w:t>3</w:t>
            </w:r>
          </w:p>
        </w:tc>
        <w:tc>
          <w:tcPr>
            <w:tcW w:w="2006" w:type="dxa"/>
            <w:tcBorders>
              <w:top w:val="single" w:color="000000" w:sz="4" w:space="0"/>
              <w:left w:val="single" w:color="000000" w:sz="4" w:space="0"/>
              <w:bottom w:val="single" w:color="000000" w:sz="4" w:space="0"/>
              <w:right w:val="single" w:color="000000" w:sz="4" w:space="0"/>
            </w:tcBorders>
            <w:vAlign w:val="center"/>
          </w:tcPr>
          <w:p w14:paraId="69B41A14">
            <w:pPr>
              <w:pStyle w:val="15"/>
              <w:keepNext/>
              <w:keepLines w:val="0"/>
              <w:shd w:val="clear" w:color="auto" w:fill="auto"/>
              <w:kinsoku/>
              <w:wordWrap/>
              <w:overflowPunct/>
              <w:topLinePunct w:val="0"/>
              <w:bidi w:val="0"/>
              <w:spacing w:line="360" w:lineRule="exact"/>
              <w:ind w:firstLine="0"/>
              <w:jc w:val="center"/>
              <w:textAlignment w:val="auto"/>
              <w:rPr>
                <w:rFonts w:ascii="Times New Roman" w:hAnsi="Times New Roman" w:cs="Times New Roman"/>
                <w:color w:val="auto"/>
                <w:kern w:val="2"/>
                <w:sz w:val="21"/>
                <w:szCs w:val="21"/>
                <w:highlight w:val="none"/>
                <w:lang w:val="en-US" w:eastAsia="zh-CN" w:bidi="ar-SA"/>
              </w:rPr>
            </w:pPr>
            <w:r>
              <w:rPr>
                <w:rFonts w:ascii="Times New Roman" w:hAnsi="Times New Roman" w:cs="Times New Roman"/>
                <w:color w:val="auto"/>
                <w:kern w:val="2"/>
                <w:sz w:val="21"/>
                <w:szCs w:val="21"/>
                <w:highlight w:val="none"/>
                <w:lang w:val="en-US" w:eastAsia="zh-CN" w:bidi="ar-SA"/>
              </w:rPr>
              <w:t>投标人不得存在的</w:t>
            </w:r>
          </w:p>
          <w:p w14:paraId="1250E3B7">
            <w:pPr>
              <w:keepLines w:val="0"/>
              <w:kinsoku/>
              <w:wordWrap/>
              <w:overflowPunct/>
              <w:topLinePunct w:val="0"/>
              <w:bidi w:val="0"/>
              <w:spacing w:line="360" w:lineRule="exact"/>
              <w:jc w:val="center"/>
              <w:textAlignment w:val="auto"/>
              <w:rPr>
                <w:rFonts w:hint="eastAsia" w:ascii="宋体" w:hAnsi="宋体" w:eastAsia="宋体" w:cs="宋体"/>
                <w:sz w:val="21"/>
                <w:szCs w:val="21"/>
              </w:rPr>
            </w:pPr>
            <w:r>
              <w:rPr>
                <w:color w:val="auto"/>
                <w:szCs w:val="21"/>
                <w:highlight w:val="none"/>
              </w:rPr>
              <w:t>其他关联情形</w:t>
            </w:r>
          </w:p>
        </w:tc>
        <w:tc>
          <w:tcPr>
            <w:tcW w:w="6516" w:type="dxa"/>
            <w:tcBorders>
              <w:top w:val="single" w:color="000000" w:sz="4" w:space="0"/>
              <w:left w:val="single" w:color="000000" w:sz="4" w:space="0"/>
              <w:bottom w:val="single" w:color="000000" w:sz="4" w:space="0"/>
              <w:right w:val="single" w:color="auto" w:sz="12" w:space="0"/>
            </w:tcBorders>
            <w:vAlign w:val="center"/>
          </w:tcPr>
          <w:p w14:paraId="5676DFBF">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cs="宋体"/>
                <w:color w:val="auto"/>
                <w:kern w:val="0"/>
                <w:szCs w:val="21"/>
                <w:highlight w:val="none"/>
                <w:lang w:val="zh-CN"/>
              </w:rPr>
              <w:t>/</w:t>
            </w:r>
          </w:p>
        </w:tc>
      </w:tr>
      <w:tr w14:paraId="3EB1FBDB">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270EFA83">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rPr>
            </w:pPr>
            <w:r>
              <w:rPr>
                <w:rFonts w:hint="eastAsia" w:ascii="宋体" w:hAnsi="宋体"/>
                <w:color w:val="auto"/>
                <w:szCs w:val="21"/>
                <w:highlight w:val="none"/>
              </w:rPr>
              <w:t>1.4.4</w:t>
            </w:r>
          </w:p>
        </w:tc>
        <w:tc>
          <w:tcPr>
            <w:tcW w:w="2006" w:type="dxa"/>
            <w:tcBorders>
              <w:top w:val="single" w:color="000000" w:sz="4" w:space="0"/>
              <w:left w:val="single" w:color="000000" w:sz="4" w:space="0"/>
              <w:bottom w:val="single" w:color="000000" w:sz="4" w:space="0"/>
              <w:right w:val="single" w:color="000000" w:sz="4" w:space="0"/>
            </w:tcBorders>
            <w:vAlign w:val="center"/>
          </w:tcPr>
          <w:p w14:paraId="6A8B0E33">
            <w:pPr>
              <w:pStyle w:val="15"/>
              <w:keepNext/>
              <w:keepLines w:val="0"/>
              <w:shd w:val="clear" w:color="auto" w:fill="auto"/>
              <w:kinsoku/>
              <w:wordWrap/>
              <w:overflowPunct/>
              <w:topLinePunct w:val="0"/>
              <w:bidi w:val="0"/>
              <w:spacing w:line="360" w:lineRule="exact"/>
              <w:ind w:firstLine="0"/>
              <w:jc w:val="center"/>
              <w:textAlignment w:val="auto"/>
              <w:rPr>
                <w:rFonts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投标人不得存在的</w:t>
            </w:r>
          </w:p>
          <w:p w14:paraId="76BFAD14">
            <w:pPr>
              <w:pStyle w:val="15"/>
              <w:keepNext/>
              <w:keepLines w:val="0"/>
              <w:shd w:val="clear" w:color="auto" w:fill="auto"/>
              <w:kinsoku/>
              <w:wordWrap/>
              <w:overflowPunct/>
              <w:topLinePunct w:val="0"/>
              <w:bidi w:val="0"/>
              <w:spacing w:line="360" w:lineRule="exact"/>
              <w:ind w:firstLine="0" w:firstLineChars="0"/>
              <w:jc w:val="center"/>
              <w:textAlignment w:val="auto"/>
              <w:rPr>
                <w:rFonts w:hint="eastAsia" w:ascii="宋体" w:hAnsi="宋体" w:eastAsia="宋体" w:cs="宋体"/>
                <w:sz w:val="21"/>
                <w:szCs w:val="21"/>
                <w:lang w:val="en-US" w:bidi="ar-SA"/>
              </w:rPr>
            </w:pPr>
            <w:r>
              <w:rPr>
                <w:rFonts w:hint="eastAsia" w:ascii="Times New Roman" w:hAnsi="Times New Roman" w:cs="Times New Roman"/>
                <w:color w:val="auto"/>
                <w:kern w:val="2"/>
                <w:sz w:val="21"/>
                <w:szCs w:val="21"/>
                <w:highlight w:val="none"/>
                <w:lang w:val="en-US" w:eastAsia="zh-CN" w:bidi="ar-SA"/>
              </w:rPr>
              <w:t>其他不良状况或不良信用记录</w:t>
            </w:r>
          </w:p>
        </w:tc>
        <w:tc>
          <w:tcPr>
            <w:tcW w:w="6516" w:type="dxa"/>
            <w:tcBorders>
              <w:top w:val="single" w:color="000000" w:sz="4" w:space="0"/>
              <w:left w:val="single" w:color="000000" w:sz="4" w:space="0"/>
              <w:bottom w:val="single" w:color="000000" w:sz="4" w:space="0"/>
              <w:right w:val="single" w:color="auto" w:sz="12" w:space="0"/>
            </w:tcBorders>
            <w:vAlign w:val="center"/>
          </w:tcPr>
          <w:p w14:paraId="3CA5C637">
            <w:pPr>
              <w:keepLines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cs="宋体"/>
                <w:color w:val="auto"/>
                <w:kern w:val="0"/>
                <w:szCs w:val="21"/>
                <w:highlight w:val="none"/>
                <w:lang w:val="zh-CN"/>
              </w:rPr>
              <w:t>/</w:t>
            </w:r>
          </w:p>
        </w:tc>
      </w:tr>
    </w:tbl>
    <w:p w14:paraId="0B3F830D">
      <w:pPr>
        <w:keepLines w:val="0"/>
        <w:kinsoku/>
        <w:wordWrap/>
        <w:overflowPunct/>
        <w:topLinePunct w:val="0"/>
        <w:bidi w:val="0"/>
        <w:spacing w:line="360" w:lineRule="exact"/>
        <w:textAlignment w:val="auto"/>
        <w:rPr>
          <w:rFonts w:hint="eastAsia" w:ascii="宋体" w:hAnsi="宋体" w:eastAsia="宋体" w:cs="宋体"/>
          <w:color w:val="auto"/>
          <w:sz w:val="21"/>
          <w:szCs w:val="21"/>
          <w:highlight w:val="none"/>
        </w:rPr>
      </w:pPr>
      <w:bookmarkStart w:id="1" w:name="_Toc144974502"/>
      <w:bookmarkStart w:id="2" w:name="_Toc152045534"/>
      <w:bookmarkStart w:id="3" w:name="_Toc152042310"/>
      <w:bookmarkStart w:id="4" w:name="_Toc502741808"/>
      <w:bookmarkStart w:id="5" w:name="_Toc179632551"/>
      <w:bookmarkStart w:id="6" w:name="_Toc346800722"/>
      <w:bookmarkStart w:id="7" w:name="_Hlk141167126"/>
      <w:bookmarkStart w:id="8" w:name="_Toc110596237"/>
      <w:r>
        <w:rPr>
          <w:rFonts w:hint="eastAsia" w:ascii="宋体" w:hAnsi="宋体" w:eastAsia="宋体" w:cs="宋体"/>
          <w:color w:val="auto"/>
          <w:sz w:val="21"/>
          <w:szCs w:val="21"/>
          <w:highlight w:val="none"/>
        </w:rPr>
        <w:t>1.4投标人资格要求（适用于未进行资格预审的）</w:t>
      </w:r>
      <w:bookmarkEnd w:id="1"/>
      <w:bookmarkEnd w:id="2"/>
      <w:bookmarkEnd w:id="3"/>
      <w:bookmarkEnd w:id="4"/>
      <w:bookmarkEnd w:id="5"/>
    </w:p>
    <w:p w14:paraId="2EB5E111">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1.4.1投标人应具备承担本标段施工的资质条件、能力和信誉。</w:t>
      </w:r>
    </w:p>
    <w:p w14:paraId="2D979129">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资质</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：见投标人须知前附表；</w:t>
      </w:r>
    </w:p>
    <w:p w14:paraId="6D8648F0">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财务要求：见投标人须知前附表；</w:t>
      </w:r>
    </w:p>
    <w:p w14:paraId="6CD3FED0">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业绩要求：见投标人须知前附表；</w:t>
      </w:r>
    </w:p>
    <w:p w14:paraId="21FAAA2F">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信誉要求：见投标人须知前附表；</w:t>
      </w:r>
    </w:p>
    <w:p w14:paraId="042A599C">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项目经理和项目总工资格：见投标人须知前附表；</w:t>
      </w:r>
    </w:p>
    <w:p w14:paraId="5D3ED759">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其他要求：见投标人须知前附表。</w:t>
      </w:r>
    </w:p>
    <w:p w14:paraId="6E201798">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需要提交的相关证明材料见本章第3.5款的规定。</w:t>
      </w:r>
    </w:p>
    <w:p w14:paraId="6884245D">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1.4.2投标人须知前附表规定接受联合体投标的，联合体除应符合本章第1.4.1项和投标人须知前附表的要求外，还应遵守以下规定：</w:t>
      </w:r>
    </w:p>
    <w:p w14:paraId="412FC01F">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联合体各方应按招标文件提供的格式签订联合体协议书，明确联合体牵头人和各方权利义务，并承诺就中标项目向招标人承担连带责任；</w:t>
      </w:r>
    </w:p>
    <w:p w14:paraId="430971F0">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由同一专业的单位组成的联合体，按照资质等级较低的单位确定资质等级；</w:t>
      </w:r>
    </w:p>
    <w:p w14:paraId="2353FCFF">
      <w:pPr>
        <w:keepLines w:val="0"/>
        <w:numPr>
          <w:ilvl w:val="0"/>
          <w:numId w:val="0"/>
        </w:numPr>
        <w:tabs>
          <w:tab w:val="left" w:pos="1134"/>
        </w:tabs>
        <w:kinsoku/>
        <w:wordWrap/>
        <w:overflowPunct/>
        <w:topLinePunct w:val="0"/>
        <w:bidi w:val="0"/>
        <w:spacing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联合体各方不得再以自</w:t>
      </w:r>
      <w:r>
        <w:rPr>
          <w:rFonts w:hint="eastAsia" w:ascii="宋体" w:hAnsi="宋体" w:eastAsia="宋体" w:cs="宋体"/>
          <w:color w:val="auto"/>
          <w:sz w:val="21"/>
          <w:szCs w:val="21"/>
          <w:highlight w:val="none"/>
          <w:lang w:eastAsia="zh-CN"/>
        </w:rPr>
        <w:t>己</w:t>
      </w:r>
      <w:r>
        <w:rPr>
          <w:rFonts w:hint="eastAsia" w:ascii="宋体" w:hAnsi="宋体" w:eastAsia="宋体" w:cs="宋体"/>
          <w:color w:val="auto"/>
          <w:sz w:val="21"/>
          <w:szCs w:val="21"/>
          <w:highlight w:val="none"/>
        </w:rPr>
        <w:t>名义单独或参加其他联合体在同一标段中投标；</w:t>
      </w:r>
    </w:p>
    <w:p w14:paraId="16756225">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6D482852">
      <w:pPr>
        <w:keepLines w:val="0"/>
        <w:numPr>
          <w:ilvl w:val="0"/>
          <w:numId w:val="0"/>
        </w:numPr>
        <w:tabs>
          <w:tab w:val="left" w:pos="1134"/>
        </w:tabs>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尽管委任了联合体牵头人，但联合体各成员在投标、签订合同与履行合同过程中，仍负有连带的和各自的法律责任。</w:t>
      </w:r>
    </w:p>
    <w:p w14:paraId="2594ACC8">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1.4.3投标人（包括联合体各成员）不得与本标段相关单位存在下列关联</w:t>
      </w:r>
      <w:r>
        <w:rPr>
          <w:rFonts w:hint="eastAsia" w:ascii="宋体" w:hAnsi="宋体" w:eastAsia="宋体" w:cs="宋体"/>
          <w:color w:val="auto"/>
          <w:sz w:val="21"/>
          <w:szCs w:val="21"/>
          <w:highlight w:val="none"/>
          <w:lang w:val="en-US" w:eastAsia="zh-CN"/>
        </w:rPr>
        <w:t>情形</w:t>
      </w:r>
      <w:r>
        <w:rPr>
          <w:rFonts w:hint="eastAsia" w:ascii="宋体" w:hAnsi="宋体" w:eastAsia="宋体" w:cs="宋体"/>
          <w:color w:val="auto"/>
          <w:sz w:val="21"/>
          <w:szCs w:val="21"/>
          <w:highlight w:val="none"/>
        </w:rPr>
        <w:t>：</w:t>
      </w:r>
    </w:p>
    <w:p w14:paraId="77BAD273">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为招标人不具有独立法人资格的附属机构（单位）；</w:t>
      </w:r>
    </w:p>
    <w:p w14:paraId="0F62FCC4">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与招标人存在利害关系且可能影响招标公正性；</w:t>
      </w:r>
    </w:p>
    <w:p w14:paraId="1D73C7FA">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与本标段的其他投标人同为一个单位负责人；</w:t>
      </w:r>
    </w:p>
    <w:p w14:paraId="643C4833">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与本标段的其他投标人存在控股、管理关系；</w:t>
      </w:r>
    </w:p>
    <w:p w14:paraId="20F63A59">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为本标段前期准备提供设计或咨询服务的法人或其任何附属机构（单位）；</w:t>
      </w:r>
    </w:p>
    <w:p w14:paraId="28F20188">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为本标段的监理人；</w:t>
      </w:r>
    </w:p>
    <w:p w14:paraId="52AE334C">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为本标段的代建人；</w:t>
      </w:r>
    </w:p>
    <w:p w14:paraId="2D5F3801">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rPr>
        <w:t>为本标段的招标代理机构；</w:t>
      </w:r>
    </w:p>
    <w:p w14:paraId="36355E6F">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rPr>
        <w:t>与本标段的监理人或代建人或招标代理机构同为一个法定代表人；</w:t>
      </w:r>
    </w:p>
    <w:p w14:paraId="7C41AF06">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rPr>
        <w:t>与本标段的监理人或代建人或招标代理机构存在控股或参股关系；</w:t>
      </w:r>
    </w:p>
    <w:p w14:paraId="688BDD40">
      <w:pPr>
        <w:keepLines w:val="0"/>
        <w:numPr>
          <w:ilvl w:val="0"/>
          <w:numId w:val="0"/>
        </w:numPr>
        <w:tabs>
          <w:tab w:val="left" w:pos="1134"/>
          <w:tab w:val="left" w:pos="1276"/>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rPr>
        <w:t>法律法规或投标人须知前附表规定的其他情形。</w:t>
      </w:r>
    </w:p>
    <w:p w14:paraId="4A6898CA">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1.4.4投标人（包括联合体各成员）不得存在下列不良状况或不良信用记录：</w:t>
      </w:r>
    </w:p>
    <w:p w14:paraId="597C9FFE">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被省级及以上交通运输主管部门取消招标项目所在地的投标资格且处于有效期内；</w:t>
      </w:r>
    </w:p>
    <w:p w14:paraId="3CAC82EE">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被责令停业，暂扣或吊销执照，或吊销资质证书；</w:t>
      </w:r>
    </w:p>
    <w:p w14:paraId="05CFB055">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进入清算程序，或被宣告破产，或其他丧失履约能力的情形；</w:t>
      </w:r>
    </w:p>
    <w:p w14:paraId="67BAA284">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在国家企业信用信息公示系统（http://www.gsxt.gov.cn/）中被列入严重违法失信企业名单；</w:t>
      </w:r>
    </w:p>
    <w:p w14:paraId="5D2EFFFD">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rPr>
        <w:t>在“信用中国”网站（http://www.creditchina.gov.cn/）中被列入失信被执行人名单；</w:t>
      </w:r>
    </w:p>
    <w:p w14:paraId="2B263372">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rPr>
        <w:t>投标人或其法定代表人、拟委任的项目经理在近三年内有行贿犯罪行为的；</w:t>
      </w:r>
    </w:p>
    <w:p w14:paraId="2FCF5487">
      <w:pPr>
        <w:keepLines w:val="0"/>
        <w:numPr>
          <w:ilvl w:val="0"/>
          <w:numId w:val="0"/>
        </w:numPr>
        <w:tabs>
          <w:tab w:val="left" w:pos="1134"/>
        </w:tabs>
        <w:kinsoku/>
        <w:wordWrap/>
        <w:overflowPunct/>
        <w:topLinePunct w:val="0"/>
        <w:bidi w:val="0"/>
        <w:spacing w:line="360" w:lineRule="exact"/>
        <w:ind w:left="0" w:leftChars="0" w:firstLine="42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rPr>
        <w:t>法律法规或投标人须知前附表规定的其他情形。</w:t>
      </w:r>
    </w:p>
    <w:p w14:paraId="6CC52741">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投标人（包括联合体各成员）应进入交通运输部“全国公路建设市场监督管理系统（https://hwdms.mot.gov.cn）”中的公路工程施工资质企业名录，且投标人名称和资质与该名录中的相应企业名称和资质完全一致。投标人不满足本项规定条件的，将被否决投标。</w:t>
      </w:r>
      <w:r>
        <w:rPr>
          <w:rStyle w:val="13"/>
          <w:rFonts w:hint="eastAsia" w:ascii="宋体" w:hAnsi="宋体" w:eastAsia="宋体" w:cs="宋体"/>
          <w:color w:val="auto"/>
          <w:sz w:val="21"/>
          <w:szCs w:val="21"/>
          <w:highlight w:val="none"/>
        </w:rPr>
        <w:footnoteReference w:id="0"/>
      </w:r>
    </w:p>
    <w:p w14:paraId="36B83890">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rPr>
      </w:pPr>
    </w:p>
    <w:bookmarkEnd w:id="6"/>
    <w:bookmarkEnd w:id="7"/>
    <w:bookmarkEnd w:id="8"/>
    <w:p w14:paraId="68ECCFAC">
      <w:pPr>
        <w:keepLines w:val="0"/>
        <w:kinsoku/>
        <w:wordWrap/>
        <w:overflowPunct/>
        <w:topLinePunct w:val="0"/>
        <w:bidi w:val="0"/>
        <w:spacing w:line="360" w:lineRule="exact"/>
        <w:textAlignment w:val="auto"/>
        <w:rPr>
          <w:rFonts w:hint="eastAsia" w:ascii="宋体" w:hAnsi="宋体" w:eastAsia="宋体" w:cs="宋体"/>
          <w:b/>
          <w:color w:val="auto"/>
          <w:sz w:val="21"/>
          <w:szCs w:val="21"/>
          <w:highlight w:val="none"/>
        </w:rPr>
      </w:pPr>
      <w:bookmarkStart w:id="9" w:name="_Toc22952"/>
      <w:r>
        <w:rPr>
          <w:rFonts w:hint="eastAsia" w:ascii="宋体" w:hAnsi="宋体" w:eastAsia="宋体" w:cs="宋体"/>
          <w:b/>
          <w:color w:val="auto"/>
          <w:sz w:val="21"/>
          <w:szCs w:val="21"/>
          <w:highlight w:val="none"/>
        </w:rPr>
        <w:br w:type="page"/>
      </w:r>
    </w:p>
    <w:bookmarkEnd w:id="9"/>
    <w:p w14:paraId="6490DC3C">
      <w:pPr>
        <w:keepLines w:val="0"/>
        <w:kinsoku/>
        <w:wordWrap/>
        <w:overflowPunct/>
        <w:topLinePunct w:val="0"/>
        <w:bidi w:val="0"/>
        <w:spacing w:beforeLines="100" w:line="360" w:lineRule="exact"/>
        <w:jc w:val="center"/>
        <w:textAlignment w:val="auto"/>
        <w:outlineLvl w:val="2"/>
        <w:rPr>
          <w:rFonts w:ascii="黑体" w:hAnsi="黑体" w:eastAsia="黑体"/>
          <w:b/>
          <w:color w:val="auto"/>
          <w:sz w:val="28"/>
          <w:szCs w:val="28"/>
          <w:highlight w:val="none"/>
        </w:rPr>
      </w:pPr>
      <w:bookmarkStart w:id="10" w:name="_Toc29314"/>
      <w:r>
        <w:rPr>
          <w:rFonts w:hint="eastAsia" w:ascii="黑体" w:hAnsi="黑体" w:eastAsia="黑体"/>
          <w:b/>
          <w:color w:val="auto"/>
          <w:sz w:val="28"/>
          <w:szCs w:val="28"/>
          <w:highlight w:val="none"/>
        </w:rPr>
        <w:t>附录1 资格审查条件（资质最低要求）</w:t>
      </w:r>
      <w:bookmarkEnd w:id="10"/>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2"/>
      </w:tblGrid>
      <w:tr w14:paraId="5D26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34" w:type="dxa"/>
            <w:tcBorders>
              <w:top w:val="single" w:color="auto" w:sz="12" w:space="0"/>
              <w:left w:val="single" w:color="auto" w:sz="12" w:space="0"/>
            </w:tcBorders>
            <w:vAlign w:val="center"/>
          </w:tcPr>
          <w:p w14:paraId="5E64737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标段</w:t>
            </w:r>
          </w:p>
        </w:tc>
        <w:tc>
          <w:tcPr>
            <w:tcW w:w="8382" w:type="dxa"/>
            <w:tcBorders>
              <w:top w:val="single" w:color="auto" w:sz="12" w:space="0"/>
              <w:right w:val="single" w:color="auto" w:sz="12" w:space="0"/>
            </w:tcBorders>
            <w:vAlign w:val="center"/>
          </w:tcPr>
          <w:p w14:paraId="2D9B2A8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施工企业资质等级要求</w:t>
            </w:r>
          </w:p>
        </w:tc>
      </w:tr>
      <w:tr w14:paraId="1816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134" w:type="dxa"/>
            <w:tcBorders>
              <w:left w:val="single" w:color="auto" w:sz="12" w:space="0"/>
            </w:tcBorders>
            <w:shd w:val="clear" w:color="auto" w:fill="auto"/>
            <w:vAlign w:val="center"/>
          </w:tcPr>
          <w:p w14:paraId="7B91B1ED">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default" w:hAnsi="宋体" w:cs="Courier New"/>
                <w:color w:val="auto"/>
                <w:highlight w:val="none"/>
                <w:lang w:val="en-US" w:eastAsia="zh-CN"/>
              </w:rPr>
            </w:pPr>
            <w:r>
              <w:rPr>
                <w:rFonts w:hint="default" w:hAnsi="宋体" w:cs="Courier New"/>
                <w:color w:val="auto"/>
                <w:highlight w:val="none"/>
                <w:lang w:val="en-US" w:eastAsia="zh-CN"/>
              </w:rPr>
              <w:t>CC26PS01</w:t>
            </w:r>
          </w:p>
        </w:tc>
        <w:tc>
          <w:tcPr>
            <w:tcW w:w="8382" w:type="dxa"/>
            <w:tcBorders>
              <w:right w:val="single" w:color="auto" w:sz="12" w:space="0"/>
            </w:tcBorders>
            <w:shd w:val="clear" w:color="auto" w:fill="auto"/>
            <w:vAlign w:val="center"/>
          </w:tcPr>
          <w:p w14:paraId="03D69771">
            <w:pPr>
              <w:keepLines w:val="0"/>
              <w:widowControl/>
              <w:kinsoku/>
              <w:wordWrap/>
              <w:overflowPunct/>
              <w:topLinePunct w:val="0"/>
              <w:bidi w:val="0"/>
              <w:spacing w:line="360" w:lineRule="exact"/>
              <w:textAlignment w:val="auto"/>
              <w:rPr>
                <w:rFonts w:hint="eastAsia" w:ascii="宋体" w:hAnsi="宋体" w:eastAsia="宋体"/>
                <w:szCs w:val="21"/>
                <w:highlight w:val="none"/>
                <w:lang w:val="en-US" w:eastAsia="zh-CN"/>
              </w:rPr>
            </w:pPr>
            <w:r>
              <w:rPr>
                <w:rFonts w:hint="eastAsia" w:ascii="宋体" w:hAnsi="宋体"/>
                <w:szCs w:val="21"/>
                <w:highlight w:val="none"/>
              </w:rPr>
              <w:t>交通运输主管部门颁发的路基路面养护甲级</w:t>
            </w:r>
            <w:r>
              <w:rPr>
                <w:rFonts w:hint="eastAsia" w:ascii="宋体" w:hAnsi="宋体"/>
                <w:szCs w:val="21"/>
                <w:highlight w:val="none"/>
                <w:lang w:val="en-US" w:eastAsia="zh-CN"/>
              </w:rPr>
              <w:t>或乙级</w:t>
            </w:r>
            <w:r>
              <w:rPr>
                <w:rFonts w:hint="eastAsia" w:ascii="宋体" w:hAnsi="宋体"/>
                <w:szCs w:val="21"/>
                <w:highlight w:val="none"/>
              </w:rPr>
              <w:t>资质</w:t>
            </w:r>
            <w:r>
              <w:rPr>
                <w:rFonts w:hint="eastAsia" w:ascii="宋体" w:hAnsi="宋体"/>
                <w:szCs w:val="21"/>
                <w:highlight w:val="none"/>
                <w:lang w:eastAsia="zh-CN"/>
              </w:rPr>
              <w:t>；</w:t>
            </w:r>
          </w:p>
        </w:tc>
      </w:tr>
      <w:tr w14:paraId="7715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134" w:type="dxa"/>
            <w:tcBorders>
              <w:left w:val="single" w:color="auto" w:sz="12" w:space="0"/>
              <w:bottom w:val="single" w:color="auto" w:sz="12" w:space="0"/>
            </w:tcBorders>
            <w:shd w:val="clear" w:color="auto" w:fill="auto"/>
            <w:vAlign w:val="center"/>
          </w:tcPr>
          <w:p w14:paraId="68181AD1">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default" w:hAnsi="宋体" w:cs="Courier New"/>
                <w:color w:val="auto"/>
                <w:highlight w:val="none"/>
                <w:lang w:val="en-US" w:eastAsia="zh-CN"/>
              </w:rPr>
            </w:pPr>
            <w:r>
              <w:rPr>
                <w:rFonts w:hint="eastAsia" w:hAnsi="宋体" w:cs="Courier New"/>
                <w:color w:val="auto"/>
                <w:highlight w:val="none"/>
                <w:lang w:val="en-US" w:eastAsia="zh-CN"/>
              </w:rPr>
              <w:t>CC26BX01</w:t>
            </w:r>
          </w:p>
        </w:tc>
        <w:tc>
          <w:tcPr>
            <w:tcW w:w="8382" w:type="dxa"/>
            <w:tcBorders>
              <w:bottom w:val="single" w:color="auto" w:sz="12" w:space="0"/>
              <w:right w:val="single" w:color="auto" w:sz="12" w:space="0"/>
            </w:tcBorders>
            <w:shd w:val="clear" w:color="auto" w:fill="auto"/>
            <w:vAlign w:val="center"/>
          </w:tcPr>
          <w:p w14:paraId="1B3BFCC3">
            <w:pPr>
              <w:pStyle w:val="10"/>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Times New Roman"/>
                <w:kern w:val="2"/>
                <w:sz w:val="21"/>
                <w:szCs w:val="21"/>
                <w:highlight w:val="none"/>
                <w:lang w:val="en-US" w:eastAsia="zh-CN" w:bidi="ar-SA"/>
              </w:rPr>
              <w:t>交通运输主管部门颁发的交通安全设施养护资质（可以承担各等级公路交通安全设施的各类养护工程）</w:t>
            </w:r>
          </w:p>
        </w:tc>
      </w:tr>
    </w:tbl>
    <w:p w14:paraId="6E478D11">
      <w:pPr>
        <w:keepLines w:val="0"/>
        <w:kinsoku/>
        <w:wordWrap/>
        <w:overflowPunct/>
        <w:topLinePunct w:val="0"/>
        <w:bidi w:val="0"/>
        <w:spacing w:beforeLines="100" w:line="360" w:lineRule="exact"/>
        <w:jc w:val="center"/>
        <w:textAlignment w:val="auto"/>
        <w:outlineLvl w:val="2"/>
        <w:rPr>
          <w:rFonts w:ascii="黑体" w:hAnsi="黑体" w:eastAsia="黑体"/>
          <w:b/>
          <w:color w:val="auto"/>
          <w:sz w:val="28"/>
          <w:szCs w:val="28"/>
          <w:highlight w:val="none"/>
        </w:rPr>
      </w:pPr>
      <w:bookmarkStart w:id="11" w:name="_Toc29228"/>
      <w:r>
        <w:rPr>
          <w:rFonts w:hint="eastAsia" w:ascii="黑体" w:hAnsi="黑体" w:eastAsia="黑体"/>
          <w:b/>
          <w:color w:val="auto"/>
          <w:sz w:val="28"/>
          <w:szCs w:val="28"/>
          <w:highlight w:val="none"/>
        </w:rPr>
        <w:t>附录2 资格审查条件（财务最低要求）</w:t>
      </w:r>
      <w:bookmarkEnd w:id="11"/>
    </w:p>
    <w:tbl>
      <w:tblPr>
        <w:tblStyle w:val="11"/>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6"/>
      </w:tblGrid>
      <w:tr w14:paraId="392B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516" w:type="dxa"/>
            <w:tcBorders>
              <w:top w:val="single" w:color="auto" w:sz="12" w:space="0"/>
              <w:left w:val="single" w:color="auto" w:sz="12" w:space="0"/>
              <w:bottom w:val="single" w:color="auto" w:sz="4" w:space="0"/>
              <w:right w:val="single" w:color="auto" w:sz="12" w:space="0"/>
            </w:tcBorders>
            <w:vAlign w:val="center"/>
          </w:tcPr>
          <w:p w14:paraId="19F5AB4B">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财务要求</w:t>
            </w:r>
          </w:p>
        </w:tc>
      </w:tr>
      <w:tr w14:paraId="558A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516" w:type="dxa"/>
            <w:tcBorders>
              <w:top w:val="single" w:color="auto" w:sz="4" w:space="0"/>
              <w:left w:val="single" w:color="auto" w:sz="12" w:space="0"/>
              <w:bottom w:val="single" w:color="auto" w:sz="12" w:space="0"/>
              <w:right w:val="single" w:color="auto" w:sz="12" w:space="0"/>
            </w:tcBorders>
            <w:vAlign w:val="center"/>
          </w:tcPr>
          <w:p w14:paraId="55FCF4EF">
            <w:pPr>
              <w:keepLines w:val="0"/>
              <w:kinsoku/>
              <w:wordWrap/>
              <w:overflowPunct/>
              <w:topLinePunct w:val="0"/>
              <w:bidi w:val="0"/>
              <w:spacing w:line="360" w:lineRule="exact"/>
              <w:ind w:firstLine="420" w:firstLineChars="200"/>
              <w:jc w:val="left"/>
              <w:textAlignment w:val="auto"/>
              <w:rPr>
                <w:color w:val="auto"/>
                <w:szCs w:val="24"/>
                <w:highlight w:val="none"/>
              </w:rPr>
            </w:pPr>
            <w:r>
              <w:rPr>
                <w:rFonts w:hint="eastAsia" w:ascii="宋体" w:hAnsi="宋体" w:cs="宋体"/>
                <w:color w:val="000000"/>
                <w:kern w:val="0"/>
                <w:szCs w:val="21"/>
                <w:highlight w:val="none"/>
                <w:lang w:val="en-US" w:eastAsia="zh-CN"/>
              </w:rPr>
              <w:t>投标人</w:t>
            </w:r>
            <w:r>
              <w:rPr>
                <w:rFonts w:hint="eastAsia" w:ascii="宋体" w:hAnsi="宋体" w:cs="宋体"/>
                <w:color w:val="000000"/>
                <w:kern w:val="0"/>
                <w:szCs w:val="21"/>
                <w:highlight w:val="none"/>
              </w:rPr>
              <w:t>具有健全的财务会计制度</w:t>
            </w:r>
          </w:p>
        </w:tc>
      </w:tr>
    </w:tbl>
    <w:p w14:paraId="7D9F2FA0">
      <w:pPr>
        <w:keepLines w:val="0"/>
        <w:kinsoku/>
        <w:wordWrap/>
        <w:overflowPunct/>
        <w:topLinePunct w:val="0"/>
        <w:bidi w:val="0"/>
        <w:spacing w:beforeLines="100" w:line="360" w:lineRule="exact"/>
        <w:jc w:val="center"/>
        <w:textAlignment w:val="auto"/>
        <w:outlineLvl w:val="2"/>
        <w:rPr>
          <w:rFonts w:ascii="黑体" w:hAnsi="黑体" w:eastAsia="黑体"/>
          <w:b/>
          <w:color w:val="auto"/>
          <w:sz w:val="28"/>
          <w:szCs w:val="28"/>
          <w:highlight w:val="none"/>
        </w:rPr>
      </w:pPr>
      <w:bookmarkStart w:id="12" w:name="_Toc4393"/>
      <w:r>
        <w:rPr>
          <w:rFonts w:hint="eastAsia" w:ascii="黑体" w:hAnsi="黑体" w:eastAsia="黑体"/>
          <w:b/>
          <w:color w:val="auto"/>
          <w:sz w:val="28"/>
          <w:szCs w:val="28"/>
          <w:highlight w:val="none"/>
        </w:rPr>
        <w:t>附录3 资格审查条件（业绩最低要求）</w:t>
      </w:r>
      <w:bookmarkEnd w:id="12"/>
    </w:p>
    <w:tbl>
      <w:tblPr>
        <w:tblStyle w:val="11"/>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1"/>
      </w:tblGrid>
      <w:tr w14:paraId="63B6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3" w:hRule="atLeast"/>
          <w:jc w:val="center"/>
        </w:trPr>
        <w:tc>
          <w:tcPr>
            <w:tcW w:w="9521" w:type="dxa"/>
            <w:tcBorders>
              <w:top w:val="single" w:color="auto" w:sz="12" w:space="0"/>
              <w:left w:val="single" w:color="auto" w:sz="12" w:space="0"/>
              <w:right w:val="single" w:color="auto" w:sz="12" w:space="0"/>
            </w:tcBorders>
            <w:vAlign w:val="center"/>
          </w:tcPr>
          <w:p w14:paraId="6E096E33">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业绩要求</w:t>
            </w:r>
          </w:p>
        </w:tc>
      </w:tr>
      <w:tr w14:paraId="7060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521" w:type="dxa"/>
            <w:tcBorders>
              <w:left w:val="single" w:color="auto" w:sz="12" w:space="0"/>
              <w:bottom w:val="single" w:color="auto" w:sz="12" w:space="0"/>
              <w:right w:val="single" w:color="auto" w:sz="12" w:space="0"/>
            </w:tcBorders>
            <w:vAlign w:val="center"/>
          </w:tcPr>
          <w:p w14:paraId="5BE4F7B8">
            <w:pPr>
              <w:keepLines w:val="0"/>
              <w:kinsoku/>
              <w:wordWrap/>
              <w:overflowPunct/>
              <w:topLinePunct w:val="0"/>
              <w:bidi w:val="0"/>
              <w:spacing w:line="360" w:lineRule="exact"/>
              <w:ind w:firstLine="420" w:firstLineChars="200"/>
              <w:textAlignment w:val="auto"/>
              <w:rPr>
                <w:rFonts w:hint="eastAsia" w:ascii="宋体" w:hAnsi="宋体" w:eastAsia="宋体" w:cs="Courier New"/>
                <w:color w:val="auto"/>
                <w:szCs w:val="21"/>
                <w:highlight w:val="none"/>
                <w:lang w:eastAsia="zh-CN"/>
              </w:rPr>
            </w:pPr>
            <w:r>
              <w:rPr>
                <w:rFonts w:hint="eastAsia" w:ascii="宋体" w:hAnsi="宋体" w:cs="Courier New"/>
                <w:color w:val="auto"/>
                <w:szCs w:val="21"/>
                <w:highlight w:val="none"/>
              </w:rPr>
              <w:t>无</w:t>
            </w:r>
          </w:p>
        </w:tc>
      </w:tr>
    </w:tbl>
    <w:p w14:paraId="43C2247A">
      <w:pPr>
        <w:keepLines w:val="0"/>
        <w:kinsoku/>
        <w:wordWrap/>
        <w:overflowPunct/>
        <w:topLinePunct w:val="0"/>
        <w:bidi w:val="0"/>
        <w:spacing w:beforeLines="100" w:line="360" w:lineRule="exact"/>
        <w:jc w:val="center"/>
        <w:textAlignment w:val="auto"/>
        <w:outlineLvl w:val="2"/>
        <w:rPr>
          <w:rFonts w:ascii="黑体" w:hAnsi="黑体" w:eastAsia="黑体"/>
          <w:b/>
          <w:color w:val="auto"/>
          <w:sz w:val="28"/>
          <w:szCs w:val="28"/>
          <w:highlight w:val="none"/>
        </w:rPr>
      </w:pPr>
      <w:bookmarkStart w:id="13" w:name="_Toc11635"/>
      <w:r>
        <w:rPr>
          <w:rFonts w:hint="eastAsia" w:ascii="黑体" w:hAnsi="黑体" w:eastAsia="黑体"/>
          <w:b/>
          <w:color w:val="auto"/>
          <w:sz w:val="28"/>
          <w:szCs w:val="28"/>
          <w:highlight w:val="none"/>
        </w:rPr>
        <w:t>附录4 资格审查条件（信誉最低要求）</w:t>
      </w:r>
      <w:bookmarkEnd w:id="13"/>
    </w:p>
    <w:tbl>
      <w:tblPr>
        <w:tblStyle w:val="11"/>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1"/>
      </w:tblGrid>
      <w:tr w14:paraId="4E62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3" w:hRule="atLeast"/>
          <w:jc w:val="center"/>
        </w:trPr>
        <w:tc>
          <w:tcPr>
            <w:tcW w:w="9521" w:type="dxa"/>
            <w:tcBorders>
              <w:top w:val="single" w:color="auto" w:sz="12" w:space="0"/>
              <w:left w:val="single" w:color="auto" w:sz="12" w:space="0"/>
              <w:right w:val="single" w:color="auto" w:sz="12" w:space="0"/>
            </w:tcBorders>
            <w:vAlign w:val="center"/>
          </w:tcPr>
          <w:p w14:paraId="78ED2209">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信誉要求</w:t>
            </w:r>
          </w:p>
        </w:tc>
      </w:tr>
      <w:tr w14:paraId="68FF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521" w:type="dxa"/>
            <w:tcBorders>
              <w:left w:val="single" w:color="auto" w:sz="12" w:space="0"/>
              <w:bottom w:val="single" w:color="auto" w:sz="12" w:space="0"/>
              <w:right w:val="single" w:color="auto" w:sz="12" w:space="0"/>
            </w:tcBorders>
            <w:vAlign w:val="center"/>
          </w:tcPr>
          <w:p w14:paraId="5CA53C8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hAnsi="宋体" w:eastAsia="宋体"/>
                <w:color w:val="auto"/>
                <w:szCs w:val="24"/>
                <w:highlight w:val="none"/>
                <w:lang w:eastAsia="zh-CN"/>
              </w:rPr>
            </w:pPr>
            <w:r>
              <w:rPr>
                <w:rFonts w:hint="eastAsia" w:asciiTheme="minorEastAsia" w:hAnsiTheme="minorEastAsia" w:eastAsiaTheme="minorEastAsia"/>
                <w:color w:val="auto"/>
                <w:szCs w:val="21"/>
                <w:highlight w:val="none"/>
                <w:lang w:val="en-US" w:eastAsia="zh-CN"/>
              </w:rPr>
              <w:t>无</w:t>
            </w:r>
          </w:p>
        </w:tc>
      </w:tr>
    </w:tbl>
    <w:p w14:paraId="3BAB723D">
      <w:pPr>
        <w:keepLines w:val="0"/>
        <w:kinsoku/>
        <w:wordWrap/>
        <w:overflowPunct/>
        <w:topLinePunct w:val="0"/>
        <w:bidi w:val="0"/>
        <w:spacing w:beforeLines="100" w:line="360" w:lineRule="exact"/>
        <w:jc w:val="center"/>
        <w:textAlignment w:val="auto"/>
        <w:outlineLvl w:val="2"/>
        <w:rPr>
          <w:rFonts w:ascii="黑体" w:hAnsi="黑体" w:eastAsia="黑体"/>
          <w:b/>
          <w:color w:val="auto"/>
          <w:sz w:val="28"/>
          <w:szCs w:val="28"/>
          <w:highlight w:val="none"/>
        </w:rPr>
      </w:pPr>
      <w:bookmarkStart w:id="14" w:name="_Toc13127"/>
      <w:r>
        <w:rPr>
          <w:rFonts w:hint="eastAsia" w:ascii="黑体" w:hAnsi="黑体" w:eastAsia="黑体"/>
          <w:b/>
          <w:color w:val="auto"/>
          <w:sz w:val="28"/>
          <w:szCs w:val="28"/>
          <w:highlight w:val="none"/>
        </w:rPr>
        <w:t>附录5 资格审查条件（项目经理和项目总工最低要求）</w:t>
      </w:r>
      <w:bookmarkEnd w:id="14"/>
    </w:p>
    <w:tbl>
      <w:tblPr>
        <w:tblStyle w:val="11"/>
        <w:tblW w:w="9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239"/>
        <w:gridCol w:w="5751"/>
        <w:gridCol w:w="1381"/>
      </w:tblGrid>
      <w:tr w14:paraId="2189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098" w:type="dxa"/>
            <w:tcBorders>
              <w:top w:val="single" w:color="auto" w:sz="12" w:space="0"/>
              <w:left w:val="single" w:color="auto" w:sz="12" w:space="0"/>
            </w:tcBorders>
            <w:vAlign w:val="center"/>
          </w:tcPr>
          <w:p w14:paraId="31D3CA8A">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人员</w:t>
            </w:r>
            <w:r>
              <w:rPr>
                <w:rFonts w:ascii="方正超粗黑简体" w:eastAsia="方正超粗黑简体"/>
                <w:bCs/>
                <w:color w:val="auto"/>
                <w:szCs w:val="21"/>
                <w:highlight w:val="none"/>
                <w:vertAlign w:val="superscript"/>
              </w:rPr>
              <w:footnoteReference w:id="1"/>
            </w:r>
          </w:p>
        </w:tc>
        <w:tc>
          <w:tcPr>
            <w:tcW w:w="1239" w:type="dxa"/>
            <w:tcBorders>
              <w:top w:val="single" w:color="auto" w:sz="12" w:space="0"/>
              <w:right w:val="single" w:color="auto" w:sz="4" w:space="0"/>
            </w:tcBorders>
            <w:vAlign w:val="center"/>
          </w:tcPr>
          <w:p w14:paraId="1075EA9D">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hAnsi="宋体"/>
                <w:szCs w:val="21"/>
                <w:highlight w:val="none"/>
              </w:rPr>
              <w:t>数量</w:t>
            </w:r>
            <w:r>
              <w:rPr>
                <w:rFonts w:hint="eastAsia" w:hAnsi="宋体"/>
                <w:szCs w:val="21"/>
                <w:highlight w:val="none"/>
              </w:rPr>
              <w:br w:type="textWrapping"/>
            </w:r>
            <w:r>
              <w:rPr>
                <w:rFonts w:hint="eastAsia" w:hAnsi="宋体"/>
                <w:szCs w:val="21"/>
                <w:highlight w:val="none"/>
              </w:rPr>
              <w:t>（人</w:t>
            </w:r>
            <w:r>
              <w:rPr>
                <w:rFonts w:hint="eastAsia" w:hAnsi="宋体"/>
                <w:szCs w:val="21"/>
                <w:highlight w:val="none"/>
                <w:lang w:val="en-US" w:eastAsia="zh-CN"/>
              </w:rPr>
              <w:t>/标段</w:t>
            </w:r>
            <w:r>
              <w:rPr>
                <w:rFonts w:hint="eastAsia" w:hAnsi="宋体"/>
                <w:szCs w:val="21"/>
                <w:highlight w:val="none"/>
              </w:rPr>
              <w:t>）</w:t>
            </w:r>
          </w:p>
        </w:tc>
        <w:tc>
          <w:tcPr>
            <w:tcW w:w="5751" w:type="dxa"/>
            <w:tcBorders>
              <w:top w:val="single" w:color="auto" w:sz="12" w:space="0"/>
              <w:left w:val="single" w:color="auto" w:sz="4" w:space="0"/>
              <w:right w:val="single" w:color="auto" w:sz="4" w:space="0"/>
            </w:tcBorders>
            <w:vAlign w:val="center"/>
          </w:tcPr>
          <w:p w14:paraId="27EAF22B">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资格要求</w:t>
            </w:r>
          </w:p>
        </w:tc>
        <w:tc>
          <w:tcPr>
            <w:tcW w:w="1381" w:type="dxa"/>
            <w:tcBorders>
              <w:top w:val="single" w:color="auto" w:sz="12" w:space="0"/>
              <w:left w:val="single" w:color="auto" w:sz="4" w:space="0"/>
              <w:right w:val="single" w:color="auto" w:sz="12" w:space="0"/>
            </w:tcBorders>
            <w:vAlign w:val="center"/>
          </w:tcPr>
          <w:p w14:paraId="5414BADC">
            <w:pPr>
              <w:keepLines w:val="0"/>
              <w:kinsoku/>
              <w:wordWrap/>
              <w:overflowPunct/>
              <w:topLinePunct w:val="0"/>
              <w:bidi w:val="0"/>
              <w:spacing w:line="360" w:lineRule="exact"/>
              <w:jc w:val="center"/>
              <w:textAlignment w:val="auto"/>
              <w:rPr>
                <w:rFonts w:ascii="宋体" w:hAnsi="宋体"/>
                <w:color w:val="auto"/>
                <w:szCs w:val="21"/>
                <w:highlight w:val="none"/>
              </w:rPr>
            </w:pPr>
            <w:r>
              <w:rPr>
                <w:rFonts w:hint="eastAsia" w:ascii="宋体" w:hAnsi="宋体"/>
                <w:color w:val="auto"/>
                <w:szCs w:val="21"/>
                <w:highlight w:val="none"/>
              </w:rPr>
              <w:t>在岗要求</w:t>
            </w:r>
          </w:p>
        </w:tc>
      </w:tr>
      <w:tr w14:paraId="6706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1098" w:type="dxa"/>
            <w:tcBorders>
              <w:left w:val="single" w:color="auto" w:sz="12" w:space="0"/>
            </w:tcBorders>
            <w:vAlign w:val="center"/>
          </w:tcPr>
          <w:p w14:paraId="06887CF6">
            <w:pPr>
              <w:keepLines w:val="0"/>
              <w:kinsoku/>
              <w:wordWrap/>
              <w:overflowPunct/>
              <w:topLinePunct w:val="0"/>
              <w:bidi w:val="0"/>
              <w:spacing w:line="360" w:lineRule="exact"/>
              <w:jc w:val="center"/>
              <w:textAlignment w:val="auto"/>
              <w:rPr>
                <w:bCs/>
                <w:color w:val="auto"/>
                <w:szCs w:val="21"/>
                <w:highlight w:val="none"/>
              </w:rPr>
            </w:pPr>
            <w:r>
              <w:rPr>
                <w:rFonts w:hint="eastAsia" w:hAnsi="宋体"/>
                <w:bCs/>
                <w:color w:val="auto"/>
                <w:szCs w:val="21"/>
                <w:highlight w:val="none"/>
              </w:rPr>
              <w:t>项目经理</w:t>
            </w:r>
          </w:p>
        </w:tc>
        <w:tc>
          <w:tcPr>
            <w:tcW w:w="1239" w:type="dxa"/>
            <w:tcBorders>
              <w:right w:val="single" w:color="auto" w:sz="4" w:space="0"/>
            </w:tcBorders>
            <w:vAlign w:val="center"/>
          </w:tcPr>
          <w:p w14:paraId="5BAC1ADB">
            <w:pPr>
              <w:keepLines w:val="0"/>
              <w:kinsoku/>
              <w:wordWrap/>
              <w:overflowPunct/>
              <w:topLinePunct w:val="0"/>
              <w:bidi w:val="0"/>
              <w:spacing w:line="360" w:lineRule="exact"/>
              <w:jc w:val="center"/>
              <w:textAlignment w:val="auto"/>
              <w:rPr>
                <w:rFonts w:hint="default" w:hAnsi="宋体"/>
                <w:bCs/>
                <w:color w:val="auto"/>
                <w:szCs w:val="21"/>
                <w:highlight w:val="none"/>
                <w:lang w:val="en-US" w:eastAsia="zh-CN"/>
              </w:rPr>
            </w:pPr>
            <w:r>
              <w:rPr>
                <w:rFonts w:hint="eastAsia" w:hAnsi="宋体"/>
                <w:bCs/>
                <w:color w:val="auto"/>
                <w:szCs w:val="21"/>
                <w:highlight w:val="none"/>
              </w:rPr>
              <w:t>1</w:t>
            </w:r>
          </w:p>
        </w:tc>
        <w:tc>
          <w:tcPr>
            <w:tcW w:w="5751" w:type="dxa"/>
            <w:tcBorders>
              <w:left w:val="single" w:color="auto" w:sz="4" w:space="0"/>
              <w:right w:val="single" w:color="auto" w:sz="4" w:space="0"/>
            </w:tcBorders>
            <w:vAlign w:val="center"/>
          </w:tcPr>
          <w:p w14:paraId="5929824D">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b w:val="0"/>
                <w:bCs/>
                <w:color w:val="auto"/>
                <w:szCs w:val="21"/>
                <w:highlight w:val="none"/>
              </w:rPr>
            </w:pPr>
            <w:r>
              <w:rPr>
                <w:rFonts w:hint="eastAsia" w:ascii="宋体" w:hAnsi="宋体"/>
                <w:bCs/>
                <w:color w:val="auto"/>
                <w:szCs w:val="21"/>
                <w:highlight w:val="none"/>
              </w:rPr>
              <w:t>（1）投标</w:t>
            </w:r>
            <w:r>
              <w:rPr>
                <w:rFonts w:hint="eastAsia" w:ascii="宋体" w:hAnsi="宋体"/>
                <w:b w:val="0"/>
                <w:bCs/>
                <w:color w:val="auto"/>
                <w:szCs w:val="21"/>
                <w:highlight w:val="none"/>
              </w:rPr>
              <w:t>人</w:t>
            </w:r>
            <w:r>
              <w:rPr>
                <w:rFonts w:hint="eastAsia" w:ascii="宋体" w:hAnsi="宋体" w:eastAsia="宋体" w:cs="宋体"/>
                <w:b/>
                <w:bCs w:val="0"/>
                <w:color w:val="auto"/>
                <w:szCs w:val="21"/>
                <w:highlight w:val="none"/>
              </w:rPr>
              <w:t>自有</w:t>
            </w:r>
            <w:r>
              <w:rPr>
                <w:rStyle w:val="13"/>
                <w:rFonts w:ascii="方正超粗黑简体" w:eastAsia="方正超粗黑简体"/>
                <w:b w:val="0"/>
                <w:bCs/>
                <w:color w:val="auto"/>
                <w:szCs w:val="21"/>
                <w:highlight w:val="none"/>
              </w:rPr>
              <w:footnoteReference w:id="2"/>
            </w:r>
            <w:r>
              <w:rPr>
                <w:rFonts w:hint="eastAsia" w:ascii="宋体" w:hAnsi="宋体"/>
                <w:b w:val="0"/>
                <w:bCs/>
                <w:color w:val="auto"/>
                <w:szCs w:val="21"/>
                <w:highlight w:val="none"/>
              </w:rPr>
              <w:t>人员；</w:t>
            </w:r>
          </w:p>
          <w:p w14:paraId="78C844AE">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b w:val="0"/>
                <w:bCs/>
                <w:color w:val="auto"/>
                <w:szCs w:val="21"/>
                <w:highlight w:val="none"/>
              </w:rPr>
            </w:pPr>
            <w:r>
              <w:rPr>
                <w:rFonts w:hint="eastAsia" w:ascii="宋体" w:hAnsi="宋体"/>
                <w:b w:val="0"/>
                <w:bCs/>
                <w:color w:val="auto"/>
                <w:szCs w:val="21"/>
                <w:highlight w:val="none"/>
              </w:rPr>
              <w:t>（2）</w:t>
            </w:r>
            <w:r>
              <w:rPr>
                <w:rFonts w:hint="eastAsia" w:ascii="宋体" w:hAnsi="宋体"/>
                <w:b w:val="0"/>
                <w:bCs/>
                <w:color w:val="auto"/>
                <w:szCs w:val="21"/>
                <w:highlight w:val="none"/>
                <w:lang w:val="en-US" w:eastAsia="zh-CN"/>
              </w:rPr>
              <w:t>具有</w:t>
            </w:r>
            <w:r>
              <w:rPr>
                <w:rFonts w:hint="eastAsia" w:ascii="宋体" w:hAnsi="宋体"/>
                <w:b w:val="0"/>
                <w:bCs/>
                <w:color w:val="auto"/>
                <w:szCs w:val="21"/>
                <w:highlight w:val="none"/>
              </w:rPr>
              <w:t>公路工程相关专业</w:t>
            </w:r>
            <w:r>
              <w:rPr>
                <w:rStyle w:val="13"/>
                <w:rFonts w:ascii="方正超粗黑简体" w:eastAsia="方正超粗黑简体"/>
                <w:b w:val="0"/>
                <w:bCs/>
                <w:color w:val="auto"/>
                <w:szCs w:val="21"/>
                <w:highlight w:val="none"/>
              </w:rPr>
              <w:footnoteReference w:id="3"/>
            </w:r>
            <w:r>
              <w:rPr>
                <w:rFonts w:hint="eastAsia" w:ascii="宋体" w:hAnsi="宋体" w:cs="宋体"/>
                <w:b/>
                <w:bCs w:val="0"/>
                <w:color w:val="auto"/>
                <w:szCs w:val="21"/>
                <w:highlight w:val="none"/>
                <w:lang w:val="en-US" w:eastAsia="zh-CN"/>
              </w:rPr>
              <w:t>中级</w:t>
            </w:r>
            <w:r>
              <w:rPr>
                <w:rFonts w:hint="eastAsia" w:ascii="宋体" w:hAnsi="宋体" w:cs="宋体"/>
                <w:b w:val="0"/>
                <w:bCs/>
                <w:color w:val="auto"/>
                <w:szCs w:val="21"/>
                <w:highlight w:val="none"/>
                <w:lang w:val="en-US" w:eastAsia="zh-CN"/>
              </w:rPr>
              <w:t>职称</w:t>
            </w:r>
            <w:r>
              <w:rPr>
                <w:rFonts w:hint="eastAsia" w:ascii="宋体" w:hAnsi="宋体"/>
                <w:b w:val="0"/>
                <w:bCs/>
                <w:color w:val="auto"/>
                <w:szCs w:val="21"/>
                <w:highlight w:val="none"/>
              </w:rPr>
              <w:t>；</w:t>
            </w:r>
          </w:p>
          <w:p w14:paraId="4B8DFAB3">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b w:val="0"/>
                <w:bCs/>
                <w:color w:val="auto"/>
                <w:szCs w:val="21"/>
                <w:highlight w:val="none"/>
              </w:rPr>
            </w:pPr>
            <w:r>
              <w:rPr>
                <w:rFonts w:hint="eastAsia" w:ascii="宋体" w:hAnsi="宋体"/>
                <w:b w:val="0"/>
                <w:bCs/>
                <w:color w:val="auto"/>
                <w:szCs w:val="21"/>
                <w:highlight w:val="none"/>
              </w:rPr>
              <w:t>（3）具有建设行政主管部门颁发且已经在投标人单位注册的“公路工程”专业《</w:t>
            </w:r>
            <w:r>
              <w:rPr>
                <w:rFonts w:hint="eastAsia" w:ascii="宋体" w:hAnsi="宋体" w:cs="宋体"/>
                <w:b/>
                <w:bCs w:val="0"/>
                <w:color w:val="auto"/>
                <w:szCs w:val="21"/>
                <w:highlight w:val="none"/>
                <w:lang w:val="en-US" w:eastAsia="zh-CN"/>
              </w:rPr>
              <w:t>二</w:t>
            </w:r>
            <w:r>
              <w:rPr>
                <w:rFonts w:hint="eastAsia" w:ascii="宋体" w:hAnsi="宋体" w:eastAsia="宋体" w:cs="宋体"/>
                <w:b/>
                <w:bCs w:val="0"/>
                <w:color w:val="auto"/>
                <w:szCs w:val="21"/>
                <w:highlight w:val="none"/>
              </w:rPr>
              <w:t>级</w:t>
            </w:r>
            <w:r>
              <w:rPr>
                <w:rFonts w:hint="eastAsia" w:ascii="宋体" w:hAnsi="宋体"/>
                <w:b w:val="0"/>
                <w:bCs/>
                <w:color w:val="auto"/>
                <w:szCs w:val="21"/>
                <w:highlight w:val="none"/>
              </w:rPr>
              <w:t>建造师注册证书》；</w:t>
            </w:r>
          </w:p>
          <w:p w14:paraId="5C80452D">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bCs/>
                <w:color w:val="auto"/>
                <w:szCs w:val="21"/>
                <w:highlight w:val="none"/>
              </w:rPr>
            </w:pPr>
            <w:r>
              <w:rPr>
                <w:rFonts w:hint="eastAsia" w:ascii="宋体" w:hAnsi="宋体"/>
                <w:b w:val="0"/>
                <w:bCs/>
                <w:color w:val="auto"/>
                <w:szCs w:val="21"/>
                <w:highlight w:val="none"/>
              </w:rPr>
              <w:t>（4）具有交通运输主管部门颁发的有效的</w:t>
            </w:r>
            <w:r>
              <w:rPr>
                <w:rFonts w:hint="eastAsia" w:ascii="宋体" w:hAnsi="宋体" w:eastAsia="宋体" w:cs="宋体"/>
                <w:b/>
                <w:bCs w:val="0"/>
                <w:color w:val="auto"/>
                <w:szCs w:val="21"/>
                <w:highlight w:val="none"/>
              </w:rPr>
              <w:t>B类</w:t>
            </w:r>
            <w:r>
              <w:rPr>
                <w:rFonts w:hint="eastAsia" w:ascii="宋体" w:hAnsi="宋体"/>
                <w:bCs/>
                <w:color w:val="auto"/>
                <w:szCs w:val="21"/>
                <w:highlight w:val="none"/>
              </w:rPr>
              <w:t>安全生产</w:t>
            </w:r>
            <w:r>
              <w:rPr>
                <w:rFonts w:hint="eastAsia" w:ascii="宋体" w:hAnsi="宋体"/>
                <w:bCs/>
                <w:color w:val="auto"/>
                <w:szCs w:val="21"/>
                <w:highlight w:val="none"/>
                <w:lang w:val="en-US" w:eastAsia="zh-CN"/>
              </w:rPr>
              <w:t>考核合格</w:t>
            </w:r>
            <w:r>
              <w:rPr>
                <w:rFonts w:hint="eastAsia" w:ascii="宋体" w:hAnsi="宋体"/>
                <w:bCs/>
                <w:color w:val="auto"/>
                <w:szCs w:val="21"/>
                <w:highlight w:val="none"/>
              </w:rPr>
              <w:t>证书。</w:t>
            </w:r>
          </w:p>
        </w:tc>
        <w:tc>
          <w:tcPr>
            <w:tcW w:w="1381" w:type="dxa"/>
            <w:vMerge w:val="restart"/>
            <w:tcBorders>
              <w:left w:val="single" w:color="auto" w:sz="4" w:space="0"/>
              <w:right w:val="single" w:color="auto" w:sz="12" w:space="0"/>
            </w:tcBorders>
            <w:vAlign w:val="center"/>
          </w:tcPr>
          <w:p w14:paraId="739C2EC0">
            <w:pPr>
              <w:keepLines w:val="0"/>
              <w:widowControl/>
              <w:kinsoku/>
              <w:wordWrap/>
              <w:overflowPunct/>
              <w:topLinePunct w:val="0"/>
              <w:bidi w:val="0"/>
              <w:spacing w:line="360" w:lineRule="exact"/>
              <w:jc w:val="center"/>
              <w:textAlignment w:val="auto"/>
              <w:rPr>
                <w:bCs/>
                <w:color w:val="auto"/>
                <w:szCs w:val="21"/>
                <w:highlight w:val="none"/>
              </w:rPr>
            </w:pPr>
            <w:r>
              <w:rPr>
                <w:rFonts w:hint="eastAsia"/>
                <w:color w:val="auto"/>
                <w:kern w:val="0"/>
                <w:szCs w:val="21"/>
                <w:highlight w:val="none"/>
              </w:rPr>
              <w:t>无在岗项目（指目前未在其他项目上任职，或虽在其他项目上任职但本项目中标后能从该项目撤离）</w:t>
            </w:r>
          </w:p>
        </w:tc>
      </w:tr>
      <w:tr w14:paraId="7C9D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098" w:type="dxa"/>
            <w:tcBorders>
              <w:left w:val="single" w:color="auto" w:sz="12" w:space="0"/>
              <w:bottom w:val="single" w:color="auto" w:sz="12" w:space="0"/>
            </w:tcBorders>
            <w:vAlign w:val="center"/>
          </w:tcPr>
          <w:p w14:paraId="4349E6C3">
            <w:pPr>
              <w:keepLines w:val="0"/>
              <w:kinsoku/>
              <w:wordWrap/>
              <w:overflowPunct/>
              <w:topLinePunct w:val="0"/>
              <w:bidi w:val="0"/>
              <w:spacing w:line="360" w:lineRule="exact"/>
              <w:jc w:val="center"/>
              <w:textAlignment w:val="auto"/>
              <w:rPr>
                <w:bCs/>
                <w:color w:val="auto"/>
                <w:szCs w:val="21"/>
                <w:highlight w:val="none"/>
              </w:rPr>
            </w:pPr>
            <w:r>
              <w:rPr>
                <w:rFonts w:hint="eastAsia" w:hAnsi="宋体"/>
                <w:bCs/>
                <w:color w:val="auto"/>
                <w:szCs w:val="21"/>
                <w:highlight w:val="none"/>
              </w:rPr>
              <w:t>项目总工</w:t>
            </w:r>
          </w:p>
        </w:tc>
        <w:tc>
          <w:tcPr>
            <w:tcW w:w="1239" w:type="dxa"/>
            <w:tcBorders>
              <w:bottom w:val="single" w:color="auto" w:sz="12" w:space="0"/>
            </w:tcBorders>
            <w:vAlign w:val="center"/>
          </w:tcPr>
          <w:p w14:paraId="5BF6E863">
            <w:pPr>
              <w:keepLines w:val="0"/>
              <w:kinsoku/>
              <w:wordWrap/>
              <w:overflowPunct/>
              <w:topLinePunct w:val="0"/>
              <w:bidi w:val="0"/>
              <w:spacing w:line="360" w:lineRule="exact"/>
              <w:jc w:val="center"/>
              <w:textAlignment w:val="auto"/>
              <w:rPr>
                <w:rFonts w:hint="default" w:hAnsi="宋体"/>
                <w:bCs/>
                <w:color w:val="auto"/>
                <w:szCs w:val="21"/>
                <w:highlight w:val="none"/>
                <w:lang w:val="en-US" w:eastAsia="zh-CN"/>
              </w:rPr>
            </w:pPr>
            <w:r>
              <w:rPr>
                <w:rFonts w:hint="eastAsia" w:hAnsi="宋体"/>
                <w:bCs/>
                <w:color w:val="auto"/>
                <w:szCs w:val="21"/>
                <w:highlight w:val="none"/>
              </w:rPr>
              <w:t>1</w:t>
            </w:r>
          </w:p>
        </w:tc>
        <w:tc>
          <w:tcPr>
            <w:tcW w:w="5751" w:type="dxa"/>
            <w:tcBorders>
              <w:bottom w:val="single" w:color="auto" w:sz="12" w:space="0"/>
              <w:right w:val="single" w:color="auto" w:sz="4" w:space="0"/>
            </w:tcBorders>
            <w:vAlign w:val="center"/>
          </w:tcPr>
          <w:p w14:paraId="4982BA38">
            <w:pPr>
              <w:keepLines w:val="0"/>
              <w:kinsoku/>
              <w:wordWrap/>
              <w:overflowPunct/>
              <w:topLinePunct w:val="0"/>
              <w:bidi w:val="0"/>
              <w:spacing w:line="360" w:lineRule="exact"/>
              <w:textAlignment w:val="auto"/>
              <w:rPr>
                <w:bCs/>
                <w:szCs w:val="21"/>
                <w:highlight w:val="none"/>
              </w:rPr>
            </w:pPr>
            <w:r>
              <w:rPr>
                <w:rFonts w:hint="eastAsia"/>
                <w:bCs/>
                <w:szCs w:val="21"/>
                <w:highlight w:val="none"/>
              </w:rPr>
              <w:t>（1）投标人</w:t>
            </w:r>
            <w:r>
              <w:rPr>
                <w:rFonts w:hint="eastAsia" w:ascii="宋体" w:hAnsi="宋体" w:eastAsia="宋体" w:cs="宋体"/>
                <w:b/>
                <w:bCs/>
                <w:szCs w:val="21"/>
                <w:highlight w:val="none"/>
              </w:rPr>
              <w:t>自有</w:t>
            </w:r>
            <w:r>
              <w:rPr>
                <w:rFonts w:hint="eastAsia"/>
                <w:bCs/>
                <w:szCs w:val="21"/>
                <w:highlight w:val="none"/>
              </w:rPr>
              <w:t>人员；</w:t>
            </w:r>
          </w:p>
          <w:p w14:paraId="192454C1">
            <w:pPr>
              <w:keepNext w:val="0"/>
              <w:keepLines w:val="0"/>
              <w:pageBreakBefore w:val="0"/>
              <w:widowControl w:val="0"/>
              <w:kinsoku/>
              <w:wordWrap/>
              <w:overflowPunct/>
              <w:topLinePunct w:val="0"/>
              <w:bidi w:val="0"/>
              <w:snapToGrid/>
              <w:spacing w:line="360" w:lineRule="exact"/>
              <w:textAlignment w:val="auto"/>
              <w:rPr>
                <w:rFonts w:hint="eastAsia" w:eastAsia="宋体"/>
                <w:bCs/>
                <w:color w:val="auto"/>
                <w:szCs w:val="21"/>
                <w:highlight w:val="none"/>
                <w:lang w:eastAsia="zh-CN"/>
              </w:rPr>
            </w:pPr>
            <w:r>
              <w:rPr>
                <w:rFonts w:hint="eastAsia"/>
                <w:bCs/>
                <w:szCs w:val="21"/>
                <w:highlight w:val="none"/>
              </w:rPr>
              <w:t>（2）具有公路工程相关专业</w:t>
            </w:r>
            <w:r>
              <w:rPr>
                <w:rFonts w:hint="eastAsia" w:ascii="宋体" w:hAnsi="宋体" w:cs="宋体"/>
                <w:b/>
                <w:bCs/>
                <w:szCs w:val="21"/>
                <w:highlight w:val="none"/>
                <w:lang w:val="en-US" w:eastAsia="zh-CN"/>
              </w:rPr>
              <w:t>中</w:t>
            </w:r>
            <w:r>
              <w:rPr>
                <w:rFonts w:hint="eastAsia" w:ascii="宋体" w:hAnsi="宋体" w:eastAsia="宋体" w:cs="宋体"/>
                <w:b/>
                <w:bCs/>
                <w:szCs w:val="21"/>
                <w:highlight w:val="none"/>
                <w:lang w:val="en-US" w:eastAsia="zh-CN"/>
              </w:rPr>
              <w:t>级</w:t>
            </w:r>
            <w:r>
              <w:rPr>
                <w:rFonts w:hint="eastAsia"/>
                <w:bCs/>
                <w:szCs w:val="21"/>
                <w:highlight w:val="none"/>
              </w:rPr>
              <w:t>职称</w:t>
            </w:r>
            <w:r>
              <w:rPr>
                <w:rFonts w:hint="eastAsia"/>
                <w:bCs/>
                <w:szCs w:val="21"/>
                <w:highlight w:val="none"/>
                <w:lang w:eastAsia="zh-CN"/>
              </w:rPr>
              <w:t>。</w:t>
            </w:r>
          </w:p>
        </w:tc>
        <w:tc>
          <w:tcPr>
            <w:tcW w:w="1381" w:type="dxa"/>
            <w:vMerge w:val="continue"/>
            <w:tcBorders>
              <w:left w:val="single" w:color="auto" w:sz="4" w:space="0"/>
              <w:bottom w:val="single" w:color="auto" w:sz="12" w:space="0"/>
              <w:right w:val="single" w:color="auto" w:sz="12" w:space="0"/>
            </w:tcBorders>
          </w:tcPr>
          <w:p w14:paraId="4A8708A2">
            <w:pPr>
              <w:keepLines w:val="0"/>
              <w:widowControl/>
              <w:kinsoku/>
              <w:wordWrap/>
              <w:overflowPunct/>
              <w:topLinePunct w:val="0"/>
              <w:bidi w:val="0"/>
              <w:spacing w:line="360" w:lineRule="exact"/>
              <w:jc w:val="left"/>
              <w:textAlignment w:val="auto"/>
              <w:rPr>
                <w:bCs/>
                <w:color w:val="auto"/>
                <w:szCs w:val="21"/>
                <w:highlight w:val="none"/>
              </w:rPr>
            </w:pPr>
          </w:p>
        </w:tc>
      </w:tr>
    </w:tbl>
    <w:p w14:paraId="3943F173">
      <w:pPr>
        <w:keepNext w:val="0"/>
        <w:keepLines w:val="0"/>
        <w:pageBreakBefore/>
        <w:widowControl w:val="0"/>
        <w:kinsoku/>
        <w:wordWrap/>
        <w:overflowPunct/>
        <w:topLinePunct w:val="0"/>
        <w:autoSpaceDE/>
        <w:autoSpaceDN/>
        <w:bidi w:val="0"/>
        <w:adjustRightInd w:val="0"/>
        <w:snapToGrid w:val="0"/>
        <w:spacing w:beforeLines="100" w:afterLines="100" w:line="360" w:lineRule="exact"/>
        <w:jc w:val="center"/>
        <w:textAlignment w:val="auto"/>
        <w:outlineLvl w:val="1"/>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rPr>
        <w:t>评标办法（技术评分最低标价法）</w:t>
      </w:r>
    </w:p>
    <w:p w14:paraId="59D695F1">
      <w:pPr>
        <w:keepLines w:val="0"/>
        <w:kinsoku/>
        <w:wordWrap/>
        <w:overflowPunct/>
        <w:topLinePunct w:val="0"/>
        <w:bidi w:val="0"/>
        <w:spacing w:line="360" w:lineRule="exact"/>
        <w:textAlignment w:val="auto"/>
        <w:outlineLvl w:val="1"/>
        <w:rPr>
          <w:rFonts w:hint="eastAsia" w:ascii="黑体" w:hAnsi="黑体" w:eastAsia="黑体" w:cs="黑体"/>
          <w:b/>
          <w:color w:val="auto"/>
          <w:sz w:val="30"/>
          <w:szCs w:val="30"/>
          <w:highlight w:val="none"/>
        </w:rPr>
      </w:pPr>
      <w:bookmarkStart w:id="15" w:name="_Toc505091277"/>
      <w:bookmarkStart w:id="16" w:name="_Toc520285006"/>
      <w:bookmarkStart w:id="17" w:name="_Toc19819"/>
      <w:r>
        <w:rPr>
          <w:rFonts w:hint="eastAsia" w:ascii="黑体" w:hAnsi="黑体" w:eastAsia="黑体" w:cs="黑体"/>
          <w:b/>
          <w:color w:val="auto"/>
          <w:sz w:val="30"/>
          <w:szCs w:val="30"/>
          <w:highlight w:val="none"/>
        </w:rPr>
        <w:t>评标办法前附表</w:t>
      </w:r>
      <w:bookmarkEnd w:id="15"/>
      <w:bookmarkEnd w:id="16"/>
      <w:bookmarkEnd w:id="17"/>
    </w:p>
    <w:tbl>
      <w:tblPr>
        <w:tblStyle w:val="11"/>
        <w:tblW w:w="9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636"/>
        <w:gridCol w:w="7046"/>
      </w:tblGrid>
      <w:tr w14:paraId="2791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2535" w:type="dxa"/>
            <w:gridSpan w:val="2"/>
            <w:tcBorders>
              <w:top w:val="single" w:color="auto" w:sz="12" w:space="0"/>
              <w:left w:val="single" w:color="auto" w:sz="12" w:space="0"/>
            </w:tcBorders>
            <w:vAlign w:val="center"/>
          </w:tcPr>
          <w:p w14:paraId="7CF647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auto"/>
                <w:highlight w:val="none"/>
                <w:lang w:val="zh-CN"/>
              </w:rPr>
            </w:pPr>
            <w:r>
              <w:rPr>
                <w:rFonts w:hint="eastAsia"/>
                <w:b/>
                <w:bCs/>
                <w:color w:val="auto"/>
                <w:highlight w:val="none"/>
                <w:lang w:val="zh-CN"/>
              </w:rPr>
              <w:t>条款号</w:t>
            </w:r>
          </w:p>
        </w:tc>
        <w:tc>
          <w:tcPr>
            <w:tcW w:w="7046" w:type="dxa"/>
            <w:tcBorders>
              <w:top w:val="single" w:color="auto" w:sz="12" w:space="0"/>
              <w:right w:val="single" w:color="auto" w:sz="12" w:space="0"/>
            </w:tcBorders>
            <w:vAlign w:val="center"/>
          </w:tcPr>
          <w:p w14:paraId="244DFB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auto"/>
                <w:highlight w:val="none"/>
                <w:lang w:val="zh-CN"/>
              </w:rPr>
            </w:pPr>
            <w:r>
              <w:rPr>
                <w:rFonts w:hint="eastAsia"/>
                <w:b/>
                <w:bCs/>
                <w:color w:val="auto"/>
                <w:highlight w:val="none"/>
                <w:lang w:val="zh-CN"/>
              </w:rPr>
              <w:t>评审因素与标准</w:t>
            </w:r>
          </w:p>
        </w:tc>
      </w:tr>
      <w:tr w14:paraId="6CF8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2358BBD4">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1</w:t>
            </w:r>
          </w:p>
        </w:tc>
        <w:tc>
          <w:tcPr>
            <w:tcW w:w="1636" w:type="dxa"/>
            <w:vAlign w:val="center"/>
          </w:tcPr>
          <w:p w14:paraId="3D875720">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color w:val="auto"/>
                <w:highlight w:val="none"/>
                <w:lang w:val="zh-CN"/>
              </w:rPr>
            </w:pPr>
            <w:r>
              <w:rPr>
                <w:rFonts w:hint="eastAsia" w:cs="宋体"/>
                <w:color w:val="auto"/>
                <w:highlight w:val="none"/>
                <w:lang w:val="zh-CN"/>
              </w:rPr>
              <w:t>评标办法</w:t>
            </w:r>
          </w:p>
        </w:tc>
        <w:tc>
          <w:tcPr>
            <w:tcW w:w="7046" w:type="dxa"/>
            <w:tcBorders>
              <w:right w:val="single" w:color="auto" w:sz="12" w:space="0"/>
            </w:tcBorders>
            <w:vAlign w:val="center"/>
          </w:tcPr>
          <w:p w14:paraId="27BBE79F">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315" w:firstLineChars="150"/>
              <w:jc w:val="left"/>
              <w:textAlignment w:val="auto"/>
              <w:rPr>
                <w:rFonts w:ascii="宋体" w:hAnsi="宋体" w:eastAsia="宋体" w:cs="PMingLiU"/>
                <w:color w:val="auto"/>
                <w:highlight w:val="none"/>
                <w:lang w:val="en-US" w:eastAsia="zh-CN"/>
              </w:rPr>
            </w:pPr>
            <w:r>
              <w:rPr>
                <w:rFonts w:hint="eastAsia" w:ascii="宋体" w:hAnsi="宋体" w:eastAsia="宋体"/>
                <w:color w:val="auto"/>
                <w:kern w:val="2"/>
                <w:sz w:val="21"/>
                <w:szCs w:val="21"/>
                <w:highlight w:val="none"/>
                <w:lang w:val="en-US" w:eastAsia="zh-CN"/>
              </w:rPr>
              <w:t>评标价</w:t>
            </w:r>
            <w:r>
              <w:rPr>
                <w:rFonts w:ascii="宋体" w:hAnsi="宋体" w:eastAsia="宋体"/>
                <w:color w:val="auto"/>
                <w:kern w:val="2"/>
                <w:sz w:val="21"/>
                <w:szCs w:val="21"/>
                <w:highlight w:val="none"/>
                <w:lang w:val="en-US" w:eastAsia="zh-CN"/>
              </w:rPr>
              <w:t>相等时</w:t>
            </w:r>
            <w:r>
              <w:rPr>
                <w:rFonts w:hint="eastAsia" w:ascii="宋体" w:hAnsi="宋体" w:eastAsia="宋体"/>
                <w:color w:val="auto"/>
                <w:kern w:val="2"/>
                <w:sz w:val="21"/>
                <w:szCs w:val="21"/>
                <w:highlight w:val="none"/>
                <w:lang w:val="en-US" w:eastAsia="zh-CN"/>
              </w:rPr>
              <w:t>，按照第一信封的排序规则和结果</w:t>
            </w:r>
            <w:r>
              <w:rPr>
                <w:rFonts w:ascii="宋体" w:hAnsi="宋体" w:eastAsia="宋体"/>
                <w:color w:val="auto"/>
                <w:kern w:val="2"/>
                <w:sz w:val="21"/>
                <w:szCs w:val="21"/>
                <w:highlight w:val="none"/>
                <w:lang w:val="en-US" w:eastAsia="zh-CN"/>
              </w:rPr>
              <w:t>推荐中标候选人</w:t>
            </w:r>
            <w:r>
              <w:rPr>
                <w:rFonts w:hint="eastAsia" w:ascii="宋体" w:hAnsi="宋体" w:eastAsia="宋体"/>
                <w:color w:val="auto"/>
                <w:kern w:val="2"/>
                <w:sz w:val="21"/>
                <w:szCs w:val="21"/>
                <w:highlight w:val="none"/>
                <w:lang w:val="en-US" w:eastAsia="zh-CN"/>
              </w:rPr>
              <w:t>。</w:t>
            </w:r>
          </w:p>
        </w:tc>
      </w:tr>
      <w:tr w14:paraId="3651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vMerge w:val="restart"/>
            <w:tcBorders>
              <w:left w:val="single" w:color="auto" w:sz="12" w:space="0"/>
            </w:tcBorders>
            <w:vAlign w:val="center"/>
          </w:tcPr>
          <w:p w14:paraId="4F033F90">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2.1.1</w:t>
            </w:r>
          </w:p>
          <w:p w14:paraId="4BA63051">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2.1.3</w:t>
            </w:r>
          </w:p>
        </w:tc>
        <w:tc>
          <w:tcPr>
            <w:tcW w:w="1636" w:type="dxa"/>
            <w:vAlign w:val="center"/>
          </w:tcPr>
          <w:p w14:paraId="69179BB7">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ascii="黑体" w:eastAsia="黑体" w:cs="宋体"/>
                <w:b/>
                <w:color w:val="auto"/>
                <w:highlight w:val="none"/>
                <w:lang w:val="zh-CN"/>
              </w:rPr>
            </w:pPr>
            <w:r>
              <w:rPr>
                <w:rFonts w:hint="eastAsia" w:ascii="宋体" w:hAnsi="宋体" w:cs="宋体"/>
                <w:b/>
                <w:color w:val="auto"/>
                <w:highlight w:val="none"/>
                <w:lang w:val="zh-CN"/>
              </w:rPr>
              <w:t>第一</w:t>
            </w:r>
            <w:r>
              <w:rPr>
                <w:rFonts w:hint="eastAsia" w:ascii="宋体" w:hAnsi="宋体" w:cs="宋体"/>
                <w:b/>
                <w:color w:val="auto"/>
                <w:highlight w:val="none"/>
                <w:lang w:val="en-US" w:eastAsia="zh-CN"/>
              </w:rPr>
              <w:t>个</w:t>
            </w:r>
            <w:r>
              <w:rPr>
                <w:rFonts w:hint="eastAsia" w:ascii="宋体" w:hAnsi="宋体" w:cs="宋体"/>
                <w:b/>
                <w:color w:val="auto"/>
                <w:highlight w:val="none"/>
                <w:lang w:val="zh-CN"/>
              </w:rPr>
              <w:t>信封</w:t>
            </w:r>
          </w:p>
          <w:p w14:paraId="572CAB24">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color w:val="auto"/>
                <w:highlight w:val="none"/>
                <w:lang w:val="zh-CN"/>
              </w:rPr>
            </w:pPr>
            <w:r>
              <w:rPr>
                <w:rFonts w:hint="eastAsia" w:cs="宋体"/>
                <w:color w:val="auto"/>
                <w:highlight w:val="none"/>
                <w:lang w:val="zh-CN"/>
              </w:rPr>
              <w:t>形式评审与响应性评审标准</w:t>
            </w:r>
          </w:p>
        </w:tc>
        <w:tc>
          <w:tcPr>
            <w:tcW w:w="7046" w:type="dxa"/>
            <w:tcBorders>
              <w:right w:val="single" w:color="auto" w:sz="12" w:space="0"/>
            </w:tcBorders>
            <w:vAlign w:val="center"/>
          </w:tcPr>
          <w:p w14:paraId="01FF456E">
            <w:pPr>
              <w:keepNext w:val="0"/>
              <w:keepLines w:val="0"/>
              <w:pageBreakBefore w:val="0"/>
              <w:widowControl w:val="0"/>
              <w:kinsoku/>
              <w:wordWrap/>
              <w:overflowPunct/>
              <w:topLinePunct w:val="0"/>
              <w:bidi w:val="0"/>
              <w:adjustRightInd w:val="0"/>
              <w:snapToGrid w:val="0"/>
              <w:spacing w:line="360" w:lineRule="exact"/>
              <w:textAlignment w:val="auto"/>
              <w:rPr>
                <w:rFonts w:eastAsia="黑体"/>
                <w:b/>
                <w:color w:val="auto"/>
                <w:highlight w:val="none"/>
              </w:rPr>
            </w:pPr>
            <w:r>
              <w:rPr>
                <w:rFonts w:hint="eastAsia" w:ascii="宋体" w:hAnsi="宋体" w:cs="宋体"/>
                <w:b/>
                <w:color w:val="auto"/>
                <w:highlight w:val="none"/>
              </w:rPr>
              <w:t>第一个信封（商务及技术文件）评审标准：</w:t>
            </w:r>
          </w:p>
          <w:p w14:paraId="23E7CFDB">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Fonts w:ascii="宋体" w:hAnsi="宋体" w:eastAsia="宋体" w:cs="PMingLiU"/>
                <w:color w:val="auto"/>
                <w:sz w:val="21"/>
                <w:szCs w:val="21"/>
                <w:highlight w:val="none"/>
                <w:lang w:val="en-US" w:eastAsia="zh-CN"/>
              </w:rPr>
            </w:pPr>
            <w:r>
              <w:rPr>
                <w:rStyle w:val="26"/>
                <w:rFonts w:hint="eastAsia" w:ascii="宋体" w:hAnsi="宋体" w:eastAsia="宋体"/>
                <w:color w:val="auto"/>
                <w:sz w:val="21"/>
                <w:szCs w:val="21"/>
                <w:highlight w:val="none"/>
              </w:rPr>
              <w:t>（1）</w:t>
            </w:r>
            <w:r>
              <w:rPr>
                <w:rStyle w:val="26"/>
                <w:rFonts w:ascii="宋体" w:hAnsi="宋体" w:eastAsia="宋体"/>
                <w:color w:val="auto"/>
                <w:sz w:val="21"/>
                <w:szCs w:val="21"/>
                <w:highlight w:val="none"/>
              </w:rPr>
              <w:t>投标文件按照招标文件规定的格式、内容填写，字迹清晰可辨：</w:t>
            </w:r>
          </w:p>
          <w:p w14:paraId="5CF80DDC">
            <w:pPr>
              <w:pStyle w:val="25"/>
              <w:keepNext w:val="0"/>
              <w:keepLines w:val="0"/>
              <w:pageBreakBefore w:val="0"/>
              <w:widowControl w:val="0"/>
              <w:shd w:val="clear" w:color="auto" w:fill="auto"/>
              <w:tabs>
                <w:tab w:val="left" w:pos="1053"/>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a</w:t>
            </w:r>
            <w:r>
              <w:rPr>
                <w:rStyle w:val="26"/>
                <w:rFonts w:hint="eastAsia" w:ascii="宋体" w:hAnsi="宋体" w:eastAsia="宋体"/>
                <w:color w:val="auto"/>
                <w:sz w:val="21"/>
                <w:szCs w:val="21"/>
                <w:highlight w:val="none"/>
                <w:lang w:val="en-US"/>
              </w:rPr>
              <w:t>.</w:t>
            </w:r>
            <w:r>
              <w:rPr>
                <w:rStyle w:val="26"/>
                <w:rFonts w:ascii="宋体" w:hAnsi="宋体" w:eastAsia="宋体"/>
                <w:color w:val="auto"/>
                <w:sz w:val="21"/>
                <w:szCs w:val="21"/>
                <w:highlight w:val="none"/>
              </w:rPr>
              <w:t>投标函按招标文件规定填报了项目名称、标段号、补遗书编号（如有</w:t>
            </w:r>
            <w:r>
              <w:rPr>
                <w:rStyle w:val="26"/>
                <w:rFonts w:hint="eastAsia" w:ascii="宋体" w:hAnsi="宋体" w:eastAsia="宋体"/>
                <w:color w:val="auto"/>
                <w:sz w:val="21"/>
                <w:szCs w:val="21"/>
                <w:highlight w:val="none"/>
              </w:rPr>
              <w:t>）</w:t>
            </w:r>
            <w:r>
              <w:rPr>
                <w:rStyle w:val="26"/>
                <w:rFonts w:ascii="宋体" w:hAnsi="宋体" w:eastAsia="宋体"/>
                <w:color w:val="auto"/>
                <w:sz w:val="21"/>
                <w:szCs w:val="21"/>
                <w:highlight w:val="none"/>
              </w:rPr>
              <w:t>、工期、工程质量要求及安全目标；</w:t>
            </w:r>
          </w:p>
          <w:p w14:paraId="6249E5DC">
            <w:pPr>
              <w:pStyle w:val="25"/>
              <w:keepNext w:val="0"/>
              <w:keepLines w:val="0"/>
              <w:pageBreakBefore w:val="0"/>
              <w:widowControl w:val="0"/>
              <w:shd w:val="clear" w:color="auto" w:fill="auto"/>
              <w:tabs>
                <w:tab w:val="left" w:pos="1053"/>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b</w:t>
            </w:r>
            <w:r>
              <w:rPr>
                <w:rStyle w:val="26"/>
                <w:rFonts w:hint="eastAsia" w:ascii="宋体" w:hAnsi="宋体" w:eastAsia="宋体"/>
                <w:color w:val="auto"/>
                <w:sz w:val="21"/>
                <w:szCs w:val="21"/>
                <w:highlight w:val="none"/>
                <w:lang w:val="en-US"/>
              </w:rPr>
              <w:t>.</w:t>
            </w:r>
            <w:r>
              <w:rPr>
                <w:rStyle w:val="26"/>
                <w:rFonts w:ascii="宋体" w:hAnsi="宋体" w:eastAsia="宋体"/>
                <w:color w:val="auto"/>
                <w:sz w:val="21"/>
                <w:szCs w:val="21"/>
                <w:highlight w:val="none"/>
              </w:rPr>
              <w:t>投标函附录的所有数据均符合招标文件规定；</w:t>
            </w:r>
          </w:p>
          <w:p w14:paraId="2EBCEA0F">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c</w:t>
            </w:r>
            <w:r>
              <w:rPr>
                <w:rStyle w:val="26"/>
                <w:rFonts w:hint="eastAsia" w:ascii="宋体" w:hAnsi="宋体" w:eastAsia="宋体"/>
                <w:color w:val="auto"/>
                <w:sz w:val="21"/>
                <w:szCs w:val="21"/>
                <w:highlight w:val="none"/>
                <w:lang w:val="en-US"/>
              </w:rPr>
              <w:t>.</w:t>
            </w:r>
            <w:r>
              <w:rPr>
                <w:rStyle w:val="26"/>
                <w:rFonts w:ascii="宋体" w:hAnsi="宋体" w:eastAsia="宋体"/>
                <w:color w:val="auto"/>
                <w:sz w:val="21"/>
                <w:szCs w:val="21"/>
                <w:highlight w:val="none"/>
              </w:rPr>
              <w:t>投标文件组成齐全完整，内容均按规定填写。</w:t>
            </w:r>
          </w:p>
          <w:p w14:paraId="53082D1C">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（2）</w:t>
            </w:r>
            <w:r>
              <w:rPr>
                <w:rStyle w:val="26"/>
                <w:rFonts w:ascii="宋体" w:hAnsi="宋体" w:eastAsia="宋体"/>
                <w:color w:val="auto"/>
                <w:sz w:val="21"/>
                <w:szCs w:val="21"/>
                <w:highlight w:val="none"/>
              </w:rPr>
              <w:t>投标文件上法定代表人或其委托代理人的签字、投标人的单位章盖章齐全，符合招标文件规定。</w:t>
            </w:r>
          </w:p>
          <w:p w14:paraId="76DDA459">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（3）投标人按照招标文件的规定提供了投标保证金：</w:t>
            </w:r>
          </w:p>
          <w:p w14:paraId="1C1B6EE2">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a.投标保证金金额符合招标文件规定的金额，且投标保证金有效期不少于投标有效期；</w:t>
            </w:r>
          </w:p>
          <w:p w14:paraId="0F6F4450">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b.若投标保证金采用现金或支票形式提交，投标人应在递交投标文件截止时间之前，将投标保证金由投标人的基本账户转入招标人指定账户；</w:t>
            </w:r>
          </w:p>
          <w:p w14:paraId="42043AAF">
            <w:pPr>
              <w:pStyle w:val="25"/>
              <w:keepNext w:val="0"/>
              <w:keepLines w:val="0"/>
              <w:pageBreakBefore w:val="0"/>
              <w:widowControl w:val="0"/>
              <w:shd w:val="clear" w:color="auto" w:fill="auto"/>
              <w:tabs>
                <w:tab w:val="left" w:pos="1055"/>
              </w:tabs>
              <w:kinsoku/>
              <w:wordWrap/>
              <w:overflowPunct/>
              <w:topLinePunct w:val="0"/>
              <w:bidi w:val="0"/>
              <w:spacing w:before="0" w:after="0" w:line="360" w:lineRule="exact"/>
              <w:ind w:firstLine="420" w:firstLineChars="200"/>
              <w:jc w:val="left"/>
              <w:textAlignment w:val="auto"/>
              <w:rPr>
                <w:rStyle w:val="26"/>
                <w:rFonts w:ascii="宋体" w:hAnsi="宋体" w:eastAsia="宋体"/>
                <w:color w:val="auto"/>
                <w:sz w:val="21"/>
                <w:szCs w:val="21"/>
                <w:highlight w:val="none"/>
              </w:rPr>
            </w:pPr>
            <w:r>
              <w:rPr>
                <w:rStyle w:val="26"/>
                <w:rFonts w:hint="eastAsia" w:ascii="宋体" w:hAnsi="宋体" w:eastAsia="宋体"/>
                <w:color w:val="auto"/>
                <w:sz w:val="21"/>
                <w:szCs w:val="21"/>
                <w:highlight w:val="none"/>
              </w:rPr>
              <w:t>c.若投标保证金采用保函（</w:t>
            </w:r>
            <w:r>
              <w:rPr>
                <w:rStyle w:val="26"/>
                <w:rFonts w:hint="eastAsia" w:ascii="宋体" w:hAnsi="宋体" w:eastAsia="宋体"/>
                <w:color w:val="auto"/>
                <w:sz w:val="21"/>
                <w:szCs w:val="21"/>
                <w:highlight w:val="none"/>
                <w:lang w:val="en-US"/>
              </w:rPr>
              <w:t>保单</w:t>
            </w:r>
            <w:r>
              <w:rPr>
                <w:rStyle w:val="26"/>
                <w:rFonts w:hint="eastAsia" w:ascii="宋体" w:hAnsi="宋体" w:eastAsia="宋体"/>
                <w:color w:val="auto"/>
                <w:sz w:val="21"/>
                <w:szCs w:val="21"/>
                <w:highlight w:val="none"/>
              </w:rPr>
              <w:t>）形式提交，应满足</w:t>
            </w:r>
            <w:r>
              <w:rPr>
                <w:rStyle w:val="26"/>
                <w:rFonts w:hint="eastAsia" w:ascii="宋体" w:hAnsi="宋体" w:eastAsia="宋体"/>
                <w:color w:val="auto"/>
                <w:sz w:val="21"/>
                <w:szCs w:val="21"/>
                <w:highlight w:val="none"/>
                <w:lang w:val="en-US"/>
              </w:rPr>
              <w:t>招标文件</w:t>
            </w:r>
            <w:r>
              <w:rPr>
                <w:rStyle w:val="26"/>
                <w:rFonts w:hint="eastAsia" w:ascii="宋体" w:hAnsi="宋体" w:eastAsia="宋体"/>
                <w:color w:val="auto"/>
                <w:sz w:val="21"/>
                <w:szCs w:val="21"/>
                <w:highlight w:val="none"/>
              </w:rPr>
              <w:t>要求。</w:t>
            </w:r>
          </w:p>
          <w:p w14:paraId="545376A0">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color w:val="auto"/>
                <w:highlight w:val="none"/>
              </w:rPr>
              <w:t>（</w:t>
            </w:r>
            <w:r>
              <w:rPr>
                <w:rFonts w:hint="eastAsia" w:ascii="宋体" w:hAnsi="宋体"/>
                <w:color w:val="auto"/>
                <w:highlight w:val="none"/>
              </w:rPr>
              <w:t>4）</w:t>
            </w:r>
            <w:r>
              <w:rPr>
                <w:rFonts w:ascii="宋体" w:hAnsi="宋体"/>
                <w:color w:val="auto"/>
                <w:highlight w:val="none"/>
              </w:rPr>
              <w:t>投标人法定代表人授权委托代理人签署投标文件的，</w:t>
            </w:r>
            <w:r>
              <w:rPr>
                <w:rFonts w:hint="eastAsia" w:ascii="宋体" w:hAnsi="宋体"/>
                <w:color w:val="auto"/>
                <w:highlight w:val="none"/>
                <w:lang w:val="en-US" w:eastAsia="zh-CN"/>
              </w:rPr>
              <w:t>须</w:t>
            </w:r>
            <w:r>
              <w:rPr>
                <w:rFonts w:ascii="宋体" w:hAnsi="宋体"/>
                <w:color w:val="auto"/>
                <w:highlight w:val="none"/>
              </w:rPr>
              <w:t>提交授权委托书，且授权人和被授权人均在授权委托书上签名。</w:t>
            </w:r>
          </w:p>
          <w:p w14:paraId="5E12E316">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（5）</w:t>
            </w:r>
            <w:r>
              <w:rPr>
                <w:rFonts w:ascii="宋体" w:hAnsi="宋体"/>
                <w:color w:val="auto"/>
                <w:highlight w:val="none"/>
              </w:rPr>
              <w:t>投标人法定代表人亲自签署投标文件的，提供了法定代表人身份证明，且法定代表人在法定代表人身份证明上签名。</w:t>
            </w:r>
          </w:p>
          <w:p w14:paraId="72A5D943">
            <w:pPr>
              <w:keepNext w:val="0"/>
              <w:keepLines w:val="0"/>
              <w:pageBreakBefore w:val="0"/>
              <w:widowControl w:val="0"/>
              <w:kinsoku/>
              <w:wordWrap/>
              <w:overflowPunct/>
              <w:topLinePunct w:val="0"/>
              <w:bidi w:val="0"/>
              <w:spacing w:line="360" w:lineRule="exact"/>
              <w:ind w:firstLine="420" w:firstLineChars="200"/>
              <w:textAlignment w:val="auto"/>
              <w:rPr>
                <w:rFonts w:hint="default" w:ascii="宋体" w:hAnsi="宋体" w:eastAsia="宋体"/>
                <w:highlight w:val="none"/>
                <w:lang w:val="en-US" w:eastAsia="zh-CN"/>
              </w:rPr>
            </w:pPr>
            <w:r>
              <w:rPr>
                <w:rFonts w:hint="eastAsia" w:ascii="宋体" w:hAnsi="宋体"/>
                <w:highlight w:val="none"/>
              </w:rPr>
              <w:t>（6）</w:t>
            </w:r>
            <w:r>
              <w:rPr>
                <w:rFonts w:hint="eastAsia" w:ascii="宋体" w:hAnsi="宋体"/>
              </w:rPr>
              <w:t>投标人</w:t>
            </w:r>
            <w:r>
              <w:rPr>
                <w:rFonts w:hint="eastAsia" w:ascii="宋体" w:hAnsi="宋体"/>
                <w:lang w:val="en-US" w:eastAsia="zh-CN"/>
              </w:rPr>
              <w:t>未</w:t>
            </w:r>
            <w:r>
              <w:rPr>
                <w:rFonts w:hint="eastAsia" w:ascii="宋体" w:hAnsi="宋体"/>
              </w:rPr>
              <w:t>以联合体形式投标</w:t>
            </w:r>
            <w:r>
              <w:rPr>
                <w:rFonts w:hint="eastAsia" w:ascii="宋体" w:hAnsi="宋体"/>
                <w:lang w:eastAsia="zh-CN"/>
              </w:rPr>
              <w:t>。</w:t>
            </w:r>
          </w:p>
          <w:p w14:paraId="08A8B450">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highlight w:val="none"/>
              </w:rPr>
              <w:t>（7）</w:t>
            </w:r>
            <w:r>
              <w:rPr>
                <w:rFonts w:hint="eastAsia" w:ascii="宋体" w:hAnsi="宋体"/>
                <w:color w:val="auto"/>
                <w:highlight w:val="none"/>
              </w:rPr>
              <w:t>投</w:t>
            </w:r>
            <w:r>
              <w:rPr>
                <w:rFonts w:ascii="宋体" w:hAnsi="宋体"/>
                <w:color w:val="auto"/>
                <w:highlight w:val="none"/>
              </w:rPr>
              <w:t>标人</w:t>
            </w:r>
            <w:r>
              <w:rPr>
                <w:rFonts w:hint="eastAsia" w:ascii="宋体" w:hAnsi="宋体"/>
                <w:color w:val="auto"/>
                <w:highlight w:val="none"/>
                <w:lang w:val="en-US" w:eastAsia="zh-CN"/>
              </w:rPr>
              <w:t>如有</w:t>
            </w:r>
            <w:r>
              <w:rPr>
                <w:rFonts w:ascii="宋体" w:hAnsi="宋体"/>
                <w:color w:val="auto"/>
                <w:highlight w:val="none"/>
              </w:rPr>
              <w:t>分包计划</w:t>
            </w:r>
            <w:r>
              <w:rPr>
                <w:rFonts w:hint="eastAsia" w:ascii="宋体" w:hAnsi="宋体"/>
                <w:color w:val="auto"/>
                <w:highlight w:val="none"/>
                <w:lang w:eastAsia="zh-CN"/>
              </w:rPr>
              <w:t>，</w:t>
            </w:r>
            <w:r>
              <w:rPr>
                <w:rFonts w:hint="eastAsia" w:ascii="宋体" w:hAnsi="宋体"/>
                <w:color w:val="auto"/>
                <w:highlight w:val="none"/>
                <w:lang w:val="en-US" w:eastAsia="zh-CN"/>
              </w:rPr>
              <w:t>符合招标文件第二章“投标人须知”第1.11款规定</w:t>
            </w:r>
            <w:r>
              <w:rPr>
                <w:rFonts w:ascii="宋体" w:hAnsi="宋体"/>
                <w:color w:val="auto"/>
                <w:highlight w:val="none"/>
              </w:rPr>
              <w:t>。</w:t>
            </w:r>
          </w:p>
          <w:p w14:paraId="263AB964">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（8）</w:t>
            </w:r>
            <w:r>
              <w:rPr>
                <w:rFonts w:ascii="宋体" w:hAnsi="宋体"/>
                <w:color w:val="auto"/>
                <w:highlight w:val="none"/>
              </w:rPr>
              <w:t>同一投标人未提交两个以上不同的投标文件，但招标文件要求提交备选投标的除外。</w:t>
            </w:r>
          </w:p>
          <w:p w14:paraId="241DEDBD">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（9）</w:t>
            </w:r>
            <w:r>
              <w:rPr>
                <w:rFonts w:ascii="宋体" w:hAnsi="宋体"/>
                <w:color w:val="auto"/>
                <w:highlight w:val="none"/>
              </w:rPr>
              <w:t>投标文件中未出现有关投标报价的内容。</w:t>
            </w:r>
          </w:p>
          <w:p w14:paraId="6E97D983">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（10）</w:t>
            </w:r>
            <w:r>
              <w:rPr>
                <w:rFonts w:ascii="宋体" w:hAnsi="宋体"/>
                <w:color w:val="auto"/>
                <w:highlight w:val="none"/>
              </w:rPr>
              <w:t>投标文件载明的招标项目完成期限未超过招标文件规定的时限。</w:t>
            </w:r>
          </w:p>
          <w:p w14:paraId="7ED18E54">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（11）</w:t>
            </w:r>
            <w:r>
              <w:rPr>
                <w:rFonts w:ascii="宋体" w:hAnsi="宋体"/>
                <w:color w:val="auto"/>
                <w:highlight w:val="none"/>
              </w:rPr>
              <w:t>投标文件对招标文件的实质性要求和条件作出响应。</w:t>
            </w:r>
          </w:p>
          <w:p w14:paraId="521FA823">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（12）</w:t>
            </w:r>
            <w:r>
              <w:rPr>
                <w:rFonts w:ascii="宋体" w:hAnsi="宋体"/>
                <w:color w:val="auto"/>
                <w:highlight w:val="none"/>
              </w:rPr>
              <w:t>权利义务符合招标文件规定：</w:t>
            </w:r>
          </w:p>
          <w:p w14:paraId="20CBE37C">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a.</w:t>
            </w:r>
            <w:r>
              <w:rPr>
                <w:rFonts w:ascii="宋体" w:hAnsi="宋体"/>
                <w:color w:val="auto"/>
                <w:highlight w:val="none"/>
              </w:rPr>
              <w:t>投标人应接受招标文件规定的风险划分原则，未提出新的风险划分办法；</w:t>
            </w:r>
          </w:p>
          <w:p w14:paraId="3E1C05E8">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b.</w:t>
            </w:r>
            <w:r>
              <w:rPr>
                <w:rFonts w:ascii="宋体" w:hAnsi="宋体"/>
                <w:color w:val="auto"/>
                <w:highlight w:val="none"/>
              </w:rPr>
              <w:t>投标人未增加发包人的责任范围，或减少投标人义务；</w:t>
            </w:r>
          </w:p>
          <w:p w14:paraId="0D68C917">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c.</w:t>
            </w:r>
            <w:r>
              <w:rPr>
                <w:rFonts w:ascii="宋体" w:hAnsi="宋体"/>
                <w:color w:val="auto"/>
                <w:highlight w:val="none"/>
              </w:rPr>
              <w:t>投标人未提出不同的工程验收、计量、支付办法；</w:t>
            </w:r>
          </w:p>
          <w:p w14:paraId="2C923E11">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d.</w:t>
            </w:r>
            <w:r>
              <w:rPr>
                <w:rFonts w:ascii="宋体" w:hAnsi="宋体"/>
                <w:color w:val="auto"/>
                <w:highlight w:val="none"/>
              </w:rPr>
              <w:t>投标人对合同纠纷、事故处理办法未提出异议；</w:t>
            </w:r>
          </w:p>
          <w:p w14:paraId="073E7CB6">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e.</w:t>
            </w:r>
            <w:r>
              <w:rPr>
                <w:rFonts w:ascii="宋体" w:hAnsi="宋体"/>
                <w:color w:val="auto"/>
                <w:highlight w:val="none"/>
              </w:rPr>
              <w:t>投标人在投标活动中无欺诈行为；</w:t>
            </w:r>
          </w:p>
          <w:p w14:paraId="2389CE98">
            <w:pPr>
              <w:keepNext w:val="0"/>
              <w:keepLines w:val="0"/>
              <w:pageBreakBefore w:val="0"/>
              <w:widowControl w:val="0"/>
              <w:kinsoku/>
              <w:wordWrap/>
              <w:overflowPunct/>
              <w:topLinePunct w:val="0"/>
              <w:autoSpaceDE w:val="0"/>
              <w:autoSpaceDN w:val="0"/>
              <w:bidi w:val="0"/>
              <w:adjustRightInd w:val="0"/>
              <w:spacing w:line="360" w:lineRule="exact"/>
              <w:ind w:firstLine="420" w:firstLineChars="200"/>
              <w:jc w:val="left"/>
              <w:textAlignment w:val="auto"/>
              <w:rPr>
                <w:rFonts w:ascii="宋体" w:hAnsi="宋体"/>
                <w:color w:val="auto"/>
                <w:highlight w:val="none"/>
              </w:rPr>
            </w:pPr>
            <w:r>
              <w:rPr>
                <w:rFonts w:hint="eastAsia" w:ascii="宋体" w:hAnsi="宋体"/>
                <w:color w:val="auto"/>
                <w:highlight w:val="none"/>
              </w:rPr>
              <w:t>f.</w:t>
            </w:r>
            <w:r>
              <w:rPr>
                <w:rFonts w:ascii="宋体" w:hAnsi="宋体"/>
                <w:color w:val="auto"/>
                <w:highlight w:val="none"/>
              </w:rPr>
              <w:t>投标人未对合同条款有重要保留。</w:t>
            </w:r>
          </w:p>
        </w:tc>
      </w:tr>
      <w:tr w14:paraId="5DC2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vMerge w:val="continue"/>
            <w:tcBorders>
              <w:left w:val="single" w:color="auto" w:sz="12" w:space="0"/>
            </w:tcBorders>
            <w:vAlign w:val="center"/>
          </w:tcPr>
          <w:p w14:paraId="1C04D7D3">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color w:val="auto"/>
                <w:highlight w:val="none"/>
                <w:lang w:val="zh-CN"/>
              </w:rPr>
            </w:pPr>
          </w:p>
        </w:tc>
        <w:tc>
          <w:tcPr>
            <w:tcW w:w="1636" w:type="dxa"/>
            <w:vAlign w:val="center"/>
          </w:tcPr>
          <w:p w14:paraId="219B9B3E">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b/>
                <w:bCs/>
                <w:color w:val="auto"/>
                <w:highlight w:val="none"/>
                <w:lang w:val="zh-CN"/>
              </w:rPr>
            </w:pPr>
            <w:r>
              <w:rPr>
                <w:rFonts w:hint="eastAsia" w:ascii="宋体" w:hAnsi="宋体" w:cs="宋体"/>
                <w:b/>
                <w:color w:val="auto"/>
                <w:highlight w:val="none"/>
              </w:rPr>
              <w:t>第二个信封</w:t>
            </w:r>
          </w:p>
          <w:p w14:paraId="2ADF1E4D">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cs="宋体"/>
                <w:color w:val="auto"/>
                <w:highlight w:val="none"/>
                <w:lang w:val="zh-CN"/>
              </w:rPr>
            </w:pPr>
            <w:r>
              <w:rPr>
                <w:bCs/>
                <w:color w:val="auto"/>
                <w:highlight w:val="none"/>
                <w:lang w:val="zh-CN"/>
              </w:rPr>
              <w:t>形式评审与响应性评审标准</w:t>
            </w:r>
          </w:p>
        </w:tc>
        <w:tc>
          <w:tcPr>
            <w:tcW w:w="7046" w:type="dxa"/>
            <w:tcBorders>
              <w:right w:val="single" w:color="auto" w:sz="12" w:space="0"/>
            </w:tcBorders>
            <w:vAlign w:val="center"/>
          </w:tcPr>
          <w:p w14:paraId="777CCC85">
            <w:pPr>
              <w:keepNext w:val="0"/>
              <w:keepLines w:val="0"/>
              <w:pageBreakBefore w:val="0"/>
              <w:widowControl w:val="0"/>
              <w:tabs>
                <w:tab w:val="left" w:pos="0"/>
              </w:tabs>
              <w:kinsoku/>
              <w:wordWrap/>
              <w:overflowPunct/>
              <w:topLinePunct w:val="0"/>
              <w:bidi w:val="0"/>
              <w:adjustRightInd w:val="0"/>
              <w:snapToGrid w:val="0"/>
              <w:spacing w:line="360" w:lineRule="exact"/>
              <w:ind w:left="-73" w:leftChars="-35"/>
              <w:textAlignment w:val="auto"/>
              <w:rPr>
                <w:rFonts w:ascii="黑体" w:hAnsi="黑体" w:eastAsia="黑体"/>
                <w:b/>
                <w:color w:val="auto"/>
                <w:highlight w:val="none"/>
              </w:rPr>
            </w:pPr>
            <w:r>
              <w:rPr>
                <w:rFonts w:hint="eastAsia" w:ascii="宋体" w:hAnsi="宋体" w:cs="宋体"/>
                <w:b/>
                <w:color w:val="auto"/>
                <w:highlight w:val="none"/>
              </w:rPr>
              <w:t>第二个信封（报价文件）评审标准：</w:t>
            </w:r>
          </w:p>
          <w:p w14:paraId="1E9EC921">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（1）</w:t>
            </w:r>
            <w:r>
              <w:rPr>
                <w:rFonts w:ascii="宋体" w:hAnsi="宋体"/>
                <w:color w:val="auto"/>
                <w:highlight w:val="none"/>
              </w:rPr>
              <w:t>投标文件按照招标文件规定的格式、内容填写，字迹清晰可</w:t>
            </w:r>
            <w:r>
              <w:rPr>
                <w:rFonts w:hint="eastAsia" w:ascii="宋体" w:hAnsi="宋体"/>
                <w:color w:val="auto"/>
                <w:highlight w:val="none"/>
              </w:rPr>
              <w:t>辨：</w:t>
            </w:r>
          </w:p>
          <w:p w14:paraId="73058F5D">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a.</w:t>
            </w:r>
            <w:r>
              <w:rPr>
                <w:rFonts w:ascii="宋体" w:hAnsi="宋体"/>
                <w:color w:val="auto"/>
                <w:highlight w:val="none"/>
              </w:rPr>
              <w:t>投标函按招标文件规定填报了项目名称、标段号、补遗书编号</w:t>
            </w:r>
            <w:r>
              <w:rPr>
                <w:rFonts w:hint="eastAsia" w:ascii="宋体" w:hAnsi="宋体"/>
                <w:color w:val="auto"/>
                <w:highlight w:val="none"/>
                <w:lang w:eastAsia="zh-CN"/>
              </w:rPr>
              <w:t>（</w:t>
            </w:r>
            <w:r>
              <w:rPr>
                <w:rFonts w:ascii="宋体" w:hAnsi="宋体"/>
                <w:color w:val="auto"/>
                <w:highlight w:val="none"/>
              </w:rPr>
              <w:t>如有</w:t>
            </w:r>
            <w:r>
              <w:rPr>
                <w:rFonts w:hint="eastAsia" w:ascii="宋体" w:hAnsi="宋体"/>
                <w:color w:val="auto"/>
                <w:highlight w:val="none"/>
                <w:lang w:eastAsia="zh-CN"/>
              </w:rPr>
              <w:t>）</w:t>
            </w:r>
            <w:r>
              <w:rPr>
                <w:rFonts w:ascii="宋体" w:hAnsi="宋体"/>
                <w:color w:val="auto"/>
                <w:highlight w:val="none"/>
              </w:rPr>
              <w:t>、投标价（包括大写金额和小写金额</w:t>
            </w:r>
            <w:r>
              <w:rPr>
                <w:rFonts w:hint="eastAsia" w:ascii="宋体" w:hAnsi="宋体"/>
                <w:color w:val="auto"/>
                <w:highlight w:val="none"/>
                <w:lang w:eastAsia="zh-CN"/>
              </w:rPr>
              <w:t>）</w:t>
            </w:r>
            <w:r>
              <w:rPr>
                <w:rFonts w:ascii="宋体" w:hAnsi="宋体"/>
                <w:color w:val="auto"/>
                <w:highlight w:val="none"/>
              </w:rPr>
              <w:t>；</w:t>
            </w:r>
          </w:p>
          <w:p w14:paraId="09B2117F">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b.</w:t>
            </w:r>
            <w:r>
              <w:rPr>
                <w:rFonts w:ascii="宋体" w:hAnsi="宋体"/>
                <w:color w:val="auto"/>
                <w:highlight w:val="none"/>
              </w:rPr>
              <w:t>已标价工程量清单说明文字与招标文件规定一致，未进行实质性修改和删减；</w:t>
            </w:r>
          </w:p>
          <w:p w14:paraId="76274CB7">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c.投标文件组成齐全完整，内容均按规定填写。</w:t>
            </w:r>
          </w:p>
          <w:p w14:paraId="206AC536">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（2）</w:t>
            </w:r>
            <w:r>
              <w:rPr>
                <w:rFonts w:ascii="宋体" w:hAnsi="宋体"/>
                <w:color w:val="auto"/>
                <w:highlight w:val="none"/>
              </w:rPr>
              <w:t>投标文件上法定代表人或其委托代理人的签字、投标人的单位章盖章齐全，符合招标文件规定。</w:t>
            </w:r>
          </w:p>
          <w:p w14:paraId="3566DD80">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（3）</w:t>
            </w:r>
            <w:r>
              <w:rPr>
                <w:rFonts w:ascii="宋体" w:hAnsi="宋体"/>
                <w:color w:val="auto"/>
                <w:highlight w:val="none"/>
              </w:rPr>
              <w:t>投标报价未超过招标文件设定的最高投标限价。</w:t>
            </w:r>
          </w:p>
          <w:p w14:paraId="12C7ED63">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（4）</w:t>
            </w:r>
            <w:r>
              <w:rPr>
                <w:rFonts w:ascii="宋体" w:hAnsi="宋体"/>
                <w:color w:val="auto"/>
                <w:highlight w:val="none"/>
              </w:rPr>
              <w:t>投标报价中报价的大写金额能够确定具体数值。</w:t>
            </w:r>
          </w:p>
          <w:p w14:paraId="6277E1E1">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（5）</w:t>
            </w:r>
            <w:r>
              <w:rPr>
                <w:rFonts w:ascii="宋体" w:hAnsi="宋体"/>
                <w:color w:val="auto"/>
                <w:highlight w:val="none"/>
              </w:rPr>
              <w:t>同一投标人未提交两个以上不同的投标报价，但招标文件要求提交备选投标的除外。</w:t>
            </w:r>
          </w:p>
          <w:p w14:paraId="468D3D5D">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（6）</w:t>
            </w:r>
            <w:r>
              <w:rPr>
                <w:rFonts w:ascii="宋体" w:hAnsi="宋体"/>
                <w:color w:val="auto"/>
                <w:highlight w:val="none"/>
              </w:rPr>
              <w:t>投标人</w:t>
            </w:r>
            <w:r>
              <w:rPr>
                <w:rFonts w:hint="eastAsia" w:ascii="宋体" w:hAnsi="宋体"/>
                <w:color w:val="auto"/>
                <w:highlight w:val="none"/>
              </w:rPr>
              <w:t>未</w:t>
            </w:r>
            <w:r>
              <w:rPr>
                <w:rFonts w:ascii="宋体" w:hAnsi="宋体"/>
                <w:color w:val="auto"/>
                <w:highlight w:val="none"/>
              </w:rPr>
              <w:t>提交调价函。</w:t>
            </w:r>
          </w:p>
          <w:p w14:paraId="4653E751">
            <w:pPr>
              <w:keepNext w:val="0"/>
              <w:keepLines w:val="0"/>
              <w:pageBreakBefore w:val="0"/>
              <w:widowControl w:val="0"/>
              <w:kinsoku/>
              <w:wordWrap/>
              <w:overflowPunct/>
              <w:topLinePunct w:val="0"/>
              <w:bidi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（7）</w:t>
            </w:r>
            <w:r>
              <w:rPr>
                <w:rFonts w:ascii="宋体" w:hAnsi="宋体"/>
                <w:color w:val="auto"/>
                <w:highlight w:val="none"/>
              </w:rPr>
              <w:t>投标人若填写工程量固化清单，填写完毕的工程量固化清单未对工程量固化清单电子文件中的数据、格式和运算定义进行修改；工程量固化清单中的投标报价和投标函大写金额报价一致。</w:t>
            </w:r>
          </w:p>
        </w:tc>
      </w:tr>
      <w:tr w14:paraId="1723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45594E8F">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2.1.2</w:t>
            </w:r>
          </w:p>
        </w:tc>
        <w:tc>
          <w:tcPr>
            <w:tcW w:w="1636" w:type="dxa"/>
            <w:vAlign w:val="center"/>
          </w:tcPr>
          <w:p w14:paraId="4D45EA4B">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color w:val="auto"/>
                <w:highlight w:val="none"/>
                <w:lang w:val="zh-CN"/>
              </w:rPr>
            </w:pPr>
            <w:r>
              <w:rPr>
                <w:rFonts w:hint="eastAsia" w:cs="宋体"/>
                <w:color w:val="auto"/>
                <w:highlight w:val="none"/>
                <w:lang w:val="zh-CN"/>
              </w:rPr>
              <w:t>资格评审标准</w:t>
            </w:r>
          </w:p>
        </w:tc>
        <w:tc>
          <w:tcPr>
            <w:tcW w:w="7046" w:type="dxa"/>
            <w:tcBorders>
              <w:right w:val="single" w:color="auto" w:sz="12" w:space="0"/>
            </w:tcBorders>
            <w:vAlign w:val="center"/>
          </w:tcPr>
          <w:p w14:paraId="7D732422">
            <w:pPr>
              <w:pStyle w:val="27"/>
              <w:keepNext w:val="0"/>
              <w:keepLines w:val="0"/>
              <w:pageBreakBefore w:val="0"/>
              <w:widowControl w:val="0"/>
              <w:shd w:val="clear" w:color="auto" w:fill="auto"/>
              <w:kinsoku/>
              <w:wordWrap/>
              <w:overflowPunct/>
              <w:topLinePunct w:val="0"/>
              <w:bidi w:val="0"/>
              <w:spacing w:before="0" w:line="360" w:lineRule="exact"/>
              <w:ind w:firstLine="420" w:firstLineChars="200"/>
              <w:textAlignment w:val="auto"/>
              <w:rPr>
                <w:rFonts w:hint="default" w:ascii="宋体" w:hAnsi="宋体" w:eastAsia="宋体" w:cs="PMingLiU"/>
                <w:color w:val="auto"/>
                <w:sz w:val="21"/>
                <w:szCs w:val="21"/>
                <w:highlight w:val="none"/>
                <w:lang w:val="en-US" w:eastAsia="zh-CN"/>
              </w:rPr>
            </w:pPr>
            <w:r>
              <w:rPr>
                <w:rFonts w:ascii="宋体" w:hAnsi="宋体" w:eastAsia="宋体" w:cs="PMingLiU"/>
                <w:color w:val="auto"/>
                <w:sz w:val="21"/>
                <w:szCs w:val="21"/>
                <w:highlight w:val="none"/>
                <w:lang w:val="en-US" w:eastAsia="zh-CN" w:bidi="en-US"/>
              </w:rPr>
              <w:t>（</w:t>
            </w:r>
            <w:r>
              <w:rPr>
                <w:rFonts w:hint="eastAsia" w:ascii="宋体" w:hAnsi="宋体" w:eastAsia="宋体" w:cs="PMingLiU"/>
                <w:color w:val="auto"/>
                <w:sz w:val="21"/>
                <w:szCs w:val="21"/>
                <w:highlight w:val="none"/>
                <w:lang w:val="en-US" w:eastAsia="zh-CN" w:bidi="en-US"/>
              </w:rPr>
              <w:t>1）</w:t>
            </w:r>
            <w:r>
              <w:rPr>
                <w:rFonts w:ascii="宋体" w:hAnsi="宋体" w:eastAsia="宋体" w:cs="PMingLiU"/>
                <w:color w:val="auto"/>
                <w:sz w:val="21"/>
                <w:szCs w:val="21"/>
                <w:highlight w:val="none"/>
                <w:lang w:val="en-US" w:eastAsia="zh-CN"/>
              </w:rPr>
              <w:t>投标人具备有效的营业执照、资质证书、安全生产许可证和基本账户开户</w:t>
            </w:r>
            <w:r>
              <w:rPr>
                <w:rFonts w:hint="eastAsia" w:ascii="宋体" w:hAnsi="宋体" w:eastAsia="宋体" w:cs="PMingLiU"/>
                <w:color w:val="auto"/>
                <w:sz w:val="21"/>
                <w:szCs w:val="21"/>
                <w:highlight w:val="none"/>
                <w:lang w:val="en-US" w:eastAsia="zh-CN"/>
              </w:rPr>
              <w:t>证明材料。</w:t>
            </w:r>
          </w:p>
          <w:p w14:paraId="60528DCB">
            <w:pPr>
              <w:pStyle w:val="27"/>
              <w:keepNext w:val="0"/>
              <w:keepLines w:val="0"/>
              <w:pageBreakBefore w:val="0"/>
              <w:widowControl w:val="0"/>
              <w:shd w:val="clear" w:color="auto" w:fill="auto"/>
              <w:tabs>
                <w:tab w:val="left" w:pos="2517"/>
              </w:tabs>
              <w:kinsoku/>
              <w:wordWrap/>
              <w:overflowPunct/>
              <w:topLinePunct w:val="0"/>
              <w:bidi w:val="0"/>
              <w:spacing w:before="0" w:line="360" w:lineRule="exact"/>
              <w:ind w:firstLine="420" w:firstLineChars="200"/>
              <w:jc w:val="both"/>
              <w:textAlignment w:val="auto"/>
              <w:rPr>
                <w:rFonts w:ascii="宋体" w:hAnsi="宋体" w:eastAsia="宋体" w:cs="PMingLiU"/>
                <w:color w:val="auto"/>
                <w:sz w:val="21"/>
                <w:szCs w:val="21"/>
                <w:highlight w:val="none"/>
                <w:lang w:val="en-US" w:eastAsia="zh-CN"/>
              </w:rPr>
            </w:pPr>
            <w:r>
              <w:rPr>
                <w:rFonts w:ascii="宋体" w:hAnsi="宋体" w:eastAsia="宋体" w:cs="PMingLiU"/>
                <w:color w:val="auto"/>
                <w:sz w:val="21"/>
                <w:szCs w:val="21"/>
                <w:highlight w:val="none"/>
                <w:lang w:val="en-US" w:eastAsia="zh-CN" w:bidi="en-US"/>
              </w:rPr>
              <w:t>（2</w:t>
            </w:r>
            <w:r>
              <w:rPr>
                <w:rFonts w:hint="eastAsia" w:ascii="宋体" w:hAnsi="宋体" w:eastAsia="宋体" w:cs="PMingLiU"/>
                <w:color w:val="auto"/>
                <w:sz w:val="21"/>
                <w:szCs w:val="21"/>
                <w:highlight w:val="none"/>
                <w:lang w:val="en-US" w:eastAsia="zh-CN" w:bidi="en-US"/>
              </w:rPr>
              <w:t>）</w:t>
            </w:r>
            <w:r>
              <w:rPr>
                <w:rFonts w:ascii="宋体" w:hAnsi="宋体" w:eastAsia="宋体" w:cs="PMingLiU"/>
                <w:color w:val="auto"/>
                <w:sz w:val="21"/>
                <w:szCs w:val="21"/>
                <w:highlight w:val="none"/>
                <w:lang w:val="en-US" w:eastAsia="zh-CN"/>
              </w:rPr>
              <w:t>投标人的资质等级符合招标文件规定</w:t>
            </w:r>
            <w:r>
              <w:rPr>
                <w:rFonts w:hint="eastAsia" w:ascii="宋体" w:hAnsi="宋体" w:eastAsia="宋体" w:cs="PMingLiU"/>
                <w:color w:val="auto"/>
                <w:sz w:val="21"/>
                <w:szCs w:val="21"/>
                <w:highlight w:val="none"/>
                <w:lang w:val="en-US" w:eastAsia="zh-CN"/>
              </w:rPr>
              <w:t>。</w:t>
            </w:r>
          </w:p>
          <w:p w14:paraId="635E26A0">
            <w:pPr>
              <w:pStyle w:val="27"/>
              <w:keepNext w:val="0"/>
              <w:keepLines w:val="0"/>
              <w:pageBreakBefore w:val="0"/>
              <w:widowControl w:val="0"/>
              <w:shd w:val="clear" w:color="auto" w:fill="auto"/>
              <w:tabs>
                <w:tab w:val="left" w:pos="2517"/>
              </w:tabs>
              <w:kinsoku/>
              <w:wordWrap/>
              <w:overflowPunct/>
              <w:topLinePunct w:val="0"/>
              <w:bidi w:val="0"/>
              <w:spacing w:before="0" w:line="360" w:lineRule="exact"/>
              <w:ind w:firstLine="420" w:firstLineChars="200"/>
              <w:jc w:val="both"/>
              <w:textAlignment w:val="auto"/>
              <w:rPr>
                <w:rFonts w:ascii="宋体" w:hAnsi="宋体" w:eastAsia="宋体" w:cs="PMingLiU"/>
                <w:color w:val="auto"/>
                <w:sz w:val="21"/>
                <w:szCs w:val="21"/>
                <w:highlight w:val="none"/>
                <w:lang w:val="en-US" w:eastAsia="zh-CN"/>
              </w:rPr>
            </w:pPr>
            <w:r>
              <w:rPr>
                <w:rFonts w:hint="eastAsia" w:ascii="宋体" w:hAnsi="宋体" w:eastAsia="宋体" w:cs="PMingLiU"/>
                <w:color w:val="auto"/>
                <w:sz w:val="21"/>
                <w:szCs w:val="21"/>
                <w:highlight w:val="none"/>
                <w:lang w:val="en-US" w:eastAsia="zh-CN" w:bidi="en-US"/>
              </w:rPr>
              <w:t>（3）</w:t>
            </w:r>
            <w:r>
              <w:rPr>
                <w:rFonts w:ascii="宋体" w:hAnsi="宋体" w:eastAsia="宋体" w:cs="PMingLiU"/>
                <w:color w:val="auto"/>
                <w:sz w:val="21"/>
                <w:szCs w:val="21"/>
                <w:highlight w:val="none"/>
                <w:lang w:val="en-US" w:eastAsia="zh-CN"/>
              </w:rPr>
              <w:t>投标人的财务状况符合招标文件规定</w:t>
            </w:r>
            <w:r>
              <w:rPr>
                <w:rFonts w:hint="eastAsia" w:ascii="宋体" w:hAnsi="宋体" w:eastAsia="宋体" w:cs="PMingLiU"/>
                <w:color w:val="auto"/>
                <w:sz w:val="21"/>
                <w:szCs w:val="21"/>
                <w:highlight w:val="none"/>
                <w:lang w:val="en-US" w:eastAsia="zh-CN"/>
              </w:rPr>
              <w:t>。</w:t>
            </w:r>
          </w:p>
          <w:p w14:paraId="1FB3DE9A">
            <w:pPr>
              <w:pStyle w:val="27"/>
              <w:keepNext w:val="0"/>
              <w:keepLines w:val="0"/>
              <w:pageBreakBefore w:val="0"/>
              <w:widowControl w:val="0"/>
              <w:shd w:val="clear" w:color="auto" w:fill="auto"/>
              <w:tabs>
                <w:tab w:val="left" w:pos="3008"/>
              </w:tabs>
              <w:kinsoku/>
              <w:wordWrap/>
              <w:overflowPunct/>
              <w:topLinePunct w:val="0"/>
              <w:bidi w:val="0"/>
              <w:spacing w:before="0" w:line="360" w:lineRule="exact"/>
              <w:ind w:firstLine="420" w:firstLineChars="200"/>
              <w:textAlignment w:val="auto"/>
              <w:rPr>
                <w:rFonts w:ascii="宋体" w:hAnsi="宋体" w:eastAsia="宋体" w:cs="PMingLiU"/>
                <w:color w:val="auto"/>
                <w:sz w:val="21"/>
                <w:szCs w:val="21"/>
                <w:highlight w:val="none"/>
                <w:lang w:val="en-US" w:eastAsia="zh-CN"/>
              </w:rPr>
            </w:pPr>
            <w:r>
              <w:rPr>
                <w:rFonts w:hint="eastAsia" w:ascii="宋体" w:hAnsi="宋体" w:eastAsia="宋体" w:cs="PMingLiU"/>
                <w:color w:val="auto"/>
                <w:sz w:val="21"/>
                <w:szCs w:val="21"/>
                <w:highlight w:val="none"/>
                <w:lang w:val="en-US" w:eastAsia="zh-CN"/>
              </w:rPr>
              <w:t>（4）</w:t>
            </w:r>
            <w:r>
              <w:rPr>
                <w:rFonts w:ascii="宋体" w:hAnsi="宋体" w:eastAsia="宋体" w:cs="PMingLiU"/>
                <w:color w:val="auto"/>
                <w:sz w:val="21"/>
                <w:szCs w:val="21"/>
                <w:highlight w:val="none"/>
                <w:lang w:val="en-US" w:eastAsia="zh-CN"/>
              </w:rPr>
              <w:t>投标人的类似项目业绩符合招标文件规定</w:t>
            </w:r>
            <w:r>
              <w:rPr>
                <w:rFonts w:hint="eastAsia" w:ascii="宋体" w:hAnsi="宋体" w:eastAsia="宋体" w:cs="PMingLiU"/>
                <w:color w:val="auto"/>
                <w:sz w:val="21"/>
                <w:szCs w:val="21"/>
                <w:highlight w:val="none"/>
                <w:lang w:val="en-US" w:eastAsia="zh-CN"/>
              </w:rPr>
              <w:t>。</w:t>
            </w:r>
          </w:p>
          <w:p w14:paraId="22DF0256">
            <w:pPr>
              <w:keepNext w:val="0"/>
              <w:keepLines w:val="0"/>
              <w:pageBreakBefore w:val="0"/>
              <w:widowControl w:val="0"/>
              <w:kinsoku/>
              <w:wordWrap/>
              <w:overflowPunct/>
              <w:topLinePunct w:val="0"/>
              <w:autoSpaceDE w:val="0"/>
              <w:autoSpaceDN w:val="0"/>
              <w:bidi w:val="0"/>
              <w:adjustRightInd w:val="0"/>
              <w:spacing w:line="360" w:lineRule="exact"/>
              <w:ind w:firstLine="420" w:firstLineChars="200"/>
              <w:jc w:val="left"/>
              <w:textAlignment w:val="auto"/>
              <w:rPr>
                <w:rFonts w:hint="eastAsia" w:ascii="宋体" w:hAnsi="宋体" w:eastAsia="宋体"/>
                <w:color w:val="auto"/>
                <w:highlight w:val="none"/>
                <w:lang w:eastAsia="zh-CN"/>
              </w:rPr>
            </w:pPr>
            <w:r>
              <w:rPr>
                <w:rFonts w:hint="eastAsia" w:ascii="宋体" w:hAnsi="宋体"/>
                <w:color w:val="auto"/>
                <w:highlight w:val="none"/>
              </w:rPr>
              <w:t>（5）</w:t>
            </w:r>
            <w:r>
              <w:rPr>
                <w:rFonts w:ascii="宋体" w:hAnsi="宋体"/>
                <w:color w:val="auto"/>
                <w:highlight w:val="none"/>
              </w:rPr>
              <w:t>投标人的信誉符合招标文件规定</w:t>
            </w:r>
            <w:r>
              <w:rPr>
                <w:rFonts w:hint="eastAsia" w:ascii="宋体" w:hAnsi="宋体"/>
                <w:color w:val="auto"/>
                <w:highlight w:val="none"/>
                <w:lang w:eastAsia="zh-CN"/>
              </w:rPr>
              <w:t>。</w:t>
            </w:r>
          </w:p>
          <w:p w14:paraId="2B44C5FA">
            <w:pPr>
              <w:pStyle w:val="25"/>
              <w:keepNext w:val="0"/>
              <w:keepLines w:val="0"/>
              <w:pageBreakBefore w:val="0"/>
              <w:widowControl w:val="0"/>
              <w:shd w:val="clear" w:color="auto" w:fill="auto"/>
              <w:tabs>
                <w:tab w:val="left" w:pos="1068"/>
              </w:tabs>
              <w:kinsoku/>
              <w:wordWrap/>
              <w:overflowPunct/>
              <w:topLinePunct w:val="0"/>
              <w:bidi w:val="0"/>
              <w:spacing w:before="0" w:after="0" w:line="360" w:lineRule="exact"/>
              <w:ind w:firstLine="420" w:firstLineChars="200"/>
              <w:jc w:val="left"/>
              <w:textAlignment w:val="auto"/>
              <w:rPr>
                <w:rFonts w:ascii="宋体" w:hAnsi="宋体" w:eastAsia="宋体" w:cs="PMingLiU"/>
                <w:color w:val="auto"/>
                <w:sz w:val="21"/>
                <w:szCs w:val="21"/>
                <w:highlight w:val="none"/>
                <w:lang w:val="en-US" w:eastAsia="zh-CN"/>
              </w:rPr>
            </w:pPr>
            <w:r>
              <w:rPr>
                <w:rStyle w:val="26"/>
                <w:rFonts w:hint="eastAsia" w:ascii="宋体" w:hAnsi="宋体" w:eastAsia="宋体"/>
                <w:color w:val="auto"/>
                <w:sz w:val="21"/>
                <w:szCs w:val="21"/>
                <w:highlight w:val="none"/>
              </w:rPr>
              <w:t>（6）</w:t>
            </w:r>
            <w:r>
              <w:rPr>
                <w:rStyle w:val="26"/>
                <w:rFonts w:ascii="宋体" w:hAnsi="宋体" w:eastAsia="宋体"/>
                <w:color w:val="auto"/>
                <w:sz w:val="21"/>
                <w:szCs w:val="21"/>
                <w:highlight w:val="none"/>
              </w:rPr>
              <w:t>投标人的项目经理和项目总工资格、在岗情况符合招标文件规定</w:t>
            </w:r>
            <w:r>
              <w:rPr>
                <w:rStyle w:val="26"/>
                <w:rFonts w:hint="eastAsia" w:ascii="宋体" w:hAnsi="宋体" w:eastAsia="宋体"/>
                <w:color w:val="auto"/>
                <w:sz w:val="21"/>
                <w:szCs w:val="21"/>
                <w:highlight w:val="none"/>
              </w:rPr>
              <w:t>。</w:t>
            </w:r>
          </w:p>
          <w:p w14:paraId="1742DAEE">
            <w:pPr>
              <w:pStyle w:val="25"/>
              <w:keepNext w:val="0"/>
              <w:keepLines w:val="0"/>
              <w:pageBreakBefore w:val="0"/>
              <w:widowControl w:val="0"/>
              <w:shd w:val="clear" w:color="auto" w:fill="auto"/>
              <w:tabs>
                <w:tab w:val="left" w:pos="1073"/>
              </w:tabs>
              <w:kinsoku/>
              <w:wordWrap/>
              <w:overflowPunct/>
              <w:topLinePunct w:val="0"/>
              <w:bidi w:val="0"/>
              <w:spacing w:before="0" w:after="0" w:line="360" w:lineRule="exact"/>
              <w:ind w:firstLine="420" w:firstLineChars="200"/>
              <w:jc w:val="left"/>
              <w:textAlignment w:val="auto"/>
              <w:rPr>
                <w:rStyle w:val="26"/>
                <w:rFonts w:hint="eastAsia" w:ascii="宋体" w:hAnsi="宋体" w:eastAsia="宋体"/>
                <w:color w:val="auto"/>
                <w:sz w:val="21"/>
                <w:szCs w:val="21"/>
                <w:highlight w:val="none"/>
                <w:lang w:val="en-US"/>
              </w:rPr>
            </w:pPr>
            <w:r>
              <w:rPr>
                <w:rStyle w:val="26"/>
                <w:rFonts w:hint="eastAsia" w:ascii="宋体" w:hAnsi="宋体" w:eastAsia="宋体"/>
                <w:color w:val="auto"/>
                <w:sz w:val="21"/>
                <w:szCs w:val="21"/>
                <w:highlight w:val="none"/>
              </w:rPr>
              <w:t>（7）</w:t>
            </w:r>
            <w:r>
              <w:rPr>
                <w:rStyle w:val="26"/>
                <w:rFonts w:ascii="宋体" w:hAnsi="宋体" w:eastAsia="宋体"/>
                <w:color w:val="auto"/>
                <w:sz w:val="21"/>
                <w:szCs w:val="21"/>
                <w:highlight w:val="none"/>
              </w:rPr>
              <w:t>投标人不存在第二章“投标人须知”第1.4.3项或第1.4.4项规定的任何一种情形</w:t>
            </w:r>
            <w:r>
              <w:rPr>
                <w:rStyle w:val="26"/>
                <w:rFonts w:hint="eastAsia" w:ascii="宋体" w:hAnsi="宋体" w:eastAsia="宋体"/>
                <w:color w:val="auto"/>
                <w:sz w:val="21"/>
                <w:szCs w:val="21"/>
                <w:highlight w:val="none"/>
              </w:rPr>
              <w:t>。</w:t>
            </w:r>
          </w:p>
        </w:tc>
      </w:tr>
      <w:tr w14:paraId="1215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7D5DC7CB">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2.2.1</w:t>
            </w:r>
          </w:p>
        </w:tc>
        <w:tc>
          <w:tcPr>
            <w:tcW w:w="1636" w:type="dxa"/>
            <w:vAlign w:val="center"/>
          </w:tcPr>
          <w:p w14:paraId="16132324">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cs="宋体"/>
                <w:color w:val="auto"/>
                <w:highlight w:val="none"/>
                <w:lang w:val="zh-CN"/>
              </w:rPr>
            </w:pPr>
            <w:r>
              <w:rPr>
                <w:rFonts w:hint="eastAsia" w:cs="宋体"/>
                <w:color w:val="auto"/>
                <w:highlight w:val="none"/>
                <w:lang w:val="zh-CN"/>
              </w:rPr>
              <w:t>第一个信封</w:t>
            </w:r>
          </w:p>
          <w:p w14:paraId="2138EFC4">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color w:val="auto"/>
                <w:highlight w:val="none"/>
                <w:lang w:val="zh-CN"/>
              </w:rPr>
            </w:pPr>
            <w:r>
              <w:rPr>
                <w:rFonts w:hint="eastAsia" w:cs="宋体"/>
                <w:color w:val="auto"/>
                <w:highlight w:val="none"/>
                <w:lang w:val="zh-CN"/>
              </w:rPr>
              <w:t>评分值构成</w:t>
            </w:r>
          </w:p>
          <w:p w14:paraId="6D7C425E">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color w:val="auto"/>
                <w:highlight w:val="none"/>
                <w:lang w:val="zh-CN"/>
              </w:rPr>
            </w:pPr>
            <w:r>
              <w:rPr>
                <w:rFonts w:hint="eastAsia" w:cs="宋体"/>
                <w:color w:val="auto"/>
                <w:highlight w:val="none"/>
                <w:lang w:val="zh-CN"/>
              </w:rPr>
              <w:t>（总分</w:t>
            </w:r>
            <w:r>
              <w:rPr>
                <w:color w:val="auto"/>
                <w:highlight w:val="none"/>
                <w:lang w:val="zh-CN"/>
              </w:rPr>
              <w:t>100</w:t>
            </w:r>
            <w:r>
              <w:rPr>
                <w:rFonts w:hint="eastAsia" w:cs="宋体"/>
                <w:color w:val="auto"/>
                <w:highlight w:val="none"/>
                <w:lang w:val="zh-CN"/>
              </w:rPr>
              <w:t>分）</w:t>
            </w:r>
          </w:p>
        </w:tc>
        <w:tc>
          <w:tcPr>
            <w:tcW w:w="7046" w:type="dxa"/>
            <w:tcBorders>
              <w:right w:val="single" w:color="auto" w:sz="12" w:space="0"/>
            </w:tcBorders>
            <w:vAlign w:val="center"/>
          </w:tcPr>
          <w:p w14:paraId="0E70FBB8">
            <w:pPr>
              <w:keepNext w:val="0"/>
              <w:keepLines w:val="0"/>
              <w:pageBreakBefore w:val="0"/>
              <w:widowControl w:val="0"/>
              <w:kinsoku/>
              <w:wordWrap/>
              <w:overflowPunct/>
              <w:topLinePunct w:val="0"/>
              <w:bidi w:val="0"/>
              <w:snapToGrid/>
              <w:spacing w:line="360" w:lineRule="exact"/>
              <w:textAlignment w:val="auto"/>
              <w:rPr>
                <w:rFonts w:ascii="宋体" w:hAnsi="宋体"/>
                <w:color w:val="auto"/>
                <w:highlight w:val="none"/>
              </w:rPr>
            </w:pPr>
            <w:r>
              <w:rPr>
                <w:rFonts w:hint="eastAsia" w:ascii="宋体" w:hAnsi="宋体"/>
                <w:color w:val="auto"/>
                <w:highlight w:val="none"/>
              </w:rPr>
              <w:t>施工组织设计：40分；</w:t>
            </w:r>
          </w:p>
          <w:p w14:paraId="21B5A8AD">
            <w:pPr>
              <w:keepNext w:val="0"/>
              <w:keepLines w:val="0"/>
              <w:pageBreakBefore w:val="0"/>
              <w:widowControl w:val="0"/>
              <w:kinsoku/>
              <w:wordWrap/>
              <w:overflowPunct/>
              <w:topLinePunct w:val="0"/>
              <w:bidi w:val="0"/>
              <w:snapToGrid/>
              <w:spacing w:line="360" w:lineRule="exact"/>
              <w:textAlignment w:val="auto"/>
              <w:rPr>
                <w:rFonts w:ascii="宋体" w:hAnsi="宋体"/>
                <w:color w:val="auto"/>
                <w:highlight w:val="none"/>
              </w:rPr>
            </w:pPr>
            <w:r>
              <w:rPr>
                <w:rFonts w:hint="eastAsia" w:ascii="宋体" w:hAnsi="宋体"/>
                <w:color w:val="auto"/>
                <w:highlight w:val="none"/>
              </w:rPr>
              <w:t>主要人员：25分；</w:t>
            </w:r>
          </w:p>
          <w:p w14:paraId="2DC06694">
            <w:pPr>
              <w:keepNext w:val="0"/>
              <w:keepLines w:val="0"/>
              <w:pageBreakBefore w:val="0"/>
              <w:widowControl w:val="0"/>
              <w:kinsoku/>
              <w:wordWrap/>
              <w:overflowPunct/>
              <w:topLinePunct w:val="0"/>
              <w:bidi w:val="0"/>
              <w:snapToGrid/>
              <w:spacing w:line="360" w:lineRule="exact"/>
              <w:textAlignment w:val="auto"/>
              <w:rPr>
                <w:color w:val="auto"/>
                <w:highlight w:val="none"/>
              </w:rPr>
            </w:pPr>
            <w:r>
              <w:rPr>
                <w:rFonts w:hint="eastAsia" w:ascii="宋体" w:hAnsi="宋体"/>
                <w:color w:val="auto"/>
                <w:highlight w:val="none"/>
              </w:rPr>
              <w:t>其他</w:t>
            </w:r>
            <w:r>
              <w:rPr>
                <w:rFonts w:ascii="宋体" w:hAnsi="宋体"/>
                <w:color w:val="auto"/>
                <w:highlight w:val="none"/>
              </w:rPr>
              <w:t>评分</w:t>
            </w:r>
            <w:r>
              <w:rPr>
                <w:rFonts w:hint="eastAsia" w:ascii="宋体" w:hAnsi="宋体"/>
                <w:color w:val="auto"/>
                <w:highlight w:val="none"/>
              </w:rPr>
              <w:t>因素：35分。</w:t>
            </w:r>
          </w:p>
        </w:tc>
      </w:tr>
      <w:tr w14:paraId="096C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tcBorders>
            <w:vAlign w:val="center"/>
          </w:tcPr>
          <w:p w14:paraId="4C6352E7">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2.2.3</w:t>
            </w:r>
          </w:p>
        </w:tc>
        <w:tc>
          <w:tcPr>
            <w:tcW w:w="1636" w:type="dxa"/>
            <w:vAlign w:val="center"/>
          </w:tcPr>
          <w:p w14:paraId="3B7F0DEA">
            <w:pPr>
              <w:keepNext w:val="0"/>
              <w:keepLines w:val="0"/>
              <w:pageBreakBefore w:val="0"/>
              <w:widowControl w:val="0"/>
              <w:kinsoku/>
              <w:wordWrap/>
              <w:overflowPunct/>
              <w:topLinePunct w:val="0"/>
              <w:autoSpaceDE w:val="0"/>
              <w:autoSpaceDN w:val="0"/>
              <w:bidi w:val="0"/>
              <w:adjustRightInd w:val="0"/>
              <w:snapToGrid/>
              <w:spacing w:line="360" w:lineRule="exact"/>
              <w:ind w:firstLine="105" w:firstLineChars="50"/>
              <w:jc w:val="center"/>
              <w:textAlignment w:val="auto"/>
              <w:rPr>
                <w:bCs/>
                <w:color w:val="auto"/>
                <w:highlight w:val="none"/>
                <w:lang w:val="zh-CN"/>
              </w:rPr>
            </w:pPr>
            <w:r>
              <w:rPr>
                <w:rFonts w:hint="eastAsia"/>
                <w:bCs/>
                <w:color w:val="auto"/>
                <w:highlight w:val="none"/>
                <w:lang w:val="zh-CN"/>
              </w:rPr>
              <w:t>第二个信封详细评审标准</w:t>
            </w:r>
          </w:p>
        </w:tc>
        <w:tc>
          <w:tcPr>
            <w:tcW w:w="7046" w:type="dxa"/>
            <w:tcBorders>
              <w:right w:val="single" w:color="auto" w:sz="12" w:space="0"/>
            </w:tcBorders>
            <w:vAlign w:val="center"/>
          </w:tcPr>
          <w:p w14:paraId="6AC3BCB7">
            <w:pPr>
              <w:keepNext w:val="0"/>
              <w:keepLines w:val="0"/>
              <w:pageBreakBefore w:val="0"/>
              <w:widowControl w:val="0"/>
              <w:kinsoku/>
              <w:wordWrap/>
              <w:overflowPunct/>
              <w:topLinePunct w:val="0"/>
              <w:autoSpaceDE w:val="0"/>
              <w:autoSpaceDN w:val="0"/>
              <w:bidi w:val="0"/>
              <w:adjustRightInd w:val="0"/>
              <w:snapToGrid/>
              <w:spacing w:line="360" w:lineRule="exact"/>
              <w:textAlignment w:val="auto"/>
              <w:rPr>
                <w:bCs/>
                <w:color w:val="auto"/>
                <w:highlight w:val="none"/>
                <w:lang w:val="zh-CN"/>
              </w:rPr>
            </w:pPr>
            <w:r>
              <w:rPr>
                <w:rFonts w:hint="eastAsia"/>
                <w:b/>
                <w:color w:val="auto"/>
                <w:highlight w:val="none"/>
              </w:rPr>
              <w:t>评标价计算公式：</w:t>
            </w:r>
            <w:r>
              <w:rPr>
                <w:rFonts w:hint="eastAsia"/>
                <w:color w:val="auto"/>
                <w:highlight w:val="none"/>
              </w:rPr>
              <w:t>评标价=投标函文字报价</w:t>
            </w:r>
          </w:p>
        </w:tc>
      </w:tr>
      <w:tr w14:paraId="2C9B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99" w:type="dxa"/>
            <w:tcBorders>
              <w:left w:val="single" w:color="auto" w:sz="12" w:space="0"/>
              <w:bottom w:val="single" w:color="auto" w:sz="12" w:space="0"/>
            </w:tcBorders>
            <w:vAlign w:val="center"/>
          </w:tcPr>
          <w:p w14:paraId="2B818555">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Cs/>
                <w:color w:val="auto"/>
                <w:highlight w:val="none"/>
                <w:lang w:val="zh-CN"/>
              </w:rPr>
            </w:pPr>
            <w:r>
              <w:rPr>
                <w:rFonts w:hint="eastAsia" w:ascii="宋体" w:hAnsi="宋体" w:eastAsia="宋体" w:cs="宋体"/>
                <w:bCs/>
                <w:color w:val="auto"/>
                <w:highlight w:val="none"/>
                <w:lang w:val="zh-CN"/>
              </w:rPr>
              <w:t>3.2.4</w:t>
            </w:r>
          </w:p>
        </w:tc>
        <w:tc>
          <w:tcPr>
            <w:tcW w:w="1636" w:type="dxa"/>
            <w:tcBorders>
              <w:bottom w:val="single" w:color="auto" w:sz="12" w:space="0"/>
            </w:tcBorders>
            <w:vAlign w:val="center"/>
          </w:tcPr>
          <w:p w14:paraId="7D5CDE31">
            <w:pPr>
              <w:keepNext w:val="0"/>
              <w:keepLines w:val="0"/>
              <w:pageBreakBefore w:val="0"/>
              <w:widowControl w:val="0"/>
              <w:kinsoku/>
              <w:wordWrap/>
              <w:overflowPunct/>
              <w:topLinePunct w:val="0"/>
              <w:autoSpaceDE w:val="0"/>
              <w:autoSpaceDN w:val="0"/>
              <w:bidi w:val="0"/>
              <w:adjustRightInd w:val="0"/>
              <w:spacing w:line="360" w:lineRule="exact"/>
              <w:ind w:firstLine="105" w:firstLineChars="50"/>
              <w:jc w:val="center"/>
              <w:textAlignment w:val="auto"/>
              <w:rPr>
                <w:bCs/>
                <w:color w:val="auto"/>
                <w:highlight w:val="none"/>
                <w:lang w:val="zh-CN"/>
              </w:rPr>
            </w:pPr>
            <w:r>
              <w:rPr>
                <w:rFonts w:hint="eastAsia"/>
                <w:bCs/>
                <w:color w:val="auto"/>
                <w:highlight w:val="none"/>
                <w:lang w:val="zh-CN"/>
              </w:rPr>
              <w:t>通过第一个信封详细评审的投标人数量</w:t>
            </w:r>
          </w:p>
        </w:tc>
        <w:tc>
          <w:tcPr>
            <w:tcW w:w="7046" w:type="dxa"/>
            <w:tcBorders>
              <w:bottom w:val="single" w:color="auto" w:sz="12" w:space="0"/>
              <w:right w:val="single" w:color="auto" w:sz="12" w:space="0"/>
            </w:tcBorders>
            <w:vAlign w:val="center"/>
          </w:tcPr>
          <w:p w14:paraId="0932818F">
            <w:pPr>
              <w:keepNext w:val="0"/>
              <w:keepLines w:val="0"/>
              <w:pageBreakBefore w:val="0"/>
              <w:widowControl w:val="0"/>
              <w:kinsoku/>
              <w:wordWrap/>
              <w:overflowPunct/>
              <w:topLinePunct w:val="0"/>
              <w:autoSpaceDE w:val="0"/>
              <w:autoSpaceDN w:val="0"/>
              <w:bidi w:val="0"/>
              <w:adjustRightInd w:val="0"/>
              <w:snapToGrid/>
              <w:spacing w:line="360" w:lineRule="exact"/>
              <w:ind w:firstLine="420" w:firstLineChars="200"/>
              <w:textAlignment w:val="auto"/>
              <w:rPr>
                <w:color w:val="auto"/>
                <w:highlight w:val="none"/>
              </w:rPr>
            </w:pPr>
            <w:r>
              <w:rPr>
                <w:rFonts w:hint="eastAsia"/>
                <w:color w:val="auto"/>
                <w:highlight w:val="none"/>
              </w:rPr>
              <w:t>按照投标人的商务和技术得分由高到低排序，选择前</w:t>
            </w:r>
            <w:r>
              <w:rPr>
                <w:rFonts w:hint="eastAsia" w:ascii="宋体" w:hAnsi="宋体" w:eastAsia="宋体" w:cs="宋体"/>
                <w:color w:val="auto"/>
                <w:highlight w:val="none"/>
                <w:u w:val="single"/>
              </w:rPr>
              <w:t xml:space="preserve"> </w:t>
            </w:r>
            <w:r>
              <w:rPr>
                <w:rFonts w:hint="eastAsia" w:ascii="宋体" w:hAnsi="宋体" w:eastAsia="宋体" w:cs="宋体"/>
                <w:b/>
                <w:color w:val="auto"/>
                <w:highlight w:val="none"/>
                <w:u w:val="single"/>
              </w:rPr>
              <w:t xml:space="preserve">3 </w:t>
            </w:r>
            <w:r>
              <w:rPr>
                <w:rFonts w:hint="eastAsia"/>
                <w:color w:val="auto"/>
                <w:highlight w:val="none"/>
              </w:rPr>
              <w:t>名通过详细评审。</w:t>
            </w:r>
          </w:p>
          <w:p w14:paraId="15B4649A">
            <w:pPr>
              <w:keepNext w:val="0"/>
              <w:keepLines w:val="0"/>
              <w:pageBreakBefore w:val="0"/>
              <w:widowControl w:val="0"/>
              <w:kinsoku/>
              <w:wordWrap/>
              <w:overflowPunct/>
              <w:topLinePunct w:val="0"/>
              <w:bidi w:val="0"/>
              <w:adjustRightInd w:val="0"/>
              <w:snapToGrid w:val="0"/>
              <w:spacing w:line="360" w:lineRule="exact"/>
              <w:ind w:firstLine="420" w:firstLineChars="200"/>
              <w:textAlignment w:val="auto"/>
              <w:rPr>
                <w:rFonts w:ascii="宋体" w:hAnsi="宋体"/>
                <w:color w:val="auto"/>
                <w:highlight w:val="none"/>
              </w:rPr>
            </w:pPr>
            <w:r>
              <w:rPr>
                <w:rFonts w:ascii="宋体" w:hAnsi="宋体"/>
                <w:color w:val="auto"/>
                <w:highlight w:val="none"/>
              </w:rPr>
              <w:t>如同一标段出现多名投标人的</w:t>
            </w:r>
            <w:r>
              <w:rPr>
                <w:rFonts w:hint="eastAsia" w:ascii="宋体" w:hAnsi="宋体"/>
                <w:color w:val="auto"/>
                <w:highlight w:val="none"/>
              </w:rPr>
              <w:t>第一信封（商务及技术文件）综合评分</w:t>
            </w:r>
            <w:r>
              <w:rPr>
                <w:rFonts w:ascii="宋体" w:hAnsi="宋体"/>
                <w:color w:val="auto"/>
                <w:highlight w:val="none"/>
              </w:rPr>
              <w:t>相等时，则按照以下所列</w:t>
            </w:r>
            <w:r>
              <w:rPr>
                <w:rFonts w:hint="eastAsia" w:ascii="宋体" w:hAnsi="宋体"/>
                <w:color w:val="auto"/>
                <w:highlight w:val="none"/>
                <w:lang w:val="en-US" w:eastAsia="zh-CN"/>
              </w:rPr>
              <w:t>顺序</w:t>
            </w:r>
            <w:r>
              <w:rPr>
                <w:rFonts w:ascii="宋体" w:hAnsi="宋体"/>
                <w:color w:val="auto"/>
                <w:highlight w:val="none"/>
              </w:rPr>
              <w:t>在前的优先：</w:t>
            </w:r>
          </w:p>
          <w:p w14:paraId="32FB813A">
            <w:pPr>
              <w:keepNext w:val="0"/>
              <w:keepLines w:val="0"/>
              <w:pageBreakBefore w:val="0"/>
              <w:widowControl w:val="0"/>
              <w:kinsoku/>
              <w:wordWrap/>
              <w:overflowPunct/>
              <w:topLinePunct w:val="0"/>
              <w:bidi w:val="0"/>
              <w:adjustRightInd w:val="0"/>
              <w:snapToGrid w:val="0"/>
              <w:spacing w:line="360" w:lineRule="exact"/>
              <w:ind w:firstLine="422" w:firstLineChars="201"/>
              <w:textAlignment w:val="auto"/>
              <w:rPr>
                <w:rFonts w:ascii="宋体" w:hAnsi="宋体"/>
                <w:color w:val="auto"/>
                <w:highlight w:val="none"/>
              </w:rPr>
            </w:pPr>
            <w:r>
              <w:rPr>
                <w:rFonts w:hint="eastAsia" w:ascii="宋体" w:hAnsi="宋体"/>
                <w:color w:val="auto"/>
                <w:highlight w:val="none"/>
              </w:rPr>
              <w:t>a</w:t>
            </w:r>
            <w:r>
              <w:rPr>
                <w:rFonts w:ascii="宋体" w:hAnsi="宋体"/>
                <w:color w:val="auto"/>
                <w:highlight w:val="none"/>
              </w:rPr>
              <w:t>.</w:t>
            </w:r>
            <w:r>
              <w:rPr>
                <w:rFonts w:hint="eastAsia"/>
                <w:color w:val="auto"/>
                <w:highlight w:val="none"/>
              </w:rPr>
              <w:t>信用评价得分较高者；</w:t>
            </w:r>
          </w:p>
          <w:p w14:paraId="0ED282A6">
            <w:pPr>
              <w:keepNext w:val="0"/>
              <w:keepLines w:val="0"/>
              <w:pageBreakBefore w:val="0"/>
              <w:widowControl w:val="0"/>
              <w:kinsoku/>
              <w:wordWrap/>
              <w:overflowPunct/>
              <w:topLinePunct w:val="0"/>
              <w:bidi w:val="0"/>
              <w:adjustRightInd w:val="0"/>
              <w:snapToGrid w:val="0"/>
              <w:spacing w:line="360" w:lineRule="exact"/>
              <w:ind w:firstLine="422" w:firstLineChars="201"/>
              <w:textAlignment w:val="auto"/>
              <w:rPr>
                <w:rFonts w:ascii="宋体" w:hAnsi="宋体"/>
                <w:color w:val="auto"/>
                <w:highlight w:val="none"/>
              </w:rPr>
            </w:pPr>
            <w:r>
              <w:rPr>
                <w:rFonts w:hint="eastAsia" w:ascii="宋体" w:hAnsi="宋体"/>
                <w:color w:val="auto"/>
                <w:highlight w:val="none"/>
              </w:rPr>
              <w:t>b</w:t>
            </w:r>
            <w:r>
              <w:rPr>
                <w:rFonts w:ascii="宋体" w:hAnsi="宋体"/>
                <w:color w:val="auto"/>
                <w:highlight w:val="none"/>
              </w:rPr>
              <w:t>.</w:t>
            </w:r>
            <w:r>
              <w:rPr>
                <w:rFonts w:hint="eastAsia" w:ascii="宋体" w:hAnsi="宋体"/>
                <w:color w:val="auto"/>
                <w:highlight w:val="none"/>
              </w:rPr>
              <w:t>主要人员</w:t>
            </w:r>
            <w:r>
              <w:rPr>
                <w:rFonts w:ascii="宋体" w:hAnsi="宋体"/>
                <w:color w:val="auto"/>
                <w:highlight w:val="none"/>
              </w:rPr>
              <w:t>得分较高者；</w:t>
            </w:r>
          </w:p>
          <w:p w14:paraId="3CE60749">
            <w:pPr>
              <w:keepNext w:val="0"/>
              <w:keepLines w:val="0"/>
              <w:pageBreakBefore w:val="0"/>
              <w:widowControl w:val="0"/>
              <w:kinsoku/>
              <w:wordWrap/>
              <w:overflowPunct/>
              <w:topLinePunct w:val="0"/>
              <w:bidi w:val="0"/>
              <w:adjustRightInd w:val="0"/>
              <w:snapToGrid w:val="0"/>
              <w:spacing w:line="360" w:lineRule="exact"/>
              <w:ind w:firstLine="422" w:firstLineChars="201"/>
              <w:textAlignment w:val="auto"/>
              <w:rPr>
                <w:rFonts w:ascii="宋体" w:hAnsi="宋体"/>
                <w:color w:val="auto"/>
                <w:highlight w:val="none"/>
              </w:rPr>
            </w:pPr>
            <w:r>
              <w:rPr>
                <w:rFonts w:hint="eastAsia" w:ascii="宋体" w:hAnsi="宋体"/>
                <w:color w:val="auto"/>
                <w:highlight w:val="none"/>
              </w:rPr>
              <w:t>c</w:t>
            </w:r>
            <w:r>
              <w:rPr>
                <w:rFonts w:ascii="宋体" w:hAnsi="宋体"/>
                <w:color w:val="auto"/>
                <w:highlight w:val="none"/>
              </w:rPr>
              <w:t>.施工组织设计得分较高者；</w:t>
            </w:r>
          </w:p>
          <w:p w14:paraId="01F50FC2">
            <w:pPr>
              <w:keepNext w:val="0"/>
              <w:keepLines w:val="0"/>
              <w:pageBreakBefore w:val="0"/>
              <w:widowControl w:val="0"/>
              <w:kinsoku/>
              <w:wordWrap/>
              <w:overflowPunct/>
              <w:topLinePunct w:val="0"/>
              <w:autoSpaceDE w:val="0"/>
              <w:autoSpaceDN w:val="0"/>
              <w:bidi w:val="0"/>
              <w:adjustRightInd w:val="0"/>
              <w:spacing w:line="360" w:lineRule="exact"/>
              <w:ind w:firstLine="420" w:firstLineChars="200"/>
              <w:textAlignment w:val="auto"/>
              <w:rPr>
                <w:color w:val="auto"/>
                <w:highlight w:val="none"/>
              </w:rPr>
            </w:pPr>
            <w:r>
              <w:rPr>
                <w:rFonts w:ascii="宋体" w:hAnsi="宋体"/>
                <w:color w:val="auto"/>
                <w:highlight w:val="none"/>
              </w:rPr>
              <w:t>若以上各项评分因素得分都相等，则通过评委会投票表决，推荐票数多的投标人评分排序在先</w:t>
            </w:r>
            <w:r>
              <w:rPr>
                <w:rFonts w:hint="eastAsia" w:ascii="宋体" w:hAnsi="宋体"/>
                <w:color w:val="auto"/>
                <w:highlight w:val="none"/>
              </w:rPr>
              <w:t>。</w:t>
            </w:r>
          </w:p>
        </w:tc>
      </w:tr>
    </w:tbl>
    <w:p w14:paraId="3540C8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p>
    <w:tbl>
      <w:tblPr>
        <w:tblStyle w:val="11"/>
        <w:tblW w:w="959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914"/>
        <w:gridCol w:w="675"/>
        <w:gridCol w:w="945"/>
        <w:gridCol w:w="1845"/>
        <w:gridCol w:w="855"/>
        <w:gridCol w:w="4360"/>
      </w:tblGrid>
      <w:tr w14:paraId="0D8115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5234" w:type="dxa"/>
            <w:gridSpan w:val="5"/>
            <w:tcBorders>
              <w:tl2br w:val="nil"/>
              <w:tr2bl w:val="nil"/>
            </w:tcBorders>
            <w:vAlign w:val="center"/>
          </w:tcPr>
          <w:p w14:paraId="7954076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r>
              <w:rPr>
                <w:rFonts w:ascii="宋体" w:hAnsi="宋体"/>
                <w:b/>
                <w:bCs/>
                <w:color w:val="auto"/>
                <w:highlight w:val="none"/>
              </w:rPr>
              <w:t>评分因素与权重分值</w:t>
            </w:r>
          </w:p>
        </w:tc>
        <w:tc>
          <w:tcPr>
            <w:tcW w:w="4360" w:type="dxa"/>
            <w:vMerge w:val="restart"/>
            <w:tcBorders>
              <w:tl2br w:val="nil"/>
              <w:tr2bl w:val="nil"/>
            </w:tcBorders>
            <w:vAlign w:val="center"/>
          </w:tcPr>
          <w:p w14:paraId="7959D1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b/>
                <w:bCs/>
                <w:color w:val="auto"/>
                <w:highlight w:val="none"/>
              </w:rPr>
              <w:t>评分标准</w:t>
            </w:r>
          </w:p>
        </w:tc>
      </w:tr>
      <w:tr w14:paraId="4CEA0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914" w:type="dxa"/>
            <w:tcBorders>
              <w:tl2br w:val="nil"/>
              <w:tr2bl w:val="nil"/>
            </w:tcBorders>
            <w:vAlign w:val="center"/>
          </w:tcPr>
          <w:p w14:paraId="4B1ACE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r>
              <w:rPr>
                <w:rFonts w:ascii="宋体" w:hAnsi="宋体"/>
                <w:b/>
                <w:bCs/>
                <w:color w:val="auto"/>
                <w:highlight w:val="none"/>
              </w:rPr>
              <w:t>条款号</w:t>
            </w:r>
          </w:p>
        </w:tc>
        <w:tc>
          <w:tcPr>
            <w:tcW w:w="675" w:type="dxa"/>
            <w:tcBorders>
              <w:tl2br w:val="nil"/>
              <w:tr2bl w:val="nil"/>
            </w:tcBorders>
            <w:vAlign w:val="center"/>
          </w:tcPr>
          <w:p w14:paraId="5C9AA71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r>
              <w:rPr>
                <w:rFonts w:ascii="宋体" w:hAnsi="宋体"/>
                <w:b/>
                <w:bCs/>
                <w:color w:val="auto"/>
                <w:highlight w:val="none"/>
              </w:rPr>
              <w:t>评分</w:t>
            </w:r>
            <w:r>
              <w:rPr>
                <w:rFonts w:ascii="宋体" w:hAnsi="宋体"/>
                <w:b/>
                <w:bCs/>
                <w:color w:val="auto"/>
                <w:highlight w:val="none"/>
              </w:rPr>
              <w:br w:type="textWrapping"/>
            </w:r>
            <w:r>
              <w:rPr>
                <w:rFonts w:ascii="宋体" w:hAnsi="宋体"/>
                <w:b/>
                <w:bCs/>
                <w:color w:val="auto"/>
                <w:highlight w:val="none"/>
              </w:rPr>
              <w:t>因素</w:t>
            </w:r>
          </w:p>
        </w:tc>
        <w:tc>
          <w:tcPr>
            <w:tcW w:w="945" w:type="dxa"/>
            <w:tcBorders>
              <w:tl2br w:val="nil"/>
              <w:tr2bl w:val="nil"/>
            </w:tcBorders>
            <w:vAlign w:val="center"/>
          </w:tcPr>
          <w:p w14:paraId="6E05672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r>
              <w:rPr>
                <w:rFonts w:ascii="宋体" w:hAnsi="宋体"/>
                <w:b/>
                <w:bCs/>
                <w:color w:val="auto"/>
                <w:highlight w:val="none"/>
              </w:rPr>
              <w:t>评分因素</w:t>
            </w:r>
            <w:r>
              <w:rPr>
                <w:rFonts w:ascii="宋体" w:hAnsi="宋体"/>
                <w:b/>
                <w:bCs/>
                <w:color w:val="auto"/>
                <w:highlight w:val="none"/>
              </w:rPr>
              <w:br w:type="textWrapping"/>
            </w:r>
            <w:r>
              <w:rPr>
                <w:rFonts w:ascii="宋体" w:hAnsi="宋体"/>
                <w:b/>
                <w:bCs/>
                <w:color w:val="auto"/>
                <w:highlight w:val="none"/>
              </w:rPr>
              <w:t>权重分值</w:t>
            </w:r>
          </w:p>
        </w:tc>
        <w:tc>
          <w:tcPr>
            <w:tcW w:w="1845" w:type="dxa"/>
            <w:tcBorders>
              <w:tl2br w:val="nil"/>
              <w:tr2bl w:val="nil"/>
            </w:tcBorders>
            <w:vAlign w:val="center"/>
          </w:tcPr>
          <w:p w14:paraId="526C34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r>
              <w:rPr>
                <w:rFonts w:ascii="宋体" w:hAnsi="宋体"/>
                <w:b/>
                <w:bCs/>
                <w:color w:val="auto"/>
                <w:highlight w:val="none"/>
              </w:rPr>
              <w:t>各评分因素细分项</w:t>
            </w:r>
          </w:p>
        </w:tc>
        <w:tc>
          <w:tcPr>
            <w:tcW w:w="855" w:type="dxa"/>
            <w:tcBorders>
              <w:tl2br w:val="nil"/>
              <w:tr2bl w:val="nil"/>
            </w:tcBorders>
            <w:vAlign w:val="center"/>
          </w:tcPr>
          <w:p w14:paraId="46F0D86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宋体" w:hAnsi="宋体"/>
                <w:b/>
                <w:bCs/>
                <w:color w:val="auto"/>
                <w:highlight w:val="none"/>
              </w:rPr>
            </w:pPr>
            <w:r>
              <w:rPr>
                <w:rFonts w:ascii="宋体" w:hAnsi="宋体"/>
                <w:b/>
                <w:bCs/>
                <w:color w:val="auto"/>
                <w:highlight w:val="none"/>
              </w:rPr>
              <w:t>分值</w:t>
            </w:r>
          </w:p>
        </w:tc>
        <w:tc>
          <w:tcPr>
            <w:tcW w:w="4360" w:type="dxa"/>
            <w:vMerge w:val="continue"/>
            <w:tcBorders>
              <w:tl2br w:val="nil"/>
              <w:tr2bl w:val="nil"/>
            </w:tcBorders>
            <w:vAlign w:val="center"/>
          </w:tcPr>
          <w:p w14:paraId="6FD3402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b/>
                <w:color w:val="auto"/>
                <w:highlight w:val="none"/>
              </w:rPr>
            </w:pPr>
          </w:p>
        </w:tc>
      </w:tr>
      <w:tr w14:paraId="39041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restart"/>
            <w:tcBorders>
              <w:tl2br w:val="nil"/>
              <w:tr2bl w:val="nil"/>
            </w:tcBorders>
            <w:vAlign w:val="center"/>
          </w:tcPr>
          <w:p w14:paraId="53200E5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2.2.</w:t>
            </w:r>
            <w:r>
              <w:rPr>
                <w:rFonts w:hint="eastAsia" w:ascii="宋体" w:hAnsi="宋体"/>
                <w:color w:val="auto"/>
                <w:highlight w:val="none"/>
              </w:rPr>
              <w:t>2</w:t>
            </w:r>
            <w:r>
              <w:rPr>
                <w:rFonts w:ascii="宋体" w:hAnsi="宋体"/>
                <w:color w:val="auto"/>
                <w:highlight w:val="none"/>
              </w:rPr>
              <w:t>（1）</w:t>
            </w:r>
          </w:p>
        </w:tc>
        <w:tc>
          <w:tcPr>
            <w:tcW w:w="675" w:type="dxa"/>
            <w:vMerge w:val="restart"/>
            <w:tcBorders>
              <w:tl2br w:val="nil"/>
              <w:tr2bl w:val="nil"/>
            </w:tcBorders>
            <w:vAlign w:val="center"/>
          </w:tcPr>
          <w:p w14:paraId="50644D1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施工组织设计</w:t>
            </w:r>
          </w:p>
        </w:tc>
        <w:tc>
          <w:tcPr>
            <w:tcW w:w="945" w:type="dxa"/>
            <w:vMerge w:val="restart"/>
            <w:tcBorders>
              <w:tl2br w:val="nil"/>
              <w:tr2bl w:val="nil"/>
            </w:tcBorders>
            <w:vAlign w:val="center"/>
          </w:tcPr>
          <w:p w14:paraId="18CB006B">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40</w:t>
            </w:r>
            <w:r>
              <w:rPr>
                <w:rFonts w:ascii="宋体" w:hAnsi="宋体"/>
                <w:color w:val="auto"/>
                <w:highlight w:val="none"/>
              </w:rPr>
              <w:t>分</w:t>
            </w:r>
          </w:p>
        </w:tc>
        <w:tc>
          <w:tcPr>
            <w:tcW w:w="1845" w:type="dxa"/>
            <w:tcBorders>
              <w:tl2br w:val="nil"/>
              <w:tr2bl w:val="nil"/>
            </w:tcBorders>
            <w:vAlign w:val="center"/>
          </w:tcPr>
          <w:p w14:paraId="74499638">
            <w:pPr>
              <w:keepNext w:val="0"/>
              <w:keepLines w:val="0"/>
              <w:pageBreakBefore w:val="0"/>
              <w:kinsoku/>
              <w:wordWrap/>
              <w:overflowPunct/>
              <w:topLinePunct w:val="0"/>
              <w:autoSpaceDE/>
              <w:autoSpaceDN/>
              <w:bidi w:val="0"/>
              <w:adjustRightInd w:val="0"/>
              <w:snapToGrid w:val="0"/>
              <w:spacing w:line="360" w:lineRule="exact"/>
              <w:textAlignment w:val="auto"/>
              <w:rPr>
                <w:rFonts w:ascii="宋体" w:hAnsi="宋体"/>
                <w:color w:val="auto"/>
                <w:highlight w:val="none"/>
              </w:rPr>
            </w:pPr>
            <w:r>
              <w:rPr>
                <w:rFonts w:hint="eastAsia" w:ascii="宋体" w:hAnsi="宋体"/>
                <w:color w:val="auto"/>
                <w:highlight w:val="none"/>
              </w:rPr>
              <w:t>总体施工组织布置及规划</w:t>
            </w:r>
          </w:p>
        </w:tc>
        <w:tc>
          <w:tcPr>
            <w:tcW w:w="855" w:type="dxa"/>
            <w:tcBorders>
              <w:tl2br w:val="nil"/>
              <w:tr2bl w:val="nil"/>
            </w:tcBorders>
            <w:vAlign w:val="center"/>
          </w:tcPr>
          <w:p w14:paraId="33D1A500">
            <w:pPr>
              <w:keepNext w:val="0"/>
              <w:keepLines w:val="0"/>
              <w:pageBreakBefore w:val="0"/>
              <w:kinsoku/>
              <w:wordWrap/>
              <w:overflowPunct/>
              <w:topLinePunct w:val="0"/>
              <w:autoSpaceDE/>
              <w:autoSpaceDN/>
              <w:bidi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10分</w:t>
            </w:r>
          </w:p>
        </w:tc>
        <w:tc>
          <w:tcPr>
            <w:tcW w:w="4360" w:type="dxa"/>
            <w:tcBorders>
              <w:tl2br w:val="nil"/>
              <w:tr2bl w:val="nil"/>
            </w:tcBorders>
            <w:vAlign w:val="center"/>
          </w:tcPr>
          <w:p w14:paraId="2B782A89">
            <w:pPr>
              <w:keepLines w:val="0"/>
              <w:widowControl/>
              <w:kinsoku/>
              <w:wordWrap/>
              <w:overflowPunct/>
              <w:topLinePunct w:val="0"/>
              <w:bidi w:val="0"/>
              <w:spacing w:line="360" w:lineRule="exact"/>
              <w:jc w:val="left"/>
              <w:textAlignment w:val="auto"/>
              <w:rPr>
                <w:rFonts w:ascii="宋体" w:hAnsi="宋体"/>
                <w:color w:val="auto"/>
                <w:kern w:val="0"/>
                <w:highlight w:val="none"/>
              </w:rPr>
            </w:pPr>
            <w:r>
              <w:rPr>
                <w:rFonts w:hint="eastAsia"/>
                <w:color w:val="000000"/>
                <w:szCs w:val="21"/>
                <w:highlight w:val="none"/>
                <w:shd w:val="clear" w:color="auto" w:fill="FFFFFF"/>
              </w:rPr>
              <w:t>按招标文件要求编制总体布置及规划</w:t>
            </w:r>
            <w:r>
              <w:rPr>
                <w:rFonts w:hint="eastAsia" w:ascii="宋体" w:hAnsi="宋体"/>
                <w:kern w:val="0"/>
                <w:highlight w:val="none"/>
              </w:rPr>
              <w:t>得6</w:t>
            </w:r>
            <w:r>
              <w:rPr>
                <w:rFonts w:ascii="宋体" w:hAnsi="宋体"/>
                <w:kern w:val="0"/>
                <w:highlight w:val="none"/>
              </w:rPr>
              <w:t>.</w:t>
            </w:r>
            <w:r>
              <w:rPr>
                <w:rFonts w:hint="eastAsia" w:ascii="宋体" w:hAnsi="宋体"/>
                <w:kern w:val="0"/>
                <w:highlight w:val="none"/>
              </w:rPr>
              <w:t>0分，</w:t>
            </w:r>
            <w:r>
              <w:rPr>
                <w:rFonts w:hint="eastAsia"/>
                <w:color w:val="000000"/>
                <w:szCs w:val="21"/>
                <w:highlight w:val="none"/>
                <w:shd w:val="clear" w:color="auto" w:fill="FFFFFF"/>
              </w:rPr>
              <w:t>内容全面、科学合理、可操作性强</w:t>
            </w:r>
            <w:r>
              <w:rPr>
                <w:rFonts w:hint="eastAsia" w:ascii="宋体" w:hAnsi="宋体"/>
                <w:highlight w:val="none"/>
              </w:rPr>
              <w:t>，</w:t>
            </w:r>
            <w:r>
              <w:rPr>
                <w:rFonts w:hint="eastAsia" w:ascii="宋体" w:hAnsi="宋体"/>
                <w:kern w:val="0"/>
                <w:highlight w:val="none"/>
              </w:rPr>
              <w:t>酌情加分，最高加4.0分。</w:t>
            </w:r>
          </w:p>
        </w:tc>
      </w:tr>
      <w:tr w14:paraId="69509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6463C12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21A4FDD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302EEA6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tcBorders>
              <w:tl2br w:val="nil"/>
              <w:tr2bl w:val="nil"/>
            </w:tcBorders>
            <w:vAlign w:val="center"/>
          </w:tcPr>
          <w:p w14:paraId="7396E1BD">
            <w:pPr>
              <w:keepNext w:val="0"/>
              <w:keepLines w:val="0"/>
              <w:pageBreakBefore w:val="0"/>
              <w:kinsoku/>
              <w:wordWrap/>
              <w:overflowPunct/>
              <w:topLinePunct w:val="0"/>
              <w:autoSpaceDE/>
              <w:autoSpaceDN/>
              <w:bidi w:val="0"/>
              <w:adjustRightInd w:val="0"/>
              <w:snapToGrid w:val="0"/>
              <w:spacing w:line="360" w:lineRule="exact"/>
              <w:textAlignment w:val="auto"/>
              <w:rPr>
                <w:rFonts w:ascii="宋体" w:hAnsi="宋体"/>
                <w:color w:val="auto"/>
                <w:highlight w:val="none"/>
              </w:rPr>
            </w:pPr>
            <w:r>
              <w:rPr>
                <w:rFonts w:hint="eastAsia" w:ascii="宋体" w:hAnsi="宋体" w:cs="宋体"/>
                <w:bCs/>
                <w:color w:val="auto"/>
                <w:highlight w:val="none"/>
                <w:lang w:val="zh-CN"/>
              </w:rPr>
              <w:t>主要工程项目的施工方案、方法与技术措施</w:t>
            </w:r>
          </w:p>
        </w:tc>
        <w:tc>
          <w:tcPr>
            <w:tcW w:w="855" w:type="dxa"/>
            <w:tcBorders>
              <w:tl2br w:val="nil"/>
              <w:tr2bl w:val="nil"/>
            </w:tcBorders>
            <w:vAlign w:val="center"/>
          </w:tcPr>
          <w:p w14:paraId="52BCCE91">
            <w:pPr>
              <w:keepNext w:val="0"/>
              <w:keepLines w:val="0"/>
              <w:pageBreakBefore w:val="0"/>
              <w:kinsoku/>
              <w:wordWrap/>
              <w:overflowPunct/>
              <w:topLinePunct w:val="0"/>
              <w:autoSpaceDE/>
              <w:autoSpaceDN/>
              <w:bidi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15分</w:t>
            </w:r>
          </w:p>
        </w:tc>
        <w:tc>
          <w:tcPr>
            <w:tcW w:w="4360" w:type="dxa"/>
            <w:tcBorders>
              <w:tl2br w:val="nil"/>
              <w:tr2bl w:val="nil"/>
            </w:tcBorders>
            <w:vAlign w:val="center"/>
          </w:tcPr>
          <w:p w14:paraId="14CD0E4A">
            <w:pPr>
              <w:keepLines w:val="0"/>
              <w:widowControl/>
              <w:kinsoku/>
              <w:wordWrap/>
              <w:overflowPunct/>
              <w:topLinePunct w:val="0"/>
              <w:bidi w:val="0"/>
              <w:spacing w:line="360" w:lineRule="exact"/>
              <w:jc w:val="left"/>
              <w:textAlignment w:val="auto"/>
              <w:rPr>
                <w:rFonts w:ascii="宋体" w:hAnsi="宋体"/>
                <w:color w:val="auto"/>
                <w:kern w:val="0"/>
                <w:highlight w:val="none"/>
              </w:rPr>
            </w:pPr>
            <w:r>
              <w:rPr>
                <w:rFonts w:hint="eastAsia"/>
                <w:color w:val="000000"/>
                <w:szCs w:val="21"/>
                <w:highlight w:val="none"/>
                <w:shd w:val="clear" w:color="auto" w:fill="FFFFFF"/>
              </w:rPr>
              <w:t>按招标文件要求编制主要工程项目的施工方案、方法与技术措施</w:t>
            </w:r>
            <w:r>
              <w:rPr>
                <w:rFonts w:hint="eastAsia" w:ascii="宋体" w:hAnsi="宋体"/>
                <w:kern w:val="0"/>
                <w:highlight w:val="none"/>
              </w:rPr>
              <w:t>得9</w:t>
            </w:r>
            <w:r>
              <w:rPr>
                <w:rFonts w:ascii="宋体" w:hAnsi="宋体"/>
                <w:kern w:val="0"/>
                <w:highlight w:val="none"/>
              </w:rPr>
              <w:t>.</w:t>
            </w:r>
            <w:r>
              <w:rPr>
                <w:rFonts w:hint="eastAsia" w:ascii="宋体" w:hAnsi="宋体"/>
                <w:kern w:val="0"/>
                <w:highlight w:val="none"/>
              </w:rPr>
              <w:t>0分，</w:t>
            </w:r>
            <w:r>
              <w:rPr>
                <w:rFonts w:hint="eastAsia"/>
                <w:color w:val="000000"/>
                <w:szCs w:val="21"/>
                <w:highlight w:val="none"/>
                <w:shd w:val="clear" w:color="auto" w:fill="FFFFFF"/>
              </w:rPr>
              <w:t>内容全面、科学合理、可操作性强</w:t>
            </w:r>
            <w:r>
              <w:rPr>
                <w:rFonts w:hint="eastAsia" w:ascii="宋体" w:hAnsi="宋体"/>
                <w:highlight w:val="none"/>
              </w:rPr>
              <w:t>，</w:t>
            </w:r>
            <w:r>
              <w:rPr>
                <w:rFonts w:hint="eastAsia" w:ascii="宋体" w:hAnsi="宋体"/>
                <w:kern w:val="0"/>
                <w:highlight w:val="none"/>
              </w:rPr>
              <w:t>酌情加分，最高加6.0分。</w:t>
            </w:r>
          </w:p>
        </w:tc>
      </w:tr>
      <w:tr w14:paraId="79F63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1BD3C036">
            <w:pPr>
              <w:keepNext w:val="0"/>
              <w:keepLines w:val="0"/>
              <w:pageBreakBefore w:val="0"/>
              <w:kinsoku/>
              <w:wordWrap/>
              <w:overflowPunct/>
              <w:topLinePunct w:val="0"/>
              <w:autoSpaceDE/>
              <w:autoSpaceDN/>
              <w:bidi w:val="0"/>
              <w:adjustRightInd w:val="0"/>
              <w:snapToGrid w:val="0"/>
              <w:spacing w:line="360" w:lineRule="exact"/>
              <w:jc w:val="right"/>
              <w:textAlignment w:val="auto"/>
              <w:rPr>
                <w:rFonts w:ascii="宋体" w:hAnsi="宋体"/>
                <w:color w:val="auto"/>
                <w:highlight w:val="none"/>
              </w:rPr>
            </w:pPr>
          </w:p>
        </w:tc>
        <w:tc>
          <w:tcPr>
            <w:tcW w:w="675" w:type="dxa"/>
            <w:vMerge w:val="continue"/>
            <w:tcBorders>
              <w:tl2br w:val="nil"/>
              <w:tr2bl w:val="nil"/>
            </w:tcBorders>
            <w:vAlign w:val="center"/>
          </w:tcPr>
          <w:p w14:paraId="47C7D27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6DE4466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tcBorders>
              <w:tl2br w:val="nil"/>
              <w:tr2bl w:val="nil"/>
            </w:tcBorders>
            <w:vAlign w:val="center"/>
          </w:tcPr>
          <w:p w14:paraId="1D280877">
            <w:pPr>
              <w:keepNext w:val="0"/>
              <w:keepLines w:val="0"/>
              <w:pageBreakBefore w:val="0"/>
              <w:kinsoku/>
              <w:wordWrap/>
              <w:overflowPunct/>
              <w:topLinePunct w:val="0"/>
              <w:autoSpaceDE/>
              <w:autoSpaceDN/>
              <w:bidi w:val="0"/>
              <w:adjustRightInd w:val="0"/>
              <w:snapToGrid w:val="0"/>
              <w:spacing w:line="360" w:lineRule="exact"/>
              <w:textAlignment w:val="auto"/>
              <w:rPr>
                <w:rFonts w:ascii="宋体" w:hAnsi="宋体"/>
                <w:color w:val="auto"/>
                <w:highlight w:val="none"/>
              </w:rPr>
            </w:pPr>
            <w:r>
              <w:rPr>
                <w:rFonts w:hint="eastAsia" w:ascii="宋体" w:hAnsi="宋体" w:cs="宋体"/>
                <w:bCs/>
                <w:color w:val="auto"/>
                <w:highlight w:val="none"/>
              </w:rPr>
              <w:t>各类</w:t>
            </w:r>
            <w:r>
              <w:rPr>
                <w:rFonts w:hint="eastAsia" w:ascii="宋体" w:hAnsi="宋体" w:cs="宋体"/>
                <w:bCs/>
                <w:color w:val="auto"/>
                <w:highlight w:val="none"/>
                <w:lang w:val="zh-CN"/>
              </w:rPr>
              <w:t>保证体系及保证措施</w:t>
            </w:r>
          </w:p>
        </w:tc>
        <w:tc>
          <w:tcPr>
            <w:tcW w:w="855" w:type="dxa"/>
            <w:tcBorders>
              <w:tl2br w:val="nil"/>
              <w:tr2bl w:val="nil"/>
            </w:tcBorders>
            <w:vAlign w:val="center"/>
          </w:tcPr>
          <w:p w14:paraId="1AA9218B">
            <w:pPr>
              <w:keepNext w:val="0"/>
              <w:keepLines w:val="0"/>
              <w:pageBreakBefore w:val="0"/>
              <w:kinsoku/>
              <w:wordWrap/>
              <w:overflowPunct/>
              <w:topLinePunct w:val="0"/>
              <w:autoSpaceDE/>
              <w:autoSpaceDN/>
              <w:bidi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10分</w:t>
            </w:r>
          </w:p>
        </w:tc>
        <w:tc>
          <w:tcPr>
            <w:tcW w:w="4360" w:type="dxa"/>
            <w:tcBorders>
              <w:tl2br w:val="nil"/>
              <w:tr2bl w:val="nil"/>
            </w:tcBorders>
            <w:vAlign w:val="center"/>
          </w:tcPr>
          <w:p w14:paraId="3757B901">
            <w:pPr>
              <w:keepLines w:val="0"/>
              <w:widowControl/>
              <w:kinsoku/>
              <w:wordWrap/>
              <w:overflowPunct/>
              <w:topLinePunct w:val="0"/>
              <w:bidi w:val="0"/>
              <w:spacing w:line="360" w:lineRule="exact"/>
              <w:jc w:val="left"/>
              <w:textAlignment w:val="auto"/>
              <w:rPr>
                <w:rFonts w:ascii="宋体" w:hAnsi="宋体"/>
                <w:color w:val="auto"/>
                <w:kern w:val="0"/>
                <w:highlight w:val="none"/>
              </w:rPr>
            </w:pPr>
            <w:r>
              <w:rPr>
                <w:rFonts w:hint="eastAsia"/>
                <w:color w:val="000000"/>
                <w:szCs w:val="21"/>
                <w:highlight w:val="none"/>
                <w:shd w:val="clear" w:color="auto" w:fill="FFFFFF"/>
              </w:rPr>
              <w:t>按招标文件要求编制工期、质量、安全生产、文明施工等保证体系及措施</w:t>
            </w:r>
            <w:r>
              <w:rPr>
                <w:rFonts w:hint="eastAsia" w:ascii="宋体" w:hAnsi="宋体"/>
                <w:kern w:val="0"/>
                <w:highlight w:val="none"/>
              </w:rPr>
              <w:t>得6</w:t>
            </w:r>
            <w:r>
              <w:rPr>
                <w:rFonts w:ascii="宋体" w:hAnsi="宋体"/>
                <w:kern w:val="0"/>
                <w:highlight w:val="none"/>
              </w:rPr>
              <w:t>.</w:t>
            </w:r>
            <w:r>
              <w:rPr>
                <w:rFonts w:hint="eastAsia" w:ascii="宋体" w:hAnsi="宋体"/>
                <w:kern w:val="0"/>
                <w:highlight w:val="none"/>
              </w:rPr>
              <w:t>0分，</w:t>
            </w:r>
            <w:r>
              <w:rPr>
                <w:rFonts w:hint="eastAsia"/>
                <w:color w:val="000000"/>
                <w:szCs w:val="21"/>
                <w:highlight w:val="none"/>
                <w:shd w:val="clear" w:color="auto" w:fill="FFFFFF"/>
              </w:rPr>
              <w:t>内容全面、科学合理、可操作性强</w:t>
            </w:r>
            <w:r>
              <w:rPr>
                <w:rFonts w:hint="eastAsia" w:ascii="宋体" w:hAnsi="宋体"/>
                <w:highlight w:val="none"/>
              </w:rPr>
              <w:t>，</w:t>
            </w:r>
            <w:r>
              <w:rPr>
                <w:rFonts w:hint="eastAsia" w:ascii="宋体" w:hAnsi="宋体"/>
                <w:kern w:val="0"/>
                <w:highlight w:val="none"/>
              </w:rPr>
              <w:t>酌情加分，最高加4.0分。</w:t>
            </w:r>
          </w:p>
        </w:tc>
      </w:tr>
      <w:tr w14:paraId="3DD871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534FA9F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1A6A1B3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63BA610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tcBorders>
              <w:tl2br w:val="nil"/>
              <w:tr2bl w:val="nil"/>
            </w:tcBorders>
            <w:vAlign w:val="center"/>
          </w:tcPr>
          <w:p w14:paraId="470C2A21">
            <w:pPr>
              <w:keepNext w:val="0"/>
              <w:keepLines w:val="0"/>
              <w:pageBreakBefore w:val="0"/>
              <w:kinsoku/>
              <w:wordWrap/>
              <w:overflowPunct/>
              <w:topLinePunct w:val="0"/>
              <w:autoSpaceDE/>
              <w:autoSpaceDN/>
              <w:bidi w:val="0"/>
              <w:adjustRightInd w:val="0"/>
              <w:snapToGrid w:val="0"/>
              <w:spacing w:line="360" w:lineRule="exact"/>
              <w:textAlignment w:val="auto"/>
              <w:rPr>
                <w:rFonts w:ascii="宋体" w:hAnsi="宋体"/>
                <w:color w:val="auto"/>
                <w:highlight w:val="none"/>
              </w:rPr>
            </w:pPr>
            <w:r>
              <w:rPr>
                <w:rFonts w:hint="eastAsia" w:ascii="宋体" w:hAnsi="宋体" w:cs="宋体"/>
                <w:bCs/>
                <w:color w:val="auto"/>
                <w:highlight w:val="none"/>
                <w:lang w:val="zh-CN"/>
              </w:rPr>
              <w:t>项目风险预测与防范，事故应急预案</w:t>
            </w:r>
          </w:p>
        </w:tc>
        <w:tc>
          <w:tcPr>
            <w:tcW w:w="855" w:type="dxa"/>
            <w:tcBorders>
              <w:tl2br w:val="nil"/>
              <w:tr2bl w:val="nil"/>
            </w:tcBorders>
            <w:vAlign w:val="center"/>
          </w:tcPr>
          <w:p w14:paraId="0DAC344B">
            <w:pPr>
              <w:keepNext w:val="0"/>
              <w:keepLines w:val="0"/>
              <w:pageBreakBefore w:val="0"/>
              <w:kinsoku/>
              <w:wordWrap/>
              <w:overflowPunct/>
              <w:topLinePunct w:val="0"/>
              <w:autoSpaceDE/>
              <w:autoSpaceDN/>
              <w:bidi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5分</w:t>
            </w:r>
          </w:p>
        </w:tc>
        <w:tc>
          <w:tcPr>
            <w:tcW w:w="4360" w:type="dxa"/>
            <w:tcBorders>
              <w:tl2br w:val="nil"/>
              <w:tr2bl w:val="nil"/>
            </w:tcBorders>
            <w:vAlign w:val="top"/>
          </w:tcPr>
          <w:p w14:paraId="0F18ED89">
            <w:pPr>
              <w:keepLines w:val="0"/>
              <w:kinsoku/>
              <w:wordWrap/>
              <w:overflowPunct/>
              <w:topLinePunct w:val="0"/>
              <w:bidi w:val="0"/>
              <w:spacing w:line="360" w:lineRule="exact"/>
              <w:jc w:val="left"/>
              <w:textAlignment w:val="auto"/>
              <w:rPr>
                <w:rFonts w:ascii="宋体" w:hAnsi="宋体"/>
                <w:color w:val="auto"/>
                <w:highlight w:val="none"/>
              </w:rPr>
            </w:pPr>
            <w:r>
              <w:rPr>
                <w:rFonts w:hint="eastAsia"/>
                <w:color w:val="000000"/>
                <w:szCs w:val="21"/>
                <w:highlight w:val="none"/>
                <w:shd w:val="clear" w:color="auto" w:fill="FFFFFF"/>
              </w:rPr>
              <w:t>按招标文件要求编制事故应急预案</w:t>
            </w:r>
            <w:r>
              <w:rPr>
                <w:rFonts w:hint="eastAsia" w:ascii="宋体" w:hAnsi="宋体"/>
                <w:kern w:val="0"/>
                <w:highlight w:val="none"/>
              </w:rPr>
              <w:t>得3</w:t>
            </w:r>
            <w:r>
              <w:rPr>
                <w:rFonts w:ascii="宋体" w:hAnsi="宋体"/>
                <w:kern w:val="0"/>
                <w:highlight w:val="none"/>
              </w:rPr>
              <w:t>.</w:t>
            </w:r>
            <w:r>
              <w:rPr>
                <w:rFonts w:hint="eastAsia" w:ascii="宋体" w:hAnsi="宋体"/>
                <w:kern w:val="0"/>
                <w:highlight w:val="none"/>
              </w:rPr>
              <w:t>0分，</w:t>
            </w:r>
            <w:r>
              <w:rPr>
                <w:rFonts w:hint="eastAsia"/>
                <w:color w:val="000000"/>
                <w:szCs w:val="21"/>
                <w:highlight w:val="none"/>
                <w:shd w:val="clear" w:color="auto" w:fill="FFFFFF"/>
              </w:rPr>
              <w:t>内容全面、科学合理、可操作性强</w:t>
            </w:r>
            <w:r>
              <w:rPr>
                <w:rFonts w:hint="eastAsia" w:ascii="宋体" w:hAnsi="宋体"/>
                <w:highlight w:val="none"/>
              </w:rPr>
              <w:t>，</w:t>
            </w:r>
            <w:r>
              <w:rPr>
                <w:rFonts w:hint="eastAsia" w:ascii="宋体" w:hAnsi="宋体"/>
                <w:kern w:val="0"/>
                <w:highlight w:val="none"/>
              </w:rPr>
              <w:t>酌情加分，最高加2.0分。</w:t>
            </w:r>
          </w:p>
        </w:tc>
      </w:tr>
      <w:tr w14:paraId="50F5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restart"/>
            <w:tcBorders>
              <w:tl2br w:val="nil"/>
              <w:tr2bl w:val="nil"/>
            </w:tcBorders>
            <w:vAlign w:val="center"/>
          </w:tcPr>
          <w:p w14:paraId="744833D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2.2.</w:t>
            </w:r>
            <w:r>
              <w:rPr>
                <w:rFonts w:hint="eastAsia" w:ascii="宋体" w:hAnsi="宋体"/>
                <w:color w:val="auto"/>
                <w:highlight w:val="none"/>
              </w:rPr>
              <w:t>2</w:t>
            </w:r>
            <w:r>
              <w:rPr>
                <w:rFonts w:ascii="宋体" w:hAnsi="宋体"/>
                <w:color w:val="auto"/>
                <w:highlight w:val="none"/>
              </w:rPr>
              <w:t>（2）</w:t>
            </w:r>
          </w:p>
        </w:tc>
        <w:tc>
          <w:tcPr>
            <w:tcW w:w="675" w:type="dxa"/>
            <w:vMerge w:val="restart"/>
            <w:tcBorders>
              <w:tl2br w:val="nil"/>
              <w:tr2bl w:val="nil"/>
            </w:tcBorders>
            <w:vAlign w:val="center"/>
          </w:tcPr>
          <w:p w14:paraId="156D7B3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主要</w:t>
            </w:r>
          </w:p>
          <w:p w14:paraId="4D8D4CB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人员</w:t>
            </w:r>
          </w:p>
        </w:tc>
        <w:tc>
          <w:tcPr>
            <w:tcW w:w="945" w:type="dxa"/>
            <w:vMerge w:val="restart"/>
            <w:tcBorders>
              <w:tl2br w:val="nil"/>
              <w:tr2bl w:val="nil"/>
            </w:tcBorders>
            <w:vAlign w:val="center"/>
          </w:tcPr>
          <w:p w14:paraId="3961611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25</w:t>
            </w:r>
            <w:r>
              <w:rPr>
                <w:rFonts w:ascii="宋体" w:hAnsi="宋体"/>
                <w:color w:val="auto"/>
                <w:highlight w:val="none"/>
              </w:rPr>
              <w:t>分</w:t>
            </w:r>
          </w:p>
        </w:tc>
        <w:tc>
          <w:tcPr>
            <w:tcW w:w="1845" w:type="dxa"/>
            <w:tcBorders>
              <w:tl2br w:val="nil"/>
              <w:tr2bl w:val="nil"/>
            </w:tcBorders>
            <w:vAlign w:val="center"/>
          </w:tcPr>
          <w:p w14:paraId="78CFC1FB">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项目经理</w:t>
            </w:r>
          </w:p>
          <w:p w14:paraId="145C6D6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任职资格与业绩</w:t>
            </w:r>
          </w:p>
        </w:tc>
        <w:tc>
          <w:tcPr>
            <w:tcW w:w="855" w:type="dxa"/>
            <w:tcBorders>
              <w:tl2br w:val="nil"/>
              <w:tr2bl w:val="nil"/>
            </w:tcBorders>
            <w:vAlign w:val="center"/>
          </w:tcPr>
          <w:p w14:paraId="0C39E16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15分</w:t>
            </w:r>
          </w:p>
        </w:tc>
        <w:tc>
          <w:tcPr>
            <w:tcW w:w="4360" w:type="dxa"/>
            <w:tcBorders>
              <w:tl2br w:val="nil"/>
              <w:tr2bl w:val="nil"/>
            </w:tcBorders>
            <w:vAlign w:val="center"/>
          </w:tcPr>
          <w:p w14:paraId="68BA4527">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highlight w:val="none"/>
                <w:lang w:val="en-US" w:eastAsia="zh-CN"/>
              </w:rPr>
            </w:pPr>
            <w:r>
              <w:rPr>
                <w:rFonts w:hint="eastAsia" w:ascii="宋体" w:hAnsi="宋体"/>
                <w:highlight w:val="none"/>
                <w:lang w:val="en-US" w:eastAsia="zh-CN"/>
              </w:rPr>
              <w:t>CC26PS01标段：</w:t>
            </w:r>
          </w:p>
          <w:p w14:paraId="228CF0AD">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highlight w:val="none"/>
              </w:rPr>
            </w:pPr>
            <w:r>
              <w:rPr>
                <w:rFonts w:ascii="宋体" w:hAnsi="宋体"/>
                <w:highlight w:val="none"/>
              </w:rPr>
              <w:t>满足资格审查条件最低要</w:t>
            </w:r>
            <w:r>
              <w:rPr>
                <w:rFonts w:hint="eastAsia" w:ascii="宋体" w:hAnsi="宋体"/>
                <w:highlight w:val="none"/>
              </w:rPr>
              <w:t>求</w:t>
            </w:r>
            <w:r>
              <w:rPr>
                <w:rFonts w:ascii="宋体" w:hAnsi="宋体"/>
                <w:highlight w:val="none"/>
              </w:rPr>
              <w:t>，得</w:t>
            </w:r>
            <w:r>
              <w:rPr>
                <w:rFonts w:hint="eastAsia" w:ascii="宋体" w:hAnsi="宋体"/>
                <w:highlight w:val="none"/>
              </w:rPr>
              <w:t>9分</w:t>
            </w:r>
            <w:r>
              <w:rPr>
                <w:rFonts w:ascii="宋体" w:hAnsi="宋体"/>
                <w:highlight w:val="none"/>
              </w:rPr>
              <w:t>。</w:t>
            </w:r>
          </w:p>
          <w:p w14:paraId="60BB7F08">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宋体" w:hAnsi="宋体"/>
                <w:highlight w:val="none"/>
              </w:rPr>
            </w:pPr>
            <w:r>
              <w:rPr>
                <w:rFonts w:ascii="宋体" w:hAnsi="宋体"/>
                <w:highlight w:val="none"/>
              </w:rPr>
              <w:t>在满足最低要求的基础上，</w:t>
            </w:r>
            <w:r>
              <w:rPr>
                <w:rFonts w:hint="eastAsia" w:ascii="宋体" w:hAnsi="宋体"/>
                <w:color w:val="auto"/>
                <w:highlight w:val="none"/>
              </w:rPr>
              <w:t>每提供</w:t>
            </w:r>
            <w:r>
              <w:rPr>
                <w:rFonts w:hint="eastAsia" w:ascii="宋体" w:hAnsi="宋体" w:eastAsia="宋体" w:cs="Times New Roman"/>
                <w:color w:val="auto"/>
                <w:kern w:val="2"/>
                <w:sz w:val="21"/>
                <w:szCs w:val="21"/>
                <w:highlight w:val="none"/>
                <w:lang w:val="en-US" w:eastAsia="zh-CN" w:bidi="ar-SA"/>
              </w:rPr>
              <w:t>1项二级（含）以上公路养护工程（工程内容至少包含路基路面养护施工的工程）</w:t>
            </w:r>
            <w:r>
              <w:rPr>
                <w:rFonts w:hint="eastAsia" w:ascii="宋体" w:hAnsi="宋体" w:cs="宋体"/>
                <w:color w:val="auto"/>
                <w:highlight w:val="none"/>
              </w:rPr>
              <w:t>施工的</w:t>
            </w:r>
            <w:r>
              <w:rPr>
                <w:rFonts w:ascii="宋体" w:hAnsi="宋体"/>
                <w:color w:val="auto"/>
                <w:highlight w:val="none"/>
              </w:rPr>
              <w:t>项目经理</w:t>
            </w:r>
            <w:r>
              <w:rPr>
                <w:rFonts w:hint="eastAsia" w:ascii="宋体" w:hAnsi="宋体"/>
                <w:color w:val="auto"/>
                <w:highlight w:val="none"/>
              </w:rPr>
              <w:t>业绩</w:t>
            </w:r>
            <w:r>
              <w:rPr>
                <w:rFonts w:ascii="宋体" w:hAnsi="宋体"/>
                <w:highlight w:val="none"/>
              </w:rPr>
              <w:t>加</w:t>
            </w:r>
            <w:r>
              <w:rPr>
                <w:rFonts w:hint="eastAsia" w:ascii="宋体" w:hAnsi="宋体"/>
                <w:highlight w:val="none"/>
                <w:lang w:val="en-US" w:eastAsia="zh-CN"/>
              </w:rPr>
              <w:t>6</w:t>
            </w:r>
            <w:r>
              <w:rPr>
                <w:rFonts w:ascii="宋体" w:hAnsi="宋体"/>
                <w:highlight w:val="none"/>
              </w:rPr>
              <w:t>分，最多加</w:t>
            </w:r>
            <w:r>
              <w:rPr>
                <w:rFonts w:hint="eastAsia" w:ascii="宋体" w:hAnsi="宋体"/>
                <w:highlight w:val="none"/>
              </w:rPr>
              <w:t>6</w:t>
            </w:r>
            <w:r>
              <w:rPr>
                <w:rFonts w:ascii="宋体" w:hAnsi="宋体"/>
                <w:highlight w:val="none"/>
              </w:rPr>
              <w:t>分。</w:t>
            </w:r>
          </w:p>
          <w:p w14:paraId="518358C3">
            <w:pPr>
              <w:keepNext w:val="0"/>
              <w:keepLines w:val="0"/>
              <w:pageBreakBefore w:val="0"/>
              <w:kinsoku/>
              <w:wordWrap/>
              <w:overflowPunct/>
              <w:topLinePunct w:val="0"/>
              <w:autoSpaceDE/>
              <w:autoSpaceDN/>
              <w:bidi w:val="0"/>
              <w:adjustRightInd w:val="0"/>
              <w:snapToGrid w:val="0"/>
              <w:spacing w:line="360" w:lineRule="exact"/>
              <w:jc w:val="left"/>
              <w:textAlignment w:val="auto"/>
              <w:rPr>
                <w:rStyle w:val="26"/>
                <w:rFonts w:hint="eastAsia" w:ascii="宋体" w:hAnsi="宋体" w:eastAsia="宋体"/>
                <w:color w:val="auto"/>
                <w:sz w:val="21"/>
                <w:szCs w:val="21"/>
                <w:lang w:val="en-US" w:eastAsia="zh-CN"/>
              </w:rPr>
            </w:pPr>
            <w:r>
              <w:rPr>
                <w:rStyle w:val="26"/>
                <w:rFonts w:hint="eastAsia" w:ascii="宋体" w:hAnsi="宋体" w:eastAsia="宋体"/>
                <w:color w:val="auto"/>
                <w:sz w:val="21"/>
                <w:szCs w:val="21"/>
                <w:lang w:val="en-US" w:eastAsia="zh-CN"/>
              </w:rPr>
              <w:t>CC26BX01标段：</w:t>
            </w:r>
          </w:p>
          <w:p w14:paraId="67A4F5CB">
            <w:pPr>
              <w:keepNext w:val="0"/>
              <w:keepLines w:val="0"/>
              <w:pageBreakBefore w:val="0"/>
              <w:kinsoku/>
              <w:wordWrap/>
              <w:overflowPunct/>
              <w:topLinePunct w:val="0"/>
              <w:autoSpaceDE/>
              <w:autoSpaceDN/>
              <w:bidi w:val="0"/>
              <w:adjustRightInd w:val="0"/>
              <w:snapToGrid w:val="0"/>
              <w:spacing w:line="360" w:lineRule="exact"/>
              <w:jc w:val="left"/>
              <w:textAlignment w:val="auto"/>
              <w:rPr>
                <w:rStyle w:val="26"/>
                <w:rFonts w:hint="eastAsia" w:ascii="宋体" w:hAnsi="宋体" w:eastAsia="宋体"/>
                <w:color w:val="auto"/>
                <w:sz w:val="21"/>
                <w:szCs w:val="21"/>
                <w:lang w:val="en-US" w:eastAsia="zh-CN"/>
              </w:rPr>
            </w:pPr>
            <w:r>
              <w:rPr>
                <w:rStyle w:val="26"/>
                <w:rFonts w:hint="eastAsia" w:ascii="宋体" w:hAnsi="宋体" w:eastAsia="宋体"/>
                <w:color w:val="auto"/>
                <w:sz w:val="21"/>
                <w:szCs w:val="21"/>
                <w:lang w:val="en-US" w:eastAsia="zh-CN"/>
              </w:rPr>
              <w:t>满足资格审查条件最低要求，得9分。</w:t>
            </w:r>
          </w:p>
          <w:p w14:paraId="737A244D">
            <w:pPr>
              <w:keepNext w:val="0"/>
              <w:keepLines w:val="0"/>
              <w:pageBreakBefore w:val="0"/>
              <w:kinsoku/>
              <w:wordWrap/>
              <w:overflowPunct/>
              <w:topLinePunct w:val="0"/>
              <w:autoSpaceDE/>
              <w:autoSpaceDN/>
              <w:bidi w:val="0"/>
              <w:adjustRightInd w:val="0"/>
              <w:snapToGrid w:val="0"/>
              <w:spacing w:line="360" w:lineRule="exact"/>
              <w:jc w:val="left"/>
              <w:textAlignment w:val="auto"/>
              <w:rPr>
                <w:rStyle w:val="26"/>
                <w:rFonts w:hint="eastAsia" w:ascii="宋体" w:hAnsi="宋体" w:eastAsia="宋体"/>
                <w:color w:val="auto"/>
                <w:sz w:val="21"/>
                <w:szCs w:val="21"/>
                <w:lang w:val="en-US" w:eastAsia="zh-CN"/>
              </w:rPr>
            </w:pPr>
            <w:r>
              <w:rPr>
                <w:rStyle w:val="26"/>
                <w:rFonts w:hint="eastAsia" w:ascii="宋体" w:hAnsi="宋体" w:eastAsia="宋体"/>
                <w:color w:val="auto"/>
                <w:sz w:val="21"/>
                <w:szCs w:val="21"/>
                <w:lang w:val="en-US" w:eastAsia="zh-CN"/>
              </w:rPr>
              <w:t>在满足最低要求的基础上，提供1项二级（含）以上公路交通安全设施工程（包括新建、改扩建工程或养护工程）施工的项目经理业绩加6分，最多加6分。</w:t>
            </w:r>
          </w:p>
        </w:tc>
      </w:tr>
      <w:tr w14:paraId="1E685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4F28351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4904AB6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077827B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tcBorders>
              <w:tl2br w:val="nil"/>
              <w:tr2bl w:val="nil"/>
            </w:tcBorders>
            <w:vAlign w:val="center"/>
          </w:tcPr>
          <w:p w14:paraId="48B383D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项目总工</w:t>
            </w:r>
          </w:p>
          <w:p w14:paraId="0AFC16E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ascii="宋体" w:hAnsi="宋体"/>
                <w:color w:val="auto"/>
                <w:highlight w:val="none"/>
              </w:rPr>
              <w:t>任职资格与业绩</w:t>
            </w:r>
          </w:p>
        </w:tc>
        <w:tc>
          <w:tcPr>
            <w:tcW w:w="855" w:type="dxa"/>
            <w:tcBorders>
              <w:tl2br w:val="nil"/>
              <w:tr2bl w:val="nil"/>
            </w:tcBorders>
            <w:vAlign w:val="center"/>
          </w:tcPr>
          <w:p w14:paraId="00332E7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10分</w:t>
            </w:r>
          </w:p>
        </w:tc>
        <w:tc>
          <w:tcPr>
            <w:tcW w:w="4360" w:type="dxa"/>
            <w:tcBorders>
              <w:tl2br w:val="nil"/>
              <w:tr2bl w:val="nil"/>
            </w:tcBorders>
            <w:vAlign w:val="center"/>
          </w:tcPr>
          <w:p w14:paraId="66CE8243">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highlight w:val="none"/>
                <w:lang w:val="en-US" w:eastAsia="zh-CN"/>
              </w:rPr>
            </w:pPr>
            <w:r>
              <w:rPr>
                <w:rFonts w:hint="eastAsia" w:ascii="宋体" w:hAnsi="宋体"/>
                <w:highlight w:val="none"/>
                <w:lang w:val="en-US" w:eastAsia="zh-CN"/>
              </w:rPr>
              <w:t>CC26PS01标段：</w:t>
            </w:r>
          </w:p>
          <w:p w14:paraId="50780C96">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highlight w:val="none"/>
              </w:rPr>
            </w:pPr>
            <w:r>
              <w:rPr>
                <w:rFonts w:ascii="宋体" w:hAnsi="宋体"/>
                <w:highlight w:val="none"/>
              </w:rPr>
              <w:t>满足资格审查条件最低要</w:t>
            </w:r>
            <w:r>
              <w:rPr>
                <w:rFonts w:hint="eastAsia" w:ascii="宋体" w:hAnsi="宋体"/>
                <w:highlight w:val="none"/>
              </w:rPr>
              <w:t>求</w:t>
            </w:r>
            <w:r>
              <w:rPr>
                <w:rFonts w:ascii="宋体" w:hAnsi="宋体"/>
                <w:highlight w:val="none"/>
              </w:rPr>
              <w:t>，得</w:t>
            </w:r>
            <w:r>
              <w:rPr>
                <w:rFonts w:hint="eastAsia" w:ascii="宋体" w:hAnsi="宋体"/>
                <w:highlight w:val="none"/>
              </w:rPr>
              <w:t>6分</w:t>
            </w:r>
            <w:r>
              <w:rPr>
                <w:rFonts w:ascii="宋体" w:hAnsi="宋体"/>
                <w:highlight w:val="none"/>
              </w:rPr>
              <w:t>。</w:t>
            </w:r>
          </w:p>
          <w:p w14:paraId="06362C98">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宋体" w:hAnsi="宋体"/>
                <w:highlight w:val="none"/>
              </w:rPr>
            </w:pPr>
            <w:r>
              <w:rPr>
                <w:rFonts w:ascii="宋体" w:hAnsi="宋体"/>
                <w:highlight w:val="none"/>
              </w:rPr>
              <w:t>在满足最低要求的基础上，</w:t>
            </w:r>
            <w:r>
              <w:rPr>
                <w:rFonts w:hint="eastAsia" w:ascii="宋体" w:hAnsi="宋体"/>
                <w:color w:val="auto"/>
                <w:highlight w:val="none"/>
              </w:rPr>
              <w:t>每提供</w:t>
            </w:r>
            <w:r>
              <w:rPr>
                <w:rFonts w:hint="eastAsia" w:ascii="宋体" w:hAnsi="宋体" w:eastAsia="宋体" w:cs="Times New Roman"/>
                <w:color w:val="auto"/>
                <w:kern w:val="2"/>
                <w:sz w:val="21"/>
                <w:szCs w:val="21"/>
                <w:highlight w:val="none"/>
                <w:lang w:val="en-US" w:eastAsia="zh-CN" w:bidi="ar-SA"/>
              </w:rPr>
              <w:t>1项二级（含）以上公路养护工程（工程内容至少包含路基路面养护施工的工程）</w:t>
            </w:r>
            <w:r>
              <w:rPr>
                <w:rFonts w:hint="eastAsia" w:ascii="宋体" w:hAnsi="宋体" w:cs="宋体"/>
                <w:color w:val="auto"/>
                <w:highlight w:val="none"/>
              </w:rPr>
              <w:t>施工的</w:t>
            </w:r>
            <w:r>
              <w:rPr>
                <w:rFonts w:ascii="宋体" w:hAnsi="宋体"/>
                <w:color w:val="auto"/>
                <w:highlight w:val="none"/>
              </w:rPr>
              <w:t>项目</w:t>
            </w:r>
            <w:r>
              <w:rPr>
                <w:rFonts w:hint="eastAsia" w:ascii="宋体" w:hAnsi="宋体"/>
                <w:color w:val="auto"/>
                <w:highlight w:val="none"/>
              </w:rPr>
              <w:t>总工业绩</w:t>
            </w:r>
            <w:r>
              <w:rPr>
                <w:rFonts w:ascii="宋体" w:hAnsi="宋体"/>
                <w:highlight w:val="none"/>
              </w:rPr>
              <w:t>加</w:t>
            </w:r>
            <w:r>
              <w:rPr>
                <w:rFonts w:hint="eastAsia" w:ascii="宋体" w:hAnsi="宋体"/>
                <w:highlight w:val="none"/>
                <w:lang w:val="en-US" w:eastAsia="zh-CN"/>
              </w:rPr>
              <w:t>4</w:t>
            </w:r>
            <w:r>
              <w:rPr>
                <w:rFonts w:ascii="宋体" w:hAnsi="宋体"/>
                <w:highlight w:val="none"/>
              </w:rPr>
              <w:t>分，最多加</w:t>
            </w:r>
            <w:r>
              <w:rPr>
                <w:rFonts w:hint="eastAsia" w:ascii="宋体" w:hAnsi="宋体"/>
                <w:highlight w:val="none"/>
              </w:rPr>
              <w:t>4</w:t>
            </w:r>
            <w:r>
              <w:rPr>
                <w:rFonts w:ascii="宋体" w:hAnsi="宋体"/>
                <w:highlight w:val="none"/>
              </w:rPr>
              <w:t>分。</w:t>
            </w:r>
          </w:p>
          <w:p w14:paraId="3E526114">
            <w:pPr>
              <w:keepNext w:val="0"/>
              <w:keepLines w:val="0"/>
              <w:pageBreakBefore w:val="0"/>
              <w:kinsoku/>
              <w:wordWrap/>
              <w:overflowPunct/>
              <w:topLinePunct w:val="0"/>
              <w:autoSpaceDE/>
              <w:autoSpaceDN/>
              <w:bidi w:val="0"/>
              <w:adjustRightInd w:val="0"/>
              <w:snapToGrid w:val="0"/>
              <w:spacing w:line="360" w:lineRule="exact"/>
              <w:jc w:val="left"/>
              <w:textAlignment w:val="auto"/>
              <w:rPr>
                <w:rStyle w:val="26"/>
                <w:rFonts w:hint="eastAsia" w:ascii="宋体" w:hAnsi="宋体" w:eastAsia="宋体"/>
                <w:color w:val="auto"/>
                <w:sz w:val="21"/>
                <w:szCs w:val="21"/>
                <w:lang w:val="en-US" w:eastAsia="zh-CN"/>
              </w:rPr>
            </w:pPr>
            <w:r>
              <w:rPr>
                <w:rStyle w:val="26"/>
                <w:rFonts w:hint="eastAsia" w:ascii="宋体" w:hAnsi="宋体" w:eastAsia="宋体"/>
                <w:color w:val="auto"/>
                <w:sz w:val="21"/>
                <w:szCs w:val="21"/>
                <w:lang w:val="en-US" w:eastAsia="zh-CN"/>
              </w:rPr>
              <w:t>CC26BX01标段：</w:t>
            </w:r>
          </w:p>
          <w:p w14:paraId="11B382B3">
            <w:pPr>
              <w:keepNext w:val="0"/>
              <w:keepLines w:val="0"/>
              <w:pageBreakBefore w:val="0"/>
              <w:kinsoku/>
              <w:wordWrap/>
              <w:overflowPunct/>
              <w:topLinePunct w:val="0"/>
              <w:autoSpaceDE/>
              <w:autoSpaceDN/>
              <w:bidi w:val="0"/>
              <w:adjustRightInd w:val="0"/>
              <w:snapToGrid w:val="0"/>
              <w:spacing w:line="360" w:lineRule="exact"/>
              <w:jc w:val="left"/>
              <w:textAlignment w:val="auto"/>
              <w:rPr>
                <w:rStyle w:val="26"/>
                <w:rFonts w:hint="eastAsia" w:ascii="宋体" w:hAnsi="宋体" w:eastAsia="宋体"/>
                <w:color w:val="auto"/>
                <w:sz w:val="21"/>
                <w:szCs w:val="21"/>
                <w:lang w:val="en-US" w:eastAsia="zh-CN"/>
              </w:rPr>
            </w:pPr>
            <w:r>
              <w:rPr>
                <w:rStyle w:val="26"/>
                <w:rFonts w:hint="eastAsia" w:ascii="宋体" w:hAnsi="宋体" w:eastAsia="宋体"/>
                <w:color w:val="auto"/>
                <w:sz w:val="21"/>
                <w:szCs w:val="21"/>
                <w:lang w:val="en-US" w:eastAsia="zh-CN"/>
              </w:rPr>
              <w:t>满足资格审查条件最低要求，得6分。</w:t>
            </w:r>
          </w:p>
          <w:p w14:paraId="6B7D2D83">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宋体" w:hAnsi="宋体"/>
                <w:highlight w:val="none"/>
              </w:rPr>
            </w:pPr>
            <w:r>
              <w:rPr>
                <w:rStyle w:val="26"/>
                <w:rFonts w:hint="eastAsia" w:ascii="宋体" w:hAnsi="宋体" w:eastAsia="宋体"/>
                <w:color w:val="auto"/>
                <w:sz w:val="21"/>
                <w:szCs w:val="21"/>
                <w:lang w:val="en-US" w:eastAsia="zh-CN"/>
              </w:rPr>
              <w:t>在满足最低要求的基础上，提供1项二级（含）以上公路交通安全设施工程（包括新建、改扩建工程或养护工程）施工的项目总工业绩加4分，最多加4分。</w:t>
            </w:r>
          </w:p>
        </w:tc>
      </w:tr>
      <w:tr w14:paraId="1C68D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restart"/>
            <w:tcBorders>
              <w:tl2br w:val="nil"/>
              <w:tr2bl w:val="nil"/>
            </w:tcBorders>
            <w:vAlign w:val="center"/>
          </w:tcPr>
          <w:p w14:paraId="41D6A9C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Theme="minorEastAsia"/>
                <w:color w:val="auto"/>
                <w:highlight w:val="none"/>
                <w:lang w:eastAsia="zh-CN"/>
              </w:rPr>
            </w:pPr>
            <w:r>
              <w:rPr>
                <w:rFonts w:hint="eastAsia" w:ascii="宋体" w:hAnsi="宋体"/>
                <w:color w:val="auto"/>
                <w:highlight w:val="none"/>
              </w:rPr>
              <w:t>2.2.2</w:t>
            </w:r>
            <w:r>
              <w:rPr>
                <w:rFonts w:hint="eastAsia" w:ascii="宋体" w:hAnsi="宋体"/>
                <w:color w:val="auto"/>
                <w:highlight w:val="none"/>
                <w:lang w:eastAsia="zh-CN"/>
              </w:rPr>
              <w:t>（</w:t>
            </w:r>
            <w:r>
              <w:rPr>
                <w:rFonts w:hint="eastAsia" w:ascii="宋体" w:hAnsi="宋体"/>
                <w:color w:val="auto"/>
                <w:highlight w:val="none"/>
              </w:rPr>
              <w:t>3</w:t>
            </w:r>
            <w:r>
              <w:rPr>
                <w:rFonts w:hint="eastAsia" w:ascii="宋体" w:hAnsi="宋体"/>
                <w:color w:val="auto"/>
                <w:highlight w:val="none"/>
                <w:lang w:eastAsia="zh-CN"/>
              </w:rPr>
              <w:t>）</w:t>
            </w:r>
          </w:p>
        </w:tc>
        <w:tc>
          <w:tcPr>
            <w:tcW w:w="675" w:type="dxa"/>
            <w:vMerge w:val="restart"/>
            <w:tcBorders>
              <w:tl2br w:val="nil"/>
              <w:tr2bl w:val="nil"/>
            </w:tcBorders>
            <w:vAlign w:val="center"/>
          </w:tcPr>
          <w:p w14:paraId="57243862">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其</w:t>
            </w:r>
            <w:r>
              <w:rPr>
                <w:rFonts w:ascii="宋体" w:hAnsi="宋体"/>
                <w:color w:val="auto"/>
                <w:highlight w:val="none"/>
              </w:rPr>
              <w:t>他因素</w:t>
            </w:r>
          </w:p>
        </w:tc>
        <w:tc>
          <w:tcPr>
            <w:tcW w:w="945" w:type="dxa"/>
            <w:vMerge w:val="restart"/>
            <w:tcBorders>
              <w:tl2br w:val="nil"/>
              <w:tr2bl w:val="nil"/>
            </w:tcBorders>
            <w:vAlign w:val="center"/>
          </w:tcPr>
          <w:p w14:paraId="0EF96D66">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35分</w:t>
            </w:r>
          </w:p>
        </w:tc>
        <w:tc>
          <w:tcPr>
            <w:tcW w:w="1845" w:type="dxa"/>
            <w:vMerge w:val="restart"/>
            <w:tcBorders>
              <w:tl2br w:val="nil"/>
              <w:tr2bl w:val="nil"/>
            </w:tcBorders>
            <w:vAlign w:val="center"/>
          </w:tcPr>
          <w:p w14:paraId="2BA16A91">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Times New Roman"/>
                <w:color w:val="auto"/>
                <w:kern w:val="2"/>
                <w:sz w:val="21"/>
                <w:szCs w:val="22"/>
                <w:highlight w:val="none"/>
                <w:lang w:val="en-US" w:eastAsia="zh-CN" w:bidi="ar-SA"/>
              </w:rPr>
            </w:pPr>
            <w:r>
              <w:rPr>
                <w:rFonts w:hint="eastAsia" w:ascii="宋体" w:hAnsi="宋体"/>
                <w:color w:val="auto"/>
                <w:highlight w:val="none"/>
              </w:rPr>
              <w:t>企业业</w:t>
            </w:r>
            <w:r>
              <w:rPr>
                <w:rFonts w:ascii="宋体" w:hAnsi="宋体"/>
                <w:color w:val="auto"/>
                <w:highlight w:val="none"/>
              </w:rPr>
              <w:t>绩</w:t>
            </w:r>
          </w:p>
        </w:tc>
        <w:tc>
          <w:tcPr>
            <w:tcW w:w="855" w:type="dxa"/>
            <w:vMerge w:val="restart"/>
            <w:tcBorders>
              <w:tl2br w:val="nil"/>
              <w:tr2bl w:val="nil"/>
            </w:tcBorders>
            <w:vAlign w:val="center"/>
          </w:tcPr>
          <w:p w14:paraId="3DF47A56">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Times New Roman"/>
                <w:color w:val="auto"/>
                <w:kern w:val="2"/>
                <w:sz w:val="21"/>
                <w:szCs w:val="22"/>
                <w:highlight w:val="none"/>
                <w:lang w:val="en-US" w:eastAsia="zh-CN" w:bidi="ar-SA"/>
              </w:rPr>
            </w:pPr>
            <w:r>
              <w:rPr>
                <w:rFonts w:hint="eastAsia" w:ascii="宋体" w:hAnsi="宋体"/>
                <w:color w:val="auto"/>
                <w:highlight w:val="none"/>
              </w:rPr>
              <w:t>20分</w:t>
            </w:r>
          </w:p>
        </w:tc>
        <w:tc>
          <w:tcPr>
            <w:tcW w:w="4360" w:type="dxa"/>
            <w:tcBorders>
              <w:tl2br w:val="nil"/>
              <w:tr2bl w:val="nil"/>
            </w:tcBorders>
            <w:vAlign w:val="center"/>
          </w:tcPr>
          <w:p w14:paraId="6690B867">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color w:val="auto"/>
                <w:szCs w:val="21"/>
                <w:highlight w:val="none"/>
              </w:rPr>
            </w:pPr>
            <w:r>
              <w:rPr>
                <w:rFonts w:hint="eastAsia" w:ascii="宋体" w:hAnsi="宋体" w:eastAsia="宋体"/>
                <w:color w:val="auto"/>
                <w:szCs w:val="21"/>
                <w:highlight w:val="none"/>
                <w:lang w:val="en-US" w:eastAsia="zh-CN"/>
              </w:rPr>
              <w:t>投标人通过初步评审得12分。</w:t>
            </w:r>
          </w:p>
        </w:tc>
      </w:tr>
      <w:tr w14:paraId="2B1EF9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7AF96FE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highlight w:val="none"/>
              </w:rPr>
            </w:pPr>
          </w:p>
        </w:tc>
        <w:tc>
          <w:tcPr>
            <w:tcW w:w="675" w:type="dxa"/>
            <w:vMerge w:val="continue"/>
            <w:tcBorders>
              <w:tl2br w:val="nil"/>
              <w:tr2bl w:val="nil"/>
            </w:tcBorders>
            <w:vAlign w:val="center"/>
          </w:tcPr>
          <w:p w14:paraId="50E1047F">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highlight w:val="none"/>
              </w:rPr>
            </w:pPr>
          </w:p>
        </w:tc>
        <w:tc>
          <w:tcPr>
            <w:tcW w:w="945" w:type="dxa"/>
            <w:vMerge w:val="continue"/>
            <w:tcBorders>
              <w:tl2br w:val="nil"/>
              <w:tr2bl w:val="nil"/>
            </w:tcBorders>
            <w:vAlign w:val="center"/>
          </w:tcPr>
          <w:p w14:paraId="383DEA6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color w:val="auto"/>
                <w:highlight w:val="none"/>
              </w:rPr>
            </w:pPr>
          </w:p>
        </w:tc>
        <w:tc>
          <w:tcPr>
            <w:tcW w:w="1845" w:type="dxa"/>
            <w:vMerge w:val="continue"/>
            <w:tcBorders>
              <w:tl2br w:val="nil"/>
              <w:tr2bl w:val="nil"/>
            </w:tcBorders>
            <w:shd w:val="clear" w:color="auto" w:fill="auto"/>
            <w:vAlign w:val="center"/>
          </w:tcPr>
          <w:p w14:paraId="04DC5FF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Times New Roman"/>
                <w:color w:val="auto"/>
                <w:kern w:val="2"/>
                <w:sz w:val="21"/>
                <w:szCs w:val="22"/>
                <w:highlight w:val="none"/>
                <w:lang w:val="en-US" w:eastAsia="zh-CN" w:bidi="ar-SA"/>
              </w:rPr>
            </w:pPr>
          </w:p>
        </w:tc>
        <w:tc>
          <w:tcPr>
            <w:tcW w:w="855" w:type="dxa"/>
            <w:vMerge w:val="continue"/>
            <w:tcBorders>
              <w:tl2br w:val="nil"/>
              <w:tr2bl w:val="nil"/>
            </w:tcBorders>
            <w:shd w:val="clear" w:color="auto" w:fill="auto"/>
            <w:vAlign w:val="center"/>
          </w:tcPr>
          <w:p w14:paraId="7AE557E7">
            <w:pPr>
              <w:keepNext w:val="0"/>
              <w:keepLines w:val="0"/>
              <w:pageBreakBefore w:val="0"/>
              <w:kinsoku/>
              <w:wordWrap/>
              <w:overflowPunct/>
              <w:topLinePunct w:val="0"/>
              <w:autoSpaceDE/>
              <w:autoSpaceDN/>
              <w:bidi w:val="0"/>
              <w:snapToGrid w:val="0"/>
              <w:spacing w:line="360" w:lineRule="exact"/>
              <w:jc w:val="center"/>
              <w:textAlignment w:val="auto"/>
              <w:rPr>
                <w:rFonts w:hint="eastAsia" w:ascii="宋体" w:hAnsi="宋体" w:eastAsia="宋体" w:cs="Times New Roman"/>
                <w:color w:val="auto"/>
                <w:kern w:val="2"/>
                <w:sz w:val="21"/>
                <w:szCs w:val="22"/>
                <w:highlight w:val="none"/>
                <w:lang w:val="en-US" w:eastAsia="zh-CN" w:bidi="ar-SA"/>
              </w:rPr>
            </w:pPr>
          </w:p>
        </w:tc>
        <w:tc>
          <w:tcPr>
            <w:tcW w:w="4360" w:type="dxa"/>
            <w:tcBorders>
              <w:tl2br w:val="nil"/>
              <w:tr2bl w:val="nil"/>
            </w:tcBorders>
            <w:shd w:val="clear" w:color="auto" w:fill="auto"/>
            <w:vAlign w:val="center"/>
          </w:tcPr>
          <w:p w14:paraId="436B8A57">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宋体" w:hAnsi="宋体"/>
                <w:highlight w:val="none"/>
                <w:lang w:val="en-US" w:eastAsia="zh-CN"/>
              </w:rPr>
            </w:pPr>
            <w:r>
              <w:rPr>
                <w:rFonts w:hint="eastAsia" w:ascii="宋体" w:hAnsi="宋体"/>
                <w:highlight w:val="none"/>
                <w:lang w:val="en-US" w:eastAsia="zh-CN"/>
              </w:rPr>
              <w:t>CC26PS01标段：</w:t>
            </w:r>
          </w:p>
          <w:p w14:paraId="2C4998A7">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楷体" w:hAnsi="楷体" w:eastAsia="楷体" w:cs="楷体"/>
                <w:color w:val="auto"/>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近五年内（指2021年1月1日至投标截止时间，两阶段验收工程以交工时间为准，一阶段验收工程以竣工时间为准）每完成过1项二级（含）以上公路养护工程（工程内容至少包含路基路面养护施工的工程）施工业绩加</w:t>
            </w:r>
            <w:r>
              <w:rPr>
                <w:rFonts w:hint="eastAsia" w:ascii="宋体" w:hAnsi="宋体" w:cs="Times New Roman"/>
                <w:color w:val="auto"/>
                <w:kern w:val="2"/>
                <w:sz w:val="21"/>
                <w:szCs w:val="21"/>
                <w:highlight w:val="none"/>
                <w:lang w:val="en-US" w:eastAsia="zh-CN" w:bidi="ar-SA"/>
              </w:rPr>
              <w:t>8</w:t>
            </w:r>
            <w:r>
              <w:rPr>
                <w:rFonts w:hint="eastAsia" w:ascii="宋体" w:hAnsi="宋体" w:eastAsia="宋体" w:cs="Times New Roman"/>
                <w:color w:val="auto"/>
                <w:kern w:val="2"/>
                <w:sz w:val="21"/>
                <w:szCs w:val="21"/>
                <w:highlight w:val="none"/>
                <w:lang w:val="en-US" w:eastAsia="zh-CN" w:bidi="ar-SA"/>
              </w:rPr>
              <w:t>分，最多加8分。</w:t>
            </w:r>
          </w:p>
          <w:p w14:paraId="48C7E677">
            <w:pPr>
              <w:keepNext w:val="0"/>
              <w:keepLines w:val="0"/>
              <w:pageBreakBefore w:val="0"/>
              <w:kinsoku/>
              <w:wordWrap/>
              <w:overflowPunct/>
              <w:topLinePunct w:val="0"/>
              <w:autoSpaceDE/>
              <w:autoSpaceDN/>
              <w:bidi w:val="0"/>
              <w:adjustRightInd w:val="0"/>
              <w:snapToGrid w:val="0"/>
              <w:spacing w:line="360" w:lineRule="exact"/>
              <w:jc w:val="left"/>
              <w:textAlignment w:val="auto"/>
              <w:rPr>
                <w:rStyle w:val="26"/>
                <w:rFonts w:hint="eastAsia" w:ascii="宋体" w:hAnsi="宋体" w:eastAsia="宋体"/>
                <w:color w:val="auto"/>
                <w:sz w:val="21"/>
                <w:szCs w:val="21"/>
                <w:lang w:val="en-US" w:eastAsia="zh-CN"/>
              </w:rPr>
            </w:pPr>
            <w:r>
              <w:rPr>
                <w:rStyle w:val="26"/>
                <w:rFonts w:hint="eastAsia" w:ascii="宋体" w:hAnsi="宋体" w:eastAsia="宋体"/>
                <w:color w:val="auto"/>
                <w:sz w:val="21"/>
                <w:szCs w:val="21"/>
                <w:lang w:val="en-US" w:eastAsia="zh-CN"/>
              </w:rPr>
              <w:t>CC26BX01标段：</w:t>
            </w:r>
          </w:p>
          <w:p w14:paraId="0A6630D6">
            <w:pPr>
              <w:keepNext w:val="0"/>
              <w:keepLines w:val="0"/>
              <w:pageBreakBefore w:val="0"/>
              <w:kinsoku/>
              <w:wordWrap/>
              <w:overflowPunct/>
              <w:topLinePunct w:val="0"/>
              <w:autoSpaceDE/>
              <w:autoSpaceDN/>
              <w:bidi w:val="0"/>
              <w:adjustRightInd w:val="0"/>
              <w:snapToGrid w:val="0"/>
              <w:spacing w:line="360" w:lineRule="exact"/>
              <w:jc w:val="left"/>
              <w:textAlignment w:val="auto"/>
              <w:rPr>
                <w:rFonts w:hint="eastAsia" w:ascii="楷体" w:hAnsi="楷体" w:eastAsia="楷体" w:cs="楷体"/>
                <w:color w:val="auto"/>
                <w:szCs w:val="21"/>
                <w:highlight w:val="none"/>
                <w:lang w:val="en-US" w:eastAsia="zh-CN"/>
              </w:rPr>
            </w:pPr>
            <w:r>
              <w:rPr>
                <w:rStyle w:val="26"/>
                <w:rFonts w:hint="eastAsia" w:ascii="宋体" w:hAnsi="宋体" w:eastAsia="宋体"/>
                <w:color w:val="auto"/>
                <w:sz w:val="21"/>
                <w:szCs w:val="21"/>
                <w:lang w:val="en-US" w:eastAsia="zh-CN"/>
              </w:rPr>
              <w:t>近五年内每完成过1项二级（含）以上公路交通安全设施工程（包括新建、改扩建工程或养护工程）施工业绩加8分，最多加8分。</w:t>
            </w:r>
          </w:p>
        </w:tc>
      </w:tr>
      <w:tr w14:paraId="699E8A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4" w:type="dxa"/>
            <w:vMerge w:val="continue"/>
            <w:tcBorders>
              <w:tl2br w:val="nil"/>
              <w:tr2bl w:val="nil"/>
            </w:tcBorders>
            <w:vAlign w:val="center"/>
          </w:tcPr>
          <w:p w14:paraId="6DAA4049">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77489004">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78CDF93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vMerge w:val="restart"/>
            <w:tcBorders>
              <w:tl2br w:val="nil"/>
              <w:tr2bl w:val="nil"/>
            </w:tcBorders>
            <w:vAlign w:val="center"/>
          </w:tcPr>
          <w:p w14:paraId="6BE9A312">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投标人的</w:t>
            </w:r>
          </w:p>
          <w:p w14:paraId="087A3A89">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信用评价等级</w:t>
            </w:r>
          </w:p>
        </w:tc>
        <w:tc>
          <w:tcPr>
            <w:tcW w:w="855" w:type="dxa"/>
            <w:tcBorders>
              <w:tl2br w:val="nil"/>
              <w:tr2bl w:val="nil"/>
            </w:tcBorders>
            <w:vAlign w:val="center"/>
          </w:tcPr>
          <w:p w14:paraId="1B878263">
            <w:pPr>
              <w:keepNext w:val="0"/>
              <w:keepLines w:val="0"/>
              <w:pageBreakBefore w:val="0"/>
              <w:kinsoku/>
              <w:wordWrap/>
              <w:overflowPunct/>
              <w:topLinePunct w:val="0"/>
              <w:autoSpaceDE/>
              <w:autoSpaceDN/>
              <w:bidi w:val="0"/>
              <w:snapToGrid w:val="0"/>
              <w:spacing w:line="360" w:lineRule="exact"/>
              <w:jc w:val="center"/>
              <w:textAlignment w:val="auto"/>
              <w:rPr>
                <w:rFonts w:ascii="宋体" w:hAnsi="宋体"/>
                <w:color w:val="auto"/>
                <w:highlight w:val="none"/>
              </w:rPr>
            </w:pPr>
            <w:r>
              <w:rPr>
                <w:rFonts w:hint="eastAsia" w:ascii="宋体" w:hAnsi="宋体"/>
                <w:color w:val="auto"/>
                <w:highlight w:val="none"/>
              </w:rPr>
              <w:t>15分</w:t>
            </w:r>
          </w:p>
        </w:tc>
        <w:tc>
          <w:tcPr>
            <w:tcW w:w="4360" w:type="dxa"/>
            <w:tcBorders>
              <w:tl2br w:val="nil"/>
              <w:tr2bl w:val="nil"/>
            </w:tcBorders>
            <w:vAlign w:val="center"/>
          </w:tcPr>
          <w:p w14:paraId="76C3DC4E">
            <w:pPr>
              <w:keepNext w:val="0"/>
              <w:keepLines w:val="0"/>
              <w:pageBreakBefore w:val="0"/>
              <w:kinsoku/>
              <w:wordWrap/>
              <w:overflowPunct/>
              <w:topLinePunct w:val="0"/>
              <w:autoSpaceDE/>
              <w:autoSpaceDN/>
              <w:bidi w:val="0"/>
              <w:snapToGrid w:val="0"/>
              <w:spacing w:line="360" w:lineRule="exact"/>
              <w:jc w:val="left"/>
              <w:textAlignment w:val="auto"/>
              <w:rPr>
                <w:rFonts w:ascii="宋体" w:hAnsi="宋体"/>
                <w:color w:val="auto"/>
                <w:highlight w:val="none"/>
              </w:rPr>
            </w:pPr>
            <w:r>
              <w:rPr>
                <w:rFonts w:hint="eastAsia" w:ascii="宋体" w:hAnsi="宋体"/>
                <w:color w:val="auto"/>
                <w:szCs w:val="21"/>
                <w:highlight w:val="none"/>
                <w:shd w:val="clear" w:color="auto" w:fill="FFFFFF"/>
              </w:rPr>
              <w:t>信用评价AA级，得15分。</w:t>
            </w:r>
          </w:p>
        </w:tc>
      </w:tr>
      <w:tr w14:paraId="0EC84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4" w:type="dxa"/>
            <w:vMerge w:val="continue"/>
            <w:tcBorders>
              <w:tl2br w:val="nil"/>
              <w:tr2bl w:val="nil"/>
            </w:tcBorders>
            <w:vAlign w:val="center"/>
          </w:tcPr>
          <w:p w14:paraId="352B6EE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56943F2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033B8CA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vMerge w:val="continue"/>
            <w:tcBorders>
              <w:tl2br w:val="nil"/>
              <w:tr2bl w:val="nil"/>
            </w:tcBorders>
            <w:vAlign w:val="center"/>
          </w:tcPr>
          <w:p w14:paraId="2D48319F">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ascii="宋体" w:hAnsi="宋体" w:cs="宋体"/>
                <w:color w:val="auto"/>
                <w:kern w:val="0"/>
                <w:szCs w:val="21"/>
                <w:highlight w:val="none"/>
              </w:rPr>
            </w:pPr>
          </w:p>
        </w:tc>
        <w:tc>
          <w:tcPr>
            <w:tcW w:w="855" w:type="dxa"/>
            <w:tcBorders>
              <w:tl2br w:val="nil"/>
              <w:tr2bl w:val="nil"/>
            </w:tcBorders>
            <w:vAlign w:val="center"/>
          </w:tcPr>
          <w:p w14:paraId="50612A44">
            <w:pPr>
              <w:keepNext w:val="0"/>
              <w:keepLines w:val="0"/>
              <w:pageBreakBefore w:val="0"/>
              <w:kinsoku/>
              <w:wordWrap/>
              <w:overflowPunct/>
              <w:topLinePunct w:val="0"/>
              <w:autoSpaceDE/>
              <w:autoSpaceDN/>
              <w:bidi w:val="0"/>
              <w:spacing w:line="360" w:lineRule="exact"/>
              <w:jc w:val="center"/>
              <w:textAlignment w:val="auto"/>
              <w:rPr>
                <w:rFonts w:ascii="宋体" w:hAnsi="宋体" w:cs="宋体"/>
                <w:color w:val="auto"/>
                <w:sz w:val="24"/>
                <w:szCs w:val="24"/>
                <w:highlight w:val="none"/>
              </w:rPr>
            </w:pPr>
            <w:r>
              <w:rPr>
                <w:rFonts w:hint="eastAsia" w:ascii="宋体" w:hAnsi="宋体"/>
                <w:color w:val="auto"/>
                <w:highlight w:val="none"/>
              </w:rPr>
              <w:t>1</w:t>
            </w:r>
            <w:r>
              <w:rPr>
                <w:rFonts w:ascii="宋体" w:hAnsi="宋体"/>
                <w:color w:val="auto"/>
                <w:highlight w:val="none"/>
              </w:rPr>
              <w:t>2</w:t>
            </w:r>
            <w:r>
              <w:rPr>
                <w:rFonts w:hint="eastAsia" w:ascii="宋体" w:hAnsi="宋体"/>
                <w:color w:val="auto"/>
                <w:highlight w:val="none"/>
              </w:rPr>
              <w:t>分</w:t>
            </w:r>
          </w:p>
        </w:tc>
        <w:tc>
          <w:tcPr>
            <w:tcW w:w="4360" w:type="dxa"/>
            <w:tcBorders>
              <w:tl2br w:val="nil"/>
              <w:tr2bl w:val="nil"/>
            </w:tcBorders>
            <w:vAlign w:val="center"/>
          </w:tcPr>
          <w:p w14:paraId="5A1D71D5">
            <w:pPr>
              <w:keepNext w:val="0"/>
              <w:keepLines w:val="0"/>
              <w:pageBreakBefore w:val="0"/>
              <w:kinsoku/>
              <w:wordWrap/>
              <w:overflowPunct/>
              <w:topLinePunct w:val="0"/>
              <w:autoSpaceDE/>
              <w:autoSpaceDN/>
              <w:bidi w:val="0"/>
              <w:spacing w:line="360" w:lineRule="exact"/>
              <w:textAlignment w:val="auto"/>
              <w:rPr>
                <w:rFonts w:ascii="宋体" w:hAnsi="宋体" w:cs="宋体"/>
                <w:color w:val="auto"/>
                <w:sz w:val="24"/>
                <w:szCs w:val="24"/>
                <w:highlight w:val="none"/>
              </w:rPr>
            </w:pPr>
            <w:r>
              <w:rPr>
                <w:rFonts w:hint="eastAsia" w:ascii="宋体" w:hAnsi="宋体"/>
                <w:color w:val="auto"/>
                <w:highlight w:val="none"/>
              </w:rPr>
              <w:t>信用评价</w:t>
            </w:r>
            <w:r>
              <w:rPr>
                <w:rFonts w:ascii="宋体" w:hAnsi="宋体"/>
                <w:color w:val="auto"/>
                <w:highlight w:val="none"/>
              </w:rPr>
              <w:t>A</w:t>
            </w:r>
            <w:r>
              <w:rPr>
                <w:rFonts w:hint="eastAsia" w:ascii="宋体" w:hAnsi="宋体"/>
                <w:color w:val="auto"/>
                <w:highlight w:val="none"/>
              </w:rPr>
              <w:t>级，得1</w:t>
            </w:r>
            <w:r>
              <w:rPr>
                <w:rFonts w:ascii="宋体" w:hAnsi="宋体"/>
                <w:color w:val="auto"/>
                <w:highlight w:val="none"/>
              </w:rPr>
              <w:t>2</w:t>
            </w:r>
            <w:r>
              <w:rPr>
                <w:rFonts w:hint="eastAsia" w:ascii="宋体" w:hAnsi="宋体"/>
                <w:color w:val="auto"/>
                <w:highlight w:val="none"/>
              </w:rPr>
              <w:t>分。</w:t>
            </w:r>
          </w:p>
        </w:tc>
      </w:tr>
      <w:tr w14:paraId="6C5C10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4" w:type="dxa"/>
            <w:vMerge w:val="continue"/>
            <w:tcBorders>
              <w:tl2br w:val="nil"/>
              <w:tr2bl w:val="nil"/>
            </w:tcBorders>
            <w:vAlign w:val="center"/>
          </w:tcPr>
          <w:p w14:paraId="4AC9F75D">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0480EE65">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29A48B4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vMerge w:val="continue"/>
            <w:tcBorders>
              <w:tl2br w:val="nil"/>
              <w:tr2bl w:val="nil"/>
            </w:tcBorders>
            <w:vAlign w:val="center"/>
          </w:tcPr>
          <w:p w14:paraId="563F07BD">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ascii="宋体" w:hAnsi="宋体" w:cs="宋体"/>
                <w:color w:val="auto"/>
                <w:kern w:val="0"/>
                <w:szCs w:val="21"/>
                <w:highlight w:val="none"/>
              </w:rPr>
            </w:pPr>
          </w:p>
        </w:tc>
        <w:tc>
          <w:tcPr>
            <w:tcW w:w="855" w:type="dxa"/>
            <w:tcBorders>
              <w:tl2br w:val="nil"/>
              <w:tr2bl w:val="nil"/>
            </w:tcBorders>
            <w:vAlign w:val="center"/>
          </w:tcPr>
          <w:p w14:paraId="22C26C30">
            <w:pPr>
              <w:keepNext w:val="0"/>
              <w:keepLines w:val="0"/>
              <w:pageBreakBefore w:val="0"/>
              <w:kinsoku/>
              <w:wordWrap/>
              <w:overflowPunct/>
              <w:topLinePunct w:val="0"/>
              <w:autoSpaceDE/>
              <w:autoSpaceDN/>
              <w:bidi w:val="0"/>
              <w:spacing w:line="360" w:lineRule="exact"/>
              <w:jc w:val="center"/>
              <w:textAlignment w:val="auto"/>
              <w:rPr>
                <w:rFonts w:ascii="宋体" w:hAnsi="宋体"/>
                <w:color w:val="auto"/>
                <w:highlight w:val="none"/>
              </w:rPr>
            </w:pPr>
            <w:r>
              <w:rPr>
                <w:rFonts w:ascii="宋体" w:hAnsi="宋体"/>
                <w:color w:val="auto"/>
                <w:highlight w:val="none"/>
              </w:rPr>
              <w:t>9</w:t>
            </w:r>
            <w:r>
              <w:rPr>
                <w:rFonts w:hint="eastAsia" w:ascii="宋体" w:hAnsi="宋体"/>
                <w:color w:val="auto"/>
                <w:highlight w:val="none"/>
              </w:rPr>
              <w:t>分</w:t>
            </w:r>
          </w:p>
        </w:tc>
        <w:tc>
          <w:tcPr>
            <w:tcW w:w="4360" w:type="dxa"/>
            <w:tcBorders>
              <w:tl2br w:val="nil"/>
              <w:tr2bl w:val="nil"/>
            </w:tcBorders>
            <w:vAlign w:val="center"/>
          </w:tcPr>
          <w:p w14:paraId="0227F287">
            <w:pPr>
              <w:keepNext w:val="0"/>
              <w:keepLines w:val="0"/>
              <w:pageBreakBefore w:val="0"/>
              <w:kinsoku/>
              <w:wordWrap/>
              <w:overflowPunct/>
              <w:topLinePunct w:val="0"/>
              <w:autoSpaceDE/>
              <w:autoSpaceDN/>
              <w:bidi w:val="0"/>
              <w:spacing w:line="360" w:lineRule="exact"/>
              <w:textAlignment w:val="auto"/>
              <w:rPr>
                <w:rFonts w:ascii="宋体" w:hAnsi="宋体"/>
                <w:color w:val="auto"/>
                <w:highlight w:val="none"/>
              </w:rPr>
            </w:pPr>
            <w:r>
              <w:rPr>
                <w:rFonts w:hint="eastAsia" w:ascii="宋体" w:hAnsi="宋体"/>
                <w:color w:val="auto"/>
                <w:highlight w:val="none"/>
              </w:rPr>
              <w:t>信用评价</w:t>
            </w:r>
            <w:r>
              <w:rPr>
                <w:rFonts w:ascii="宋体" w:hAnsi="宋体"/>
                <w:color w:val="auto"/>
                <w:highlight w:val="none"/>
              </w:rPr>
              <w:t>B</w:t>
            </w:r>
            <w:r>
              <w:rPr>
                <w:rFonts w:hint="eastAsia" w:ascii="宋体" w:hAnsi="宋体"/>
                <w:color w:val="auto"/>
                <w:highlight w:val="none"/>
              </w:rPr>
              <w:t>级，得</w:t>
            </w:r>
            <w:r>
              <w:rPr>
                <w:rFonts w:ascii="宋体" w:hAnsi="宋体"/>
                <w:color w:val="auto"/>
                <w:highlight w:val="none"/>
              </w:rPr>
              <w:t>9</w:t>
            </w:r>
            <w:r>
              <w:rPr>
                <w:rFonts w:hint="eastAsia" w:ascii="宋体" w:hAnsi="宋体"/>
                <w:color w:val="auto"/>
                <w:highlight w:val="none"/>
              </w:rPr>
              <w:t>分。</w:t>
            </w:r>
          </w:p>
        </w:tc>
      </w:tr>
      <w:tr w14:paraId="757079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4" w:type="dxa"/>
            <w:vMerge w:val="continue"/>
            <w:tcBorders>
              <w:tl2br w:val="nil"/>
              <w:tr2bl w:val="nil"/>
            </w:tcBorders>
            <w:vAlign w:val="center"/>
          </w:tcPr>
          <w:p w14:paraId="17FE1C5A">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2D40E783">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4C0C327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vMerge w:val="continue"/>
            <w:tcBorders>
              <w:tl2br w:val="nil"/>
              <w:tr2bl w:val="nil"/>
            </w:tcBorders>
            <w:vAlign w:val="center"/>
          </w:tcPr>
          <w:p w14:paraId="057B27C6">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ascii="宋体" w:hAnsi="宋体" w:cs="宋体"/>
                <w:color w:val="auto"/>
                <w:kern w:val="0"/>
                <w:szCs w:val="21"/>
                <w:highlight w:val="none"/>
              </w:rPr>
            </w:pPr>
          </w:p>
        </w:tc>
        <w:tc>
          <w:tcPr>
            <w:tcW w:w="855" w:type="dxa"/>
            <w:tcBorders>
              <w:tl2br w:val="nil"/>
              <w:tr2bl w:val="nil"/>
            </w:tcBorders>
            <w:vAlign w:val="center"/>
          </w:tcPr>
          <w:p w14:paraId="71C6E01D">
            <w:pPr>
              <w:keepNext w:val="0"/>
              <w:keepLines w:val="0"/>
              <w:pageBreakBefore w:val="0"/>
              <w:kinsoku/>
              <w:wordWrap/>
              <w:overflowPunct/>
              <w:topLinePunct w:val="0"/>
              <w:autoSpaceDE/>
              <w:autoSpaceDN/>
              <w:bidi w:val="0"/>
              <w:spacing w:line="360" w:lineRule="exact"/>
              <w:jc w:val="center"/>
              <w:textAlignment w:val="auto"/>
              <w:rPr>
                <w:rFonts w:ascii="宋体" w:hAnsi="宋体" w:cs="宋体"/>
                <w:color w:val="auto"/>
                <w:sz w:val="24"/>
                <w:szCs w:val="24"/>
                <w:highlight w:val="none"/>
              </w:rPr>
            </w:pPr>
            <w:r>
              <w:rPr>
                <w:rFonts w:hint="eastAsia" w:ascii="宋体" w:hAnsi="宋体"/>
                <w:color w:val="auto"/>
                <w:highlight w:val="none"/>
              </w:rPr>
              <w:t>6分</w:t>
            </w:r>
          </w:p>
        </w:tc>
        <w:tc>
          <w:tcPr>
            <w:tcW w:w="4360" w:type="dxa"/>
            <w:tcBorders>
              <w:tl2br w:val="nil"/>
              <w:tr2bl w:val="nil"/>
            </w:tcBorders>
            <w:vAlign w:val="center"/>
          </w:tcPr>
          <w:p w14:paraId="20D4438A">
            <w:pPr>
              <w:keepNext w:val="0"/>
              <w:keepLines w:val="0"/>
              <w:pageBreakBefore w:val="0"/>
              <w:kinsoku/>
              <w:wordWrap/>
              <w:overflowPunct/>
              <w:topLinePunct w:val="0"/>
              <w:autoSpaceDE/>
              <w:autoSpaceDN/>
              <w:bidi w:val="0"/>
              <w:spacing w:line="360" w:lineRule="exact"/>
              <w:textAlignment w:val="auto"/>
              <w:rPr>
                <w:rFonts w:ascii="宋体" w:hAnsi="宋体" w:cs="宋体"/>
                <w:color w:val="auto"/>
                <w:sz w:val="24"/>
                <w:szCs w:val="24"/>
                <w:highlight w:val="none"/>
              </w:rPr>
            </w:pPr>
            <w:r>
              <w:rPr>
                <w:rFonts w:hint="eastAsia" w:ascii="宋体" w:hAnsi="宋体"/>
                <w:color w:val="auto"/>
                <w:highlight w:val="none"/>
              </w:rPr>
              <w:t>信用评价C级，得6分。</w:t>
            </w:r>
          </w:p>
        </w:tc>
      </w:tr>
      <w:tr w14:paraId="14A8E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4" w:type="dxa"/>
            <w:vMerge w:val="continue"/>
            <w:tcBorders>
              <w:tl2br w:val="nil"/>
              <w:tr2bl w:val="nil"/>
            </w:tcBorders>
            <w:vAlign w:val="center"/>
          </w:tcPr>
          <w:p w14:paraId="4844CE08">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675" w:type="dxa"/>
            <w:vMerge w:val="continue"/>
            <w:tcBorders>
              <w:tl2br w:val="nil"/>
              <w:tr2bl w:val="nil"/>
            </w:tcBorders>
            <w:vAlign w:val="center"/>
          </w:tcPr>
          <w:p w14:paraId="30EF64E0">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945" w:type="dxa"/>
            <w:vMerge w:val="continue"/>
            <w:tcBorders>
              <w:tl2br w:val="nil"/>
              <w:tr2bl w:val="nil"/>
            </w:tcBorders>
            <w:vAlign w:val="center"/>
          </w:tcPr>
          <w:p w14:paraId="46D4ED47">
            <w:pPr>
              <w:keepNext w:val="0"/>
              <w:keepLines w:val="0"/>
              <w:pageBreakBefore w:val="0"/>
              <w:kinsoku/>
              <w:wordWrap/>
              <w:overflowPunct/>
              <w:topLinePunct w:val="0"/>
              <w:autoSpaceDE/>
              <w:autoSpaceDN/>
              <w:bidi w:val="0"/>
              <w:adjustRightInd w:val="0"/>
              <w:snapToGrid w:val="0"/>
              <w:spacing w:line="360" w:lineRule="exact"/>
              <w:jc w:val="center"/>
              <w:textAlignment w:val="auto"/>
              <w:rPr>
                <w:rFonts w:ascii="宋体" w:hAnsi="宋体"/>
                <w:color w:val="auto"/>
                <w:highlight w:val="none"/>
              </w:rPr>
            </w:pPr>
          </w:p>
        </w:tc>
        <w:tc>
          <w:tcPr>
            <w:tcW w:w="1845" w:type="dxa"/>
            <w:vMerge w:val="continue"/>
            <w:tcBorders>
              <w:tl2br w:val="nil"/>
              <w:tr2bl w:val="nil"/>
            </w:tcBorders>
            <w:vAlign w:val="center"/>
          </w:tcPr>
          <w:p w14:paraId="4FE25E15">
            <w:pPr>
              <w:keepNext w:val="0"/>
              <w:keepLines w:val="0"/>
              <w:pageBreakBefore w:val="0"/>
              <w:widowControl/>
              <w:shd w:val="clear" w:color="auto" w:fill="FFFFFF"/>
              <w:kinsoku/>
              <w:wordWrap/>
              <w:overflowPunct/>
              <w:topLinePunct w:val="0"/>
              <w:autoSpaceDE/>
              <w:autoSpaceDN/>
              <w:bidi w:val="0"/>
              <w:spacing w:line="360" w:lineRule="exact"/>
              <w:jc w:val="center"/>
              <w:textAlignment w:val="auto"/>
              <w:rPr>
                <w:rFonts w:ascii="宋体" w:hAnsi="宋体" w:cs="宋体"/>
                <w:color w:val="auto"/>
                <w:kern w:val="0"/>
                <w:szCs w:val="21"/>
                <w:highlight w:val="none"/>
              </w:rPr>
            </w:pPr>
          </w:p>
        </w:tc>
        <w:tc>
          <w:tcPr>
            <w:tcW w:w="855" w:type="dxa"/>
            <w:tcBorders>
              <w:tl2br w:val="nil"/>
              <w:tr2bl w:val="nil"/>
            </w:tcBorders>
            <w:vAlign w:val="center"/>
          </w:tcPr>
          <w:p w14:paraId="4E67FA0F">
            <w:pPr>
              <w:keepNext w:val="0"/>
              <w:keepLines w:val="0"/>
              <w:pageBreakBefore w:val="0"/>
              <w:kinsoku/>
              <w:wordWrap/>
              <w:overflowPunct/>
              <w:topLinePunct w:val="0"/>
              <w:autoSpaceDE/>
              <w:autoSpaceDN/>
              <w:bidi w:val="0"/>
              <w:spacing w:line="360" w:lineRule="exact"/>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0分</w:t>
            </w:r>
          </w:p>
        </w:tc>
        <w:tc>
          <w:tcPr>
            <w:tcW w:w="4360" w:type="dxa"/>
            <w:tcBorders>
              <w:tl2br w:val="nil"/>
              <w:tr2bl w:val="nil"/>
            </w:tcBorders>
            <w:vAlign w:val="center"/>
          </w:tcPr>
          <w:p w14:paraId="5C2BA5F1">
            <w:pPr>
              <w:keepNext w:val="0"/>
              <w:keepLines w:val="0"/>
              <w:pageBreakBefore w:val="0"/>
              <w:kinsoku/>
              <w:wordWrap/>
              <w:overflowPunct/>
              <w:topLinePunct w:val="0"/>
              <w:autoSpaceDE/>
              <w:autoSpaceDN/>
              <w:bidi w:val="0"/>
              <w:spacing w:line="360" w:lineRule="exact"/>
              <w:textAlignment w:val="auto"/>
              <w:rPr>
                <w:rFonts w:hint="eastAsia" w:ascii="宋体" w:hAnsi="宋体"/>
                <w:color w:val="auto"/>
                <w:highlight w:val="none"/>
              </w:rPr>
            </w:pPr>
            <w:r>
              <w:rPr>
                <w:rFonts w:hint="eastAsia" w:ascii="宋体" w:hAnsi="宋体"/>
                <w:color w:val="auto"/>
                <w:highlight w:val="none"/>
              </w:rPr>
              <w:t>信用评价</w:t>
            </w:r>
            <w:r>
              <w:rPr>
                <w:rFonts w:hint="eastAsia" w:ascii="宋体" w:hAnsi="宋体"/>
                <w:color w:val="auto"/>
                <w:highlight w:val="none"/>
                <w:lang w:val="en-US" w:eastAsia="zh-CN"/>
              </w:rPr>
              <w:t>D</w:t>
            </w:r>
            <w:r>
              <w:rPr>
                <w:rFonts w:hint="eastAsia" w:ascii="宋体" w:hAnsi="宋体"/>
                <w:color w:val="auto"/>
                <w:highlight w:val="none"/>
              </w:rPr>
              <w:t>级，得</w:t>
            </w:r>
            <w:r>
              <w:rPr>
                <w:rFonts w:hint="eastAsia" w:ascii="宋体" w:hAnsi="宋体"/>
                <w:color w:val="auto"/>
                <w:highlight w:val="none"/>
                <w:lang w:val="en-US" w:eastAsia="zh-CN"/>
              </w:rPr>
              <w:t>0</w:t>
            </w:r>
            <w:r>
              <w:rPr>
                <w:rFonts w:hint="eastAsia" w:ascii="宋体" w:hAnsi="宋体"/>
                <w:color w:val="auto"/>
                <w:highlight w:val="none"/>
              </w:rPr>
              <w:t>分。</w:t>
            </w:r>
          </w:p>
        </w:tc>
      </w:tr>
      <w:tr w14:paraId="65946B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14" w:type="dxa"/>
            <w:vMerge w:val="continue"/>
            <w:tcBorders>
              <w:tl2br w:val="nil"/>
              <w:tr2bl w:val="nil"/>
            </w:tcBorders>
            <w:vAlign w:val="center"/>
          </w:tcPr>
          <w:p w14:paraId="34682DF2">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color w:val="auto"/>
                <w:highlight w:val="none"/>
              </w:rPr>
            </w:pPr>
          </w:p>
        </w:tc>
        <w:tc>
          <w:tcPr>
            <w:tcW w:w="675" w:type="dxa"/>
            <w:vMerge w:val="continue"/>
            <w:tcBorders>
              <w:tl2br w:val="nil"/>
              <w:tr2bl w:val="nil"/>
            </w:tcBorders>
            <w:vAlign w:val="center"/>
          </w:tcPr>
          <w:p w14:paraId="53A0CC66">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color w:val="auto"/>
                <w:highlight w:val="none"/>
              </w:rPr>
            </w:pPr>
          </w:p>
        </w:tc>
        <w:tc>
          <w:tcPr>
            <w:tcW w:w="945" w:type="dxa"/>
            <w:vMerge w:val="continue"/>
            <w:tcBorders>
              <w:tl2br w:val="nil"/>
              <w:tr2bl w:val="nil"/>
            </w:tcBorders>
            <w:vAlign w:val="center"/>
          </w:tcPr>
          <w:p w14:paraId="6D17FF14">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color w:val="auto"/>
                <w:highlight w:val="none"/>
              </w:rPr>
            </w:pPr>
          </w:p>
        </w:tc>
        <w:tc>
          <w:tcPr>
            <w:tcW w:w="7060" w:type="dxa"/>
            <w:gridSpan w:val="3"/>
            <w:tcBorders>
              <w:tl2br w:val="nil"/>
              <w:tr2bl w:val="nil"/>
            </w:tcBorders>
            <w:vAlign w:val="center"/>
          </w:tcPr>
          <w:p w14:paraId="7F850E0E">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color w:val="auto"/>
                <w:highlight w:val="none"/>
              </w:rPr>
            </w:pPr>
            <w:r>
              <w:rPr>
                <w:rFonts w:hint="eastAsia" w:ascii="宋体" w:hAnsi="宋体"/>
                <w:color w:val="auto"/>
                <w:highlight w:val="none"/>
              </w:rPr>
              <w:t>注：信用评价等级优先采用以下所列顺序在前的企业信用等级：</w:t>
            </w:r>
          </w:p>
          <w:p w14:paraId="206E923D">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olor w:val="auto"/>
                <w:highlight w:val="none"/>
                <w:lang w:eastAsia="zh-CN"/>
              </w:rPr>
            </w:pPr>
            <w:r>
              <w:rPr>
                <w:rFonts w:hint="eastAsia" w:ascii="宋体" w:hAnsi="宋体"/>
                <w:color w:val="auto"/>
                <w:highlight w:val="none"/>
                <w:lang w:eastAsia="zh-CN"/>
              </w:rPr>
              <w:t>（</w:t>
            </w:r>
            <w:r>
              <w:rPr>
                <w:rFonts w:hint="eastAsia" w:ascii="宋体" w:hAnsi="宋体"/>
                <w:color w:val="auto"/>
                <w:highlight w:val="none"/>
              </w:rPr>
              <w:t>1</w:t>
            </w:r>
            <w:r>
              <w:rPr>
                <w:rFonts w:hint="eastAsia" w:ascii="宋体" w:hAnsi="宋体"/>
                <w:color w:val="auto"/>
                <w:highlight w:val="none"/>
                <w:lang w:eastAsia="zh-CN"/>
              </w:rPr>
              <w:t>）</w:t>
            </w:r>
            <w:r>
              <w:rPr>
                <w:rFonts w:hint="eastAsia" w:ascii="宋体" w:hAnsi="宋体"/>
                <w:color w:val="auto"/>
                <w:highlight w:val="none"/>
              </w:rPr>
              <w:t>采用《吉林省公路管理局202</w:t>
            </w:r>
            <w:r>
              <w:rPr>
                <w:rFonts w:hint="eastAsia" w:ascii="宋体" w:hAnsi="宋体"/>
                <w:color w:val="auto"/>
                <w:highlight w:val="none"/>
                <w:lang w:val="en-US" w:eastAsia="zh-CN"/>
              </w:rPr>
              <w:t>5</w:t>
            </w:r>
            <w:r>
              <w:rPr>
                <w:rFonts w:hint="eastAsia" w:ascii="宋体" w:hAnsi="宋体"/>
                <w:color w:val="auto"/>
                <w:highlight w:val="none"/>
              </w:rPr>
              <w:t>年度普通干线公路养护工程企业信用评价公告》中的投标人信用等级</w:t>
            </w:r>
            <w:r>
              <w:rPr>
                <w:rFonts w:hint="eastAsia" w:ascii="宋体" w:hAnsi="宋体"/>
                <w:color w:val="auto"/>
                <w:highlight w:val="none"/>
                <w:lang w:eastAsia="zh-CN"/>
              </w:rPr>
              <w:t>；</w:t>
            </w:r>
          </w:p>
          <w:p w14:paraId="002E8FC8">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eastAsia" w:ascii="宋体" w:hAnsi="宋体" w:eastAsia="宋体"/>
                <w:color w:val="auto"/>
                <w:highlight w:val="none"/>
                <w:lang w:eastAsia="zh-CN"/>
              </w:rPr>
            </w:pPr>
            <w:r>
              <w:rPr>
                <w:rFonts w:hint="eastAsia" w:ascii="宋体" w:hAnsi="宋体"/>
                <w:color w:val="auto"/>
                <w:highlight w:val="none"/>
                <w:lang w:eastAsia="zh-CN"/>
              </w:rPr>
              <w:t>（</w:t>
            </w:r>
            <w:r>
              <w:rPr>
                <w:rFonts w:hint="eastAsia" w:ascii="宋体" w:hAnsi="宋体"/>
                <w:color w:val="auto"/>
                <w:highlight w:val="none"/>
                <w:lang w:val="en-US" w:eastAsia="zh-CN"/>
              </w:rPr>
              <w:t>2</w:t>
            </w:r>
            <w:r>
              <w:rPr>
                <w:rFonts w:hint="eastAsia" w:ascii="宋体" w:hAnsi="宋体"/>
                <w:color w:val="auto"/>
                <w:highlight w:val="none"/>
                <w:lang w:eastAsia="zh-CN"/>
              </w:rPr>
              <w:t>）</w:t>
            </w:r>
            <w:r>
              <w:rPr>
                <w:rFonts w:hint="eastAsia" w:ascii="宋体" w:hAnsi="宋体"/>
                <w:color w:val="auto"/>
                <w:highlight w:val="none"/>
              </w:rPr>
              <w:t>采用《吉林省公路管理局202</w:t>
            </w:r>
            <w:r>
              <w:rPr>
                <w:rFonts w:hint="eastAsia" w:ascii="宋体" w:hAnsi="宋体"/>
                <w:color w:val="auto"/>
                <w:highlight w:val="none"/>
                <w:lang w:val="en-US" w:eastAsia="zh-CN"/>
              </w:rPr>
              <w:t>4</w:t>
            </w:r>
            <w:r>
              <w:rPr>
                <w:rFonts w:hint="eastAsia" w:ascii="宋体" w:hAnsi="宋体"/>
                <w:color w:val="auto"/>
                <w:highlight w:val="none"/>
              </w:rPr>
              <w:t>年度普通干线公路养护工程企业信用评价公告》</w:t>
            </w:r>
            <w:r>
              <w:rPr>
                <w:rFonts w:hint="eastAsia" w:ascii="宋体" w:hAnsi="宋体"/>
                <w:color w:val="auto"/>
                <w:highlight w:val="none"/>
                <w:lang w:eastAsia="zh-CN"/>
              </w:rPr>
              <w:t>（</w:t>
            </w:r>
            <w:r>
              <w:rPr>
                <w:rFonts w:hint="eastAsia" w:ascii="宋体" w:hAnsi="宋体"/>
                <w:color w:val="auto"/>
                <w:highlight w:val="none"/>
                <w:lang w:val="en-US" w:eastAsia="zh-CN"/>
              </w:rPr>
              <w:t>含调整结果公告）</w:t>
            </w:r>
            <w:r>
              <w:rPr>
                <w:rFonts w:hint="eastAsia" w:ascii="宋体" w:hAnsi="宋体"/>
                <w:color w:val="auto"/>
                <w:highlight w:val="none"/>
              </w:rPr>
              <w:t>中的投标人信用等级</w:t>
            </w:r>
            <w:r>
              <w:rPr>
                <w:rFonts w:hint="eastAsia" w:ascii="宋体" w:hAnsi="宋体"/>
                <w:color w:val="auto"/>
                <w:highlight w:val="none"/>
                <w:lang w:eastAsia="zh-CN"/>
              </w:rPr>
              <w:t>；</w:t>
            </w:r>
          </w:p>
          <w:p w14:paraId="68FC8445">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default" w:ascii="宋体" w:hAnsi="宋体" w:cs="Times New Roman"/>
                <w:color w:val="auto"/>
                <w:highlight w:val="none"/>
                <w:lang w:val="en-US" w:eastAsia="zh-CN"/>
              </w:rPr>
            </w:pPr>
            <w:r>
              <w:rPr>
                <w:rFonts w:hint="eastAsia" w:ascii="宋体" w:hAnsi="宋体"/>
                <w:color w:val="auto"/>
                <w:highlight w:val="none"/>
                <w:lang w:eastAsia="zh-CN"/>
              </w:rPr>
              <w:t>（</w:t>
            </w:r>
            <w:r>
              <w:rPr>
                <w:rFonts w:hint="eastAsia" w:ascii="宋体" w:hAnsi="宋体"/>
                <w:color w:val="auto"/>
                <w:highlight w:val="none"/>
                <w:lang w:val="en-US" w:eastAsia="zh-CN"/>
              </w:rPr>
              <w:t>3</w:t>
            </w:r>
            <w:r>
              <w:rPr>
                <w:rFonts w:hint="eastAsia" w:ascii="宋体" w:hAnsi="宋体"/>
                <w:color w:val="auto"/>
                <w:highlight w:val="none"/>
                <w:lang w:eastAsia="zh-CN"/>
              </w:rPr>
              <w:t>）</w:t>
            </w:r>
            <w:r>
              <w:rPr>
                <w:rFonts w:hint="eastAsia" w:ascii="宋体" w:hAnsi="宋体"/>
                <w:color w:val="auto"/>
                <w:highlight w:val="none"/>
                <w:lang w:val="en-US" w:eastAsia="zh-CN"/>
              </w:rPr>
              <w:t>采用交</w:t>
            </w:r>
            <w:r>
              <w:rPr>
                <w:rFonts w:hint="eastAsia" w:ascii="宋体" w:hAnsi="宋体" w:cs="Times New Roman"/>
                <w:color w:val="auto"/>
                <w:highlight w:val="none"/>
                <w:lang w:val="en-US" w:eastAsia="zh-CN"/>
              </w:rPr>
              <w:t>通运输部“全国公路建设市场监督管理系统/全国公路从业单位信用评价结果”中，投标人的2024年度“施工企业”信用等级；</w:t>
            </w:r>
          </w:p>
          <w:p w14:paraId="09552E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Times New Roman"/>
                <w:color w:val="auto"/>
                <w:highlight w:val="none"/>
                <w:lang w:val="en-US" w:eastAsia="zh-CN"/>
              </w:rPr>
            </w:pPr>
            <w:r>
              <w:rPr>
                <w:rFonts w:hint="eastAsia" w:ascii="宋体" w:hAnsi="宋体"/>
                <w:color w:val="auto"/>
                <w:highlight w:val="none"/>
                <w:lang w:val="en-US" w:eastAsia="zh-CN"/>
              </w:rPr>
              <w:t>（4）</w:t>
            </w:r>
            <w:r>
              <w:rPr>
                <w:rFonts w:hint="eastAsia" w:ascii="宋体" w:hAnsi="宋体"/>
                <w:color w:val="auto"/>
                <w:highlight w:val="none"/>
              </w:rPr>
              <w:t>企业无</w:t>
            </w:r>
            <w:r>
              <w:rPr>
                <w:rFonts w:hint="eastAsia" w:ascii="宋体" w:hAnsi="宋体" w:cs="Times New Roman"/>
                <w:color w:val="auto"/>
                <w:highlight w:val="none"/>
                <w:lang w:val="en-US" w:eastAsia="zh-CN"/>
              </w:rPr>
              <w:t>上述信用评价的，若未列入交通运输部“全国公路建设市场监督管理系统”中“不良信用记录”的，按A级对待，否则视其严重程度按B级或以下等级对待。</w:t>
            </w:r>
          </w:p>
        </w:tc>
      </w:tr>
      <w:tr w14:paraId="21360A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594" w:type="dxa"/>
            <w:gridSpan w:val="6"/>
            <w:tcBorders>
              <w:tl2br w:val="nil"/>
              <w:tr2bl w:val="nil"/>
            </w:tcBorders>
            <w:vAlign w:val="center"/>
          </w:tcPr>
          <w:p w14:paraId="497D2802">
            <w:pPr>
              <w:keepLines w:val="0"/>
              <w:widowControl/>
              <w:shd w:val="clear" w:color="auto" w:fill="FFFFFF"/>
              <w:kinsoku/>
              <w:wordWrap/>
              <w:overflowPunct/>
              <w:topLinePunct w:val="0"/>
              <w:bidi w:val="0"/>
              <w:spacing w:line="360" w:lineRule="exact"/>
              <w:ind w:firstLine="420" w:firstLineChars="200"/>
              <w:jc w:val="left"/>
              <w:textAlignment w:val="auto"/>
              <w:rPr>
                <w:rFonts w:hint="eastAsia" w:ascii="宋体" w:hAnsi="宋体"/>
                <w:color w:val="auto"/>
                <w:highlight w:val="none"/>
                <w:lang w:val="en-US" w:eastAsia="zh-CN"/>
              </w:rPr>
            </w:pPr>
            <w:r>
              <w:rPr>
                <w:rFonts w:hint="eastAsia" w:ascii="宋体" w:hAnsi="宋体"/>
                <w:color w:val="auto"/>
                <w:highlight w:val="none"/>
                <w:lang w:val="en-US" w:eastAsia="zh-CN"/>
              </w:rPr>
              <w:t>需要补充的其他内容：</w:t>
            </w:r>
          </w:p>
          <w:p w14:paraId="73AD9BCA">
            <w:pPr>
              <w:keepLines w:val="0"/>
              <w:widowControl/>
              <w:shd w:val="clear" w:color="auto" w:fill="FFFFFF"/>
              <w:kinsoku/>
              <w:wordWrap/>
              <w:overflowPunct/>
              <w:topLinePunct w:val="0"/>
              <w:bidi w:val="0"/>
              <w:spacing w:line="360" w:lineRule="exact"/>
              <w:ind w:firstLine="420" w:firstLineChars="200"/>
              <w:jc w:val="left"/>
              <w:textAlignment w:val="auto"/>
              <w:rPr>
                <w:rFonts w:hint="eastAsia" w:ascii="宋体" w:hAnsi="宋体"/>
                <w:color w:val="auto"/>
                <w:highlight w:val="none"/>
                <w:lang w:val="en-US" w:eastAsia="zh-CN"/>
              </w:rPr>
            </w:pPr>
            <w:r>
              <w:rPr>
                <w:rFonts w:hint="eastAsia" w:ascii="宋体" w:hAnsi="宋体"/>
                <w:color w:val="auto"/>
                <w:highlight w:val="none"/>
                <w:lang w:val="en-US" w:eastAsia="zh-CN"/>
              </w:rPr>
              <w:t>（1）</w:t>
            </w:r>
            <w:r>
              <w:rPr>
                <w:rFonts w:hint="eastAsia" w:ascii="宋体" w:hAnsi="宋体"/>
              </w:rPr>
              <w:t>各评分因素（评标价和</w:t>
            </w:r>
            <w:r>
              <w:rPr>
                <w:rFonts w:ascii="宋体" w:hAnsi="宋体"/>
              </w:rPr>
              <w:t>履约信誉评分项</w:t>
            </w:r>
            <w:r>
              <w:rPr>
                <w:rFonts w:hint="eastAsia" w:ascii="宋体" w:hAnsi="宋体"/>
              </w:rPr>
              <w:t>除外）得分均不应低于其权重分值的60%，且各评分因素得分应以评标委员会各成员的打分平均值确定，</w:t>
            </w:r>
            <w:r>
              <w:rPr>
                <w:rFonts w:ascii="宋体" w:hAnsi="宋体"/>
              </w:rPr>
              <w:t>评</w:t>
            </w:r>
            <w:r>
              <w:rPr>
                <w:rFonts w:hint="eastAsia" w:ascii="宋体" w:hAnsi="宋体"/>
              </w:rPr>
              <w:t>标</w:t>
            </w:r>
            <w:r>
              <w:rPr>
                <w:rFonts w:ascii="宋体" w:hAnsi="宋体"/>
              </w:rPr>
              <w:t>委员会成员总数为七人以上时，该平均值以去掉</w:t>
            </w:r>
            <w:r>
              <w:rPr>
                <w:rFonts w:hint="eastAsia" w:ascii="宋体" w:hAnsi="宋体"/>
              </w:rPr>
              <w:t>一</w:t>
            </w:r>
            <w:r>
              <w:rPr>
                <w:rFonts w:ascii="宋体" w:hAnsi="宋体"/>
              </w:rPr>
              <w:t>个最高分和一个</w:t>
            </w:r>
            <w:r>
              <w:rPr>
                <w:rFonts w:hint="eastAsia" w:ascii="宋体" w:hAnsi="宋体"/>
              </w:rPr>
              <w:t>最</w:t>
            </w:r>
            <w:r>
              <w:rPr>
                <w:rFonts w:ascii="宋体" w:hAnsi="宋体"/>
              </w:rPr>
              <w:t>低分后计</w:t>
            </w:r>
            <w:r>
              <w:rPr>
                <w:rFonts w:hint="eastAsia" w:ascii="宋体" w:hAnsi="宋体"/>
              </w:rPr>
              <w:t>算。评标</w:t>
            </w:r>
            <w:r>
              <w:rPr>
                <w:rFonts w:ascii="宋体" w:hAnsi="宋体"/>
              </w:rPr>
              <w:t>委员会成员对某一项评分因</w:t>
            </w:r>
            <w:r>
              <w:rPr>
                <w:rFonts w:hint="eastAsia" w:ascii="宋体" w:hAnsi="宋体"/>
              </w:rPr>
              <w:t>素</w:t>
            </w:r>
            <w:r>
              <w:rPr>
                <w:rFonts w:ascii="宋体" w:hAnsi="宋体"/>
              </w:rPr>
              <w:t>的评分低于权重分值</w:t>
            </w:r>
            <w:r>
              <w:rPr>
                <w:rFonts w:hint="eastAsia" w:ascii="宋体" w:hAnsi="宋体"/>
              </w:rPr>
              <w:t>60%的，应</w:t>
            </w:r>
            <w:r>
              <w:rPr>
                <w:rFonts w:ascii="宋体" w:hAnsi="宋体"/>
              </w:rPr>
              <w:t>在评</w:t>
            </w:r>
            <w:r>
              <w:rPr>
                <w:rFonts w:hint="eastAsia" w:ascii="宋体" w:hAnsi="宋体"/>
              </w:rPr>
              <w:t>标</w:t>
            </w:r>
            <w:r>
              <w:rPr>
                <w:rFonts w:ascii="宋体" w:hAnsi="宋体"/>
              </w:rPr>
              <w:t>报告中作出说明。</w:t>
            </w:r>
          </w:p>
          <w:p w14:paraId="687B07F1">
            <w:pPr>
              <w:keepNext w:val="0"/>
              <w:keepLines w:val="0"/>
              <w:pageBreakBefore w:val="0"/>
              <w:kinsoku/>
              <w:wordWrap/>
              <w:overflowPunct/>
              <w:topLinePunct w:val="0"/>
              <w:autoSpaceDE/>
              <w:autoSpaceDN/>
              <w:bidi w:val="0"/>
              <w:adjustRightInd w:val="0"/>
              <w:snapToGrid w:val="0"/>
              <w:spacing w:line="360" w:lineRule="exact"/>
              <w:ind w:firstLine="422" w:firstLineChars="201"/>
              <w:textAlignment w:val="auto"/>
              <w:rPr>
                <w:rFonts w:hint="default" w:ascii="宋体" w:hAnsi="宋体"/>
                <w:color w:val="auto"/>
                <w:highlight w:val="none"/>
                <w:lang w:val="en-US" w:eastAsia="zh-CN"/>
              </w:rPr>
            </w:pPr>
            <w:r>
              <w:rPr>
                <w:rFonts w:hint="eastAsia" w:ascii="宋体" w:hAnsi="宋体"/>
                <w:b w:val="0"/>
                <w:bCs w:val="0"/>
                <w:highlight w:val="none"/>
                <w:lang w:eastAsia="zh-CN"/>
              </w:rPr>
              <w:t>（</w:t>
            </w:r>
            <w:r>
              <w:rPr>
                <w:rFonts w:hint="eastAsia" w:ascii="宋体" w:hAnsi="宋体"/>
                <w:b w:val="0"/>
                <w:bCs w:val="0"/>
                <w:highlight w:val="none"/>
                <w:lang w:val="en-US" w:eastAsia="zh-CN"/>
              </w:rPr>
              <w:t>2</w:t>
            </w:r>
            <w:r>
              <w:rPr>
                <w:rFonts w:hint="eastAsia" w:ascii="宋体" w:hAnsi="宋体"/>
                <w:b w:val="0"/>
                <w:bCs w:val="0"/>
                <w:highlight w:val="none"/>
                <w:lang w:eastAsia="zh-CN"/>
              </w:rPr>
              <w:t>）</w:t>
            </w:r>
            <w:r>
              <w:rPr>
                <w:rFonts w:hint="eastAsia" w:ascii="宋体" w:hAnsi="宋体"/>
                <w:b w:val="0"/>
                <w:bCs w:val="0"/>
                <w:highlight w:val="none"/>
              </w:rPr>
              <w:t>投标文件的</w:t>
            </w:r>
            <w:r>
              <w:rPr>
                <w:rFonts w:hint="eastAsia" w:ascii="宋体" w:hAnsi="宋体"/>
                <w:b w:val="0"/>
                <w:bCs w:val="0"/>
                <w:highlight w:val="none"/>
                <w:lang w:val="en-US" w:eastAsia="zh-CN"/>
              </w:rPr>
              <w:t>施工组织设计</w:t>
            </w:r>
            <w:r>
              <w:rPr>
                <w:rFonts w:hint="eastAsia" w:ascii="宋体" w:hAnsi="宋体" w:eastAsia="宋体" w:cs="Times New Roman"/>
                <w:b w:val="0"/>
                <w:bCs w:val="0"/>
                <w:szCs w:val="21"/>
              </w:rPr>
              <w:t>采用</w:t>
            </w:r>
            <w:r>
              <w:rPr>
                <w:rFonts w:hint="eastAsia" w:ascii="宋体" w:hAnsi="宋体" w:eastAsia="宋体" w:cs="Times New Roman"/>
                <w:szCs w:val="21"/>
              </w:rPr>
              <w:t>“暗标”评</w:t>
            </w:r>
            <w:r>
              <w:rPr>
                <w:rFonts w:hint="eastAsia" w:ascii="宋体" w:hAnsi="宋体"/>
                <w:b w:val="0"/>
                <w:bCs w:val="0"/>
                <w:highlight w:val="none"/>
              </w:rPr>
              <w:t>审，</w:t>
            </w:r>
            <w:r>
              <w:rPr>
                <w:rFonts w:hint="eastAsia" w:ascii="宋体" w:hAnsi="宋体" w:eastAsia="宋体" w:cs="Times New Roman"/>
                <w:szCs w:val="21"/>
              </w:rPr>
              <w:t>如果某投标人的</w:t>
            </w:r>
            <w:r>
              <w:rPr>
                <w:rFonts w:hint="eastAsia" w:ascii="宋体" w:hAnsi="宋体"/>
                <w:b w:val="0"/>
                <w:bCs w:val="0"/>
                <w:highlight w:val="none"/>
                <w:lang w:val="en-US" w:eastAsia="zh-CN"/>
              </w:rPr>
              <w:t>施工组织设计</w:t>
            </w:r>
            <w:r>
              <w:rPr>
                <w:rFonts w:hint="eastAsia" w:ascii="宋体" w:hAnsi="宋体" w:eastAsia="宋体" w:cs="Times New Roman"/>
                <w:szCs w:val="21"/>
              </w:rPr>
              <w:t>没有按照招标文件规定的</w:t>
            </w:r>
            <w:r>
              <w:rPr>
                <w:rFonts w:hint="eastAsia" w:ascii="宋体" w:hAnsi="宋体" w:eastAsia="宋体" w:cs="Times New Roman"/>
                <w:szCs w:val="21"/>
                <w:lang w:val="en-US" w:eastAsia="zh-CN"/>
              </w:rPr>
              <w:t>要求</w:t>
            </w:r>
            <w:r>
              <w:rPr>
                <w:rFonts w:hint="eastAsia" w:ascii="宋体" w:hAnsi="宋体" w:eastAsia="宋体" w:cs="Times New Roman"/>
                <w:szCs w:val="21"/>
              </w:rPr>
              <w:t>编制，</w:t>
            </w:r>
            <w:r>
              <w:rPr>
                <w:rFonts w:hint="eastAsia" w:ascii="宋体" w:hAnsi="宋体" w:cs="Times New Roman"/>
                <w:szCs w:val="21"/>
                <w:lang w:val="en-US" w:eastAsia="zh-CN"/>
              </w:rPr>
              <w:t>但</w:t>
            </w:r>
            <w:r>
              <w:rPr>
                <w:rFonts w:hint="eastAsia" w:ascii="宋体" w:hAnsi="宋体"/>
                <w:b w:val="0"/>
                <w:bCs w:val="0"/>
                <w:highlight w:val="none"/>
                <w:lang w:val="en-US" w:eastAsia="zh-CN"/>
              </w:rPr>
              <w:t>施工组织设计没有</w:t>
            </w:r>
            <w:r>
              <w:rPr>
                <w:rFonts w:hint="eastAsia" w:ascii="宋体" w:hAnsi="宋体"/>
                <w:b w:val="0"/>
                <w:bCs w:val="0"/>
                <w:highlight w:val="none"/>
              </w:rPr>
              <w:t>出现能识别投标人的内容，</w:t>
            </w:r>
            <w:r>
              <w:rPr>
                <w:rFonts w:hint="eastAsia" w:ascii="宋体" w:hAnsi="宋体"/>
                <w:b w:val="0"/>
                <w:bCs w:val="0"/>
                <w:highlight w:val="none"/>
                <w:lang w:val="en-US" w:eastAsia="zh-CN"/>
              </w:rPr>
              <w:t>评标委员会可以在相应的评分因素中酌情扣分，最多可扣至0分；</w:t>
            </w:r>
            <w:r>
              <w:rPr>
                <w:rFonts w:hint="eastAsia" w:ascii="宋体" w:hAnsi="宋体"/>
                <w:b w:val="0"/>
                <w:bCs w:val="0"/>
                <w:highlight w:val="none"/>
              </w:rPr>
              <w:t>如果</w:t>
            </w:r>
            <w:r>
              <w:rPr>
                <w:rFonts w:hint="eastAsia" w:ascii="宋体" w:hAnsi="宋体"/>
                <w:b w:val="0"/>
                <w:bCs w:val="0"/>
                <w:highlight w:val="none"/>
                <w:lang w:val="en-US" w:eastAsia="zh-CN"/>
              </w:rPr>
              <w:t>施工组织设计</w:t>
            </w:r>
            <w:r>
              <w:rPr>
                <w:rFonts w:hint="eastAsia" w:ascii="宋体" w:hAnsi="宋体"/>
                <w:b w:val="0"/>
                <w:bCs w:val="0"/>
                <w:highlight w:val="none"/>
              </w:rPr>
              <w:t>出现能识别投标人的内容，经评标委员会</w:t>
            </w:r>
            <w:r>
              <w:rPr>
                <w:rFonts w:hint="eastAsia" w:ascii="宋体" w:hAnsi="宋体"/>
                <w:b w:val="0"/>
                <w:bCs w:val="0"/>
                <w:highlight w:val="none"/>
                <w:lang w:val="en-US" w:eastAsia="zh-CN"/>
              </w:rPr>
              <w:t>认定</w:t>
            </w:r>
            <w:r>
              <w:rPr>
                <w:rFonts w:hint="eastAsia" w:ascii="宋体" w:hAnsi="宋体"/>
                <w:b w:val="0"/>
                <w:bCs w:val="0"/>
                <w:highlight w:val="none"/>
              </w:rPr>
              <w:t>后，评标委员会应在详细评审中</w:t>
            </w:r>
            <w:r>
              <w:rPr>
                <w:rFonts w:hint="eastAsia" w:ascii="宋体" w:hAnsi="宋体"/>
                <w:b w:val="0"/>
                <w:bCs w:val="0"/>
                <w:highlight w:val="none"/>
                <w:lang w:val="en-US" w:eastAsia="zh-CN"/>
              </w:rPr>
              <w:t>否决其投标</w:t>
            </w:r>
            <w:r>
              <w:rPr>
                <w:rFonts w:hint="eastAsia" w:ascii="宋体" w:hAnsi="宋体" w:eastAsia="宋体" w:cs="Times New Roman"/>
                <w:szCs w:val="21"/>
              </w:rPr>
              <w:t>，并在评标报告中作出详细说明。</w:t>
            </w:r>
            <w:r>
              <w:rPr>
                <w:rFonts w:hint="eastAsia" w:ascii="黑体" w:hAnsi="黑体" w:eastAsia="黑体" w:cs="Times New Roman"/>
                <w:b/>
                <w:bCs/>
                <w:szCs w:val="21"/>
                <w:lang w:val="en-US" w:eastAsia="zh-CN"/>
              </w:rPr>
              <w:t>除能识别投标人情形外</w:t>
            </w:r>
            <w:r>
              <w:rPr>
                <w:rFonts w:ascii="黑体" w:hAnsi="黑体" w:eastAsia="黑体" w:cs="Times New Roman"/>
                <w:b/>
                <w:bCs/>
                <w:szCs w:val="21"/>
              </w:rPr>
              <w:t>，不得因暗标格式问题</w:t>
            </w:r>
            <w:r>
              <w:rPr>
                <w:rFonts w:hint="eastAsia" w:ascii="黑体" w:hAnsi="黑体" w:eastAsia="黑体" w:cs="Times New Roman"/>
                <w:b/>
                <w:bCs/>
                <w:szCs w:val="21"/>
                <w:lang w:val="en-US" w:eastAsia="zh-CN"/>
              </w:rPr>
              <w:t>否决其投标</w:t>
            </w:r>
            <w:r>
              <w:rPr>
                <w:rFonts w:hint="eastAsia" w:ascii="黑体" w:hAnsi="黑体" w:eastAsia="黑体" w:cs="Times New Roman"/>
                <w:b/>
                <w:bCs/>
                <w:szCs w:val="21"/>
              </w:rPr>
              <w:t>。</w:t>
            </w:r>
          </w:p>
        </w:tc>
      </w:tr>
    </w:tbl>
    <w:p w14:paraId="712608E9">
      <w:pPr>
        <w:keepLines w:val="0"/>
        <w:kinsoku/>
        <w:wordWrap/>
        <w:overflowPunct/>
        <w:topLinePunct w:val="0"/>
        <w:bidi w:val="0"/>
        <w:spacing w:line="360" w:lineRule="exact"/>
        <w:ind w:right="420"/>
        <w:jc w:val="left"/>
        <w:textAlignment w:val="auto"/>
        <w:rPr>
          <w:rFonts w:hint="eastAsia" w:ascii="宋体" w:hAnsi="宋体" w:eastAsia="宋体" w:cs="宋体"/>
          <w:b/>
          <w:sz w:val="21"/>
          <w:szCs w:val="21"/>
        </w:rPr>
      </w:pPr>
    </w:p>
    <w:p w14:paraId="4360F9F3">
      <w:pPr>
        <w:keepNext w:val="0"/>
        <w:keepLines w:val="0"/>
        <w:pageBreakBefore w:val="0"/>
        <w:widowControl w:val="0"/>
        <w:kinsoku/>
        <w:wordWrap/>
        <w:overflowPunct/>
        <w:topLinePunct w:val="0"/>
        <w:autoSpaceDE/>
        <w:autoSpaceDN/>
        <w:bidi w:val="0"/>
        <w:adjustRightInd/>
        <w:snapToGrid/>
        <w:spacing w:line="360" w:lineRule="exact"/>
        <w:ind w:right="420"/>
        <w:jc w:val="left"/>
        <w:textAlignment w:val="auto"/>
        <w:rPr>
          <w:rFonts w:hint="eastAsia" w:ascii="宋体" w:hAnsi="宋体" w:eastAsia="宋体" w:cs="宋体"/>
          <w:b/>
          <w:sz w:val="21"/>
          <w:szCs w:val="21"/>
        </w:rPr>
      </w:pPr>
      <w:r>
        <w:rPr>
          <w:rFonts w:hint="eastAsia" w:ascii="宋体" w:hAnsi="宋体" w:eastAsia="宋体" w:cs="宋体"/>
          <w:b/>
          <w:sz w:val="21"/>
          <w:szCs w:val="21"/>
        </w:rPr>
        <w:t>四、联系方式</w:t>
      </w:r>
    </w:p>
    <w:p w14:paraId="3F181BA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rPr>
        <w:t>招 标 人：</w:t>
      </w:r>
      <w:r>
        <w:rPr>
          <w:rFonts w:hint="eastAsia" w:ascii="宋体" w:hAnsi="宋体" w:eastAsia="宋体" w:cs="宋体"/>
          <w:sz w:val="21"/>
          <w:szCs w:val="21"/>
          <w:lang w:val="en-US" w:eastAsia="zh-CN"/>
        </w:rPr>
        <w:t>长春</w:t>
      </w:r>
      <w:r>
        <w:rPr>
          <w:rFonts w:hint="eastAsia" w:ascii="宋体" w:hAnsi="宋体" w:eastAsia="宋体" w:cs="宋体"/>
          <w:sz w:val="21"/>
          <w:szCs w:val="21"/>
        </w:rPr>
        <w:t>市公路管理</w:t>
      </w:r>
      <w:r>
        <w:rPr>
          <w:rFonts w:hint="eastAsia" w:ascii="宋体" w:hAnsi="宋体" w:eastAsia="宋体" w:cs="宋体"/>
          <w:sz w:val="21"/>
          <w:szCs w:val="21"/>
          <w:lang w:val="en-US" w:eastAsia="zh-CN"/>
        </w:rPr>
        <w:t>处</w:t>
      </w:r>
    </w:p>
    <w:p w14:paraId="120CD2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zh-CN"/>
        </w:rPr>
        <w:t>地    址：</w:t>
      </w:r>
      <w:r>
        <w:rPr>
          <w:rFonts w:hint="eastAsia" w:ascii="宋体" w:hAnsi="宋体" w:eastAsia="宋体" w:cs="宋体"/>
          <w:sz w:val="21"/>
          <w:szCs w:val="21"/>
          <w:lang w:val="en-US" w:eastAsia="zh-CN"/>
        </w:rPr>
        <w:t>长春</w:t>
      </w:r>
      <w:r>
        <w:rPr>
          <w:rFonts w:hint="eastAsia" w:ascii="宋体" w:hAnsi="宋体" w:eastAsia="宋体" w:cs="宋体"/>
          <w:sz w:val="21"/>
          <w:szCs w:val="21"/>
        </w:rPr>
        <w:t>市</w:t>
      </w:r>
      <w:r>
        <w:rPr>
          <w:rFonts w:hint="eastAsia" w:ascii="宋体" w:hAnsi="宋体" w:eastAsia="宋体" w:cs="宋体"/>
          <w:sz w:val="21"/>
          <w:szCs w:val="21"/>
          <w:lang w:val="en-US" w:eastAsia="zh-CN"/>
        </w:rPr>
        <w:t>南关区民康路1242号</w:t>
      </w:r>
    </w:p>
    <w:p w14:paraId="0A7427F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联 系 人：李佰钊</w:t>
      </w:r>
    </w:p>
    <w:p w14:paraId="25B8C2B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zh-CN"/>
        </w:rPr>
        <w:t>电    话：0431-88692537</w:t>
      </w:r>
    </w:p>
    <w:sectPr>
      <w:footnotePr>
        <w:numFmt w:val="decimalEnclosedCircleChinese"/>
        <w:numRestart w:val="eachPag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PMingLiU">
    <w:panose1 w:val="02020500000000000000"/>
    <w:charset w:val="88"/>
    <w:family w:val="roman"/>
    <w:pitch w:val="default"/>
    <w:sig w:usb0="A00002FF" w:usb1="28CFFCFA" w:usb2="00000016" w:usb3="00000000" w:csb0="00100001" w:csb1="00000000"/>
  </w:font>
  <w:font w:name="方正超粗黑简体">
    <w:altName w:val="黑体"/>
    <w:panose1 w:val="03000509000000000000"/>
    <w:charset w:val="86"/>
    <w:family w:val="script"/>
    <w:pitch w:val="default"/>
    <w:sig w:usb0="00000000" w:usb1="00000000" w:usb2="00000000" w:usb3="00000000" w:csb0="00040000" w:csb1="00000000"/>
  </w:font>
  <w:font w:name="BatangChe">
    <w:panose1 w:val="02030609000101010101"/>
    <w:charset w:val="81"/>
    <w:family w:val="modern"/>
    <w:pitch w:val="default"/>
    <w:sig w:usb0="B00002AF" w:usb1="69D77CFB" w:usb2="00000030" w:usb3="00000000" w:csb0="4008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15FC9D1B">
      <w:pPr>
        <w:pStyle w:val="9"/>
      </w:pPr>
      <w:r>
        <w:rPr>
          <w:rStyle w:val="13"/>
        </w:rPr>
        <w:footnoteRef/>
      </w:r>
      <w:r>
        <w:rPr>
          <w:rFonts w:hint="eastAsia"/>
        </w:rPr>
        <w:t>本款规定仅适用于根据《关于发布公路工程从业企业资质名录的通知》（厅公路字[2011]114号）要求，招标人应通过名录对投标人资质条件进行审核的公路施工企业。</w:t>
      </w:r>
    </w:p>
  </w:footnote>
  <w:footnote w:id="1">
    <w:p w14:paraId="4FAE817E">
      <w:pPr>
        <w:rPr>
          <w:sz w:val="18"/>
          <w:szCs w:val="18"/>
        </w:rPr>
      </w:pPr>
      <w:r>
        <w:rPr>
          <w:rStyle w:val="13"/>
        </w:rPr>
        <w:footnoteRef/>
      </w:r>
      <w:r>
        <w:rPr>
          <w:rFonts w:hint="eastAsia" w:ascii="宋体" w:hAnsi="宋体" w:cs="宋体"/>
          <w:kern w:val="0"/>
          <w:sz w:val="18"/>
          <w:szCs w:val="18"/>
          <w:lang w:val="zh-CN"/>
        </w:rPr>
        <w:t>本表所列人员不得互相兼职。</w:t>
      </w:r>
    </w:p>
  </w:footnote>
  <w:footnote w:id="2">
    <w:p w14:paraId="07B0EF9A">
      <w:pPr>
        <w:pStyle w:val="9"/>
      </w:pPr>
      <w:r>
        <w:rPr>
          <w:rStyle w:val="13"/>
        </w:rPr>
        <w:footnoteRef/>
      </w:r>
      <w:r>
        <w:rPr>
          <w:rFonts w:hint="eastAsia" w:ascii="BatangChe" w:hAnsi="BatangChe"/>
          <w:b w:val="0"/>
          <w:bCs/>
        </w:rPr>
        <w:t>“</w:t>
      </w:r>
      <w:r>
        <w:rPr>
          <w:rFonts w:hint="eastAsia" w:ascii="BatangChe" w:hAnsi="BatangChe"/>
          <w:b w:val="0"/>
          <w:bCs/>
          <w:spacing w:val="-6"/>
        </w:rPr>
        <w:t>投标人自有人员”指社保缴费证明中缴费单位与投标人名称一致</w:t>
      </w:r>
      <w:r>
        <w:rPr>
          <w:rFonts w:hint="eastAsia" w:ascii="BatangChe" w:hAnsi="BatangChe"/>
          <w:b w:val="0"/>
          <w:bCs/>
          <w:spacing w:val="-6"/>
          <w:lang w:eastAsia="zh-CN"/>
        </w:rPr>
        <w:t>（</w:t>
      </w:r>
      <w:r>
        <w:rPr>
          <w:rFonts w:hint="eastAsia" w:ascii="BatangChe" w:hAnsi="BatangChe"/>
          <w:b w:val="0"/>
          <w:bCs/>
          <w:spacing w:val="-6"/>
          <w:lang w:val="en-US" w:eastAsia="zh-CN"/>
        </w:rPr>
        <w:t>投标人的上级公司、子公司、人力资源服务机构等其他单位缴纳或个人缴纳社会保险均不予认定，分公司缴纳的社会保险可以予以认定</w:t>
      </w:r>
      <w:r>
        <w:rPr>
          <w:rFonts w:hint="eastAsia" w:ascii="BatangChe" w:hAnsi="BatangChe"/>
          <w:b w:val="0"/>
          <w:bCs/>
          <w:spacing w:val="-6"/>
          <w:lang w:eastAsia="zh-CN"/>
        </w:rPr>
        <w:t>）</w:t>
      </w:r>
      <w:r>
        <w:rPr>
          <w:rFonts w:hint="eastAsia" w:ascii="BatangChe" w:hAnsi="BatangChe"/>
          <w:spacing w:val="-6"/>
        </w:rPr>
        <w:t>。</w:t>
      </w:r>
    </w:p>
  </w:footnote>
  <w:footnote w:id="3">
    <w:p w14:paraId="43C1FFD1">
      <w:pPr>
        <w:pStyle w:val="9"/>
      </w:pPr>
      <w:r>
        <w:rPr>
          <w:rStyle w:val="13"/>
        </w:rPr>
        <w:footnoteRef/>
      </w:r>
      <w:r>
        <w:rPr>
          <w:rFonts w:hint="eastAsia" w:ascii="宋体" w:hAnsi="宋体" w:cs="宋体"/>
          <w:lang w:val="zh-CN"/>
        </w:rPr>
        <w:t>公路工程相关专业职称包括公路工程、桥梁工程、公路与桥梁工程、交通土建、隧道（地下结构）工程、交通工程等专业职称。如职称证上无专业，则以毕业证上的专业为准。</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 w:id="8"/>
    <w:footnote w:id="9"/>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NlNmJhZWI0ZDJmODFjNDMwOTU5MGVmZDE2YzJmMjgifQ=="/>
  </w:docVars>
  <w:rsids>
    <w:rsidRoot w:val="00DE1914"/>
    <w:rsid w:val="00007D0D"/>
    <w:rsid w:val="000C7FFE"/>
    <w:rsid w:val="000D45D8"/>
    <w:rsid w:val="00150308"/>
    <w:rsid w:val="0016649D"/>
    <w:rsid w:val="001C5264"/>
    <w:rsid w:val="001F4B00"/>
    <w:rsid w:val="001F767C"/>
    <w:rsid w:val="00250688"/>
    <w:rsid w:val="002B6B2C"/>
    <w:rsid w:val="00316C16"/>
    <w:rsid w:val="003171A3"/>
    <w:rsid w:val="0037455E"/>
    <w:rsid w:val="003C3184"/>
    <w:rsid w:val="003E1571"/>
    <w:rsid w:val="00530DB1"/>
    <w:rsid w:val="00562C9D"/>
    <w:rsid w:val="005C0428"/>
    <w:rsid w:val="00643E44"/>
    <w:rsid w:val="006A39C9"/>
    <w:rsid w:val="006C28DA"/>
    <w:rsid w:val="0072686E"/>
    <w:rsid w:val="00786838"/>
    <w:rsid w:val="008715DB"/>
    <w:rsid w:val="00873F02"/>
    <w:rsid w:val="008E2951"/>
    <w:rsid w:val="008E6FE1"/>
    <w:rsid w:val="009A086D"/>
    <w:rsid w:val="009B01BC"/>
    <w:rsid w:val="009D3B6D"/>
    <w:rsid w:val="00A73217"/>
    <w:rsid w:val="00AB197A"/>
    <w:rsid w:val="00AB5898"/>
    <w:rsid w:val="00B77B1E"/>
    <w:rsid w:val="00BB6447"/>
    <w:rsid w:val="00BE0105"/>
    <w:rsid w:val="00BF0284"/>
    <w:rsid w:val="00C15CD1"/>
    <w:rsid w:val="00C40C09"/>
    <w:rsid w:val="00CA2765"/>
    <w:rsid w:val="00CA3A18"/>
    <w:rsid w:val="00CC109B"/>
    <w:rsid w:val="00D43D36"/>
    <w:rsid w:val="00D57E3A"/>
    <w:rsid w:val="00DC39DC"/>
    <w:rsid w:val="00DE1914"/>
    <w:rsid w:val="00DF2D8E"/>
    <w:rsid w:val="00E16787"/>
    <w:rsid w:val="00E7408A"/>
    <w:rsid w:val="00EA5385"/>
    <w:rsid w:val="00F641C5"/>
    <w:rsid w:val="00F76FA4"/>
    <w:rsid w:val="00FC5FAE"/>
    <w:rsid w:val="00FD038E"/>
    <w:rsid w:val="00FF554C"/>
    <w:rsid w:val="08470D95"/>
    <w:rsid w:val="13ED0F91"/>
    <w:rsid w:val="16762FB3"/>
    <w:rsid w:val="2D122BE1"/>
    <w:rsid w:val="3C1A01E0"/>
    <w:rsid w:val="44284300"/>
    <w:rsid w:val="50BE7306"/>
    <w:rsid w:val="5A78030D"/>
    <w:rsid w:val="613267FE"/>
    <w:rsid w:val="62CC4DE7"/>
    <w:rsid w:val="63304E2E"/>
    <w:rsid w:val="6623322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rPr>
      <w:sz w:val="28"/>
      <w:szCs w:val="24"/>
    </w:rPr>
  </w:style>
  <w:style w:type="paragraph" w:styleId="4">
    <w:name w:val="Body Text Indent"/>
    <w:basedOn w:val="1"/>
    <w:next w:val="5"/>
    <w:link w:val="28"/>
    <w:qFormat/>
    <w:uiPriority w:val="99"/>
    <w:pPr>
      <w:ind w:firstLine="1120" w:firstLineChars="400"/>
    </w:pPr>
    <w:rPr>
      <w:rFonts w:ascii="Times New Roman" w:hAnsi="Times New Roman" w:eastAsia="宋体" w:cs="Times New Roman"/>
      <w:sz w:val="28"/>
      <w:szCs w:val="24"/>
    </w:rPr>
  </w:style>
  <w:style w:type="paragraph" w:styleId="5">
    <w:name w:val="Body Text Indent 2"/>
    <w:basedOn w:val="1"/>
    <w:link w:val="29"/>
    <w:semiHidden/>
    <w:unhideWhenUsed/>
    <w:qFormat/>
    <w:uiPriority w:val="99"/>
    <w:pPr>
      <w:spacing w:after="120" w:line="480" w:lineRule="auto"/>
      <w:ind w:left="420" w:leftChars="200"/>
    </w:pPr>
  </w:style>
  <w:style w:type="paragraph" w:styleId="6">
    <w:name w:val="Plain Text"/>
    <w:basedOn w:val="1"/>
    <w:link w:val="30"/>
    <w:qFormat/>
    <w:uiPriority w:val="99"/>
    <w:rPr>
      <w:rFonts w:ascii="宋体" w:hAnsi="Courier New" w:eastAsia="宋体" w:cs="Times New Roman"/>
      <w:szCs w:val="21"/>
    </w:rPr>
  </w:style>
  <w:style w:type="paragraph" w:styleId="7">
    <w:name w:val="footer"/>
    <w:basedOn w:val="1"/>
    <w:link w:val="24"/>
    <w:autoRedefine/>
    <w:unhideWhenUsed/>
    <w:qFormat/>
    <w:uiPriority w:val="99"/>
    <w:pPr>
      <w:tabs>
        <w:tab w:val="center" w:pos="4153"/>
        <w:tab w:val="right" w:pos="8306"/>
      </w:tabs>
      <w:snapToGrid w:val="0"/>
      <w:jc w:val="left"/>
    </w:pPr>
    <w:rPr>
      <w:sz w:val="18"/>
      <w:szCs w:val="18"/>
    </w:rPr>
  </w:style>
  <w:style w:type="paragraph" w:styleId="8">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16"/>
    <w:autoRedefine/>
    <w:unhideWhenUsed/>
    <w:qFormat/>
    <w:uiPriority w:val="0"/>
    <w:pPr>
      <w:snapToGrid w:val="0"/>
      <w:jc w:val="left"/>
    </w:pPr>
    <w:rPr>
      <w:rFonts w:ascii="Times New Roman" w:hAnsi="Times New Roman" w:eastAsia="宋体" w:cs="Times New Roman"/>
      <w:kern w:val="0"/>
      <w:sz w:val="18"/>
      <w:szCs w:val="18"/>
    </w:rPr>
  </w:style>
  <w:style w:type="paragraph" w:styleId="10">
    <w:name w:val="Body Text First Indent"/>
    <w:basedOn w:val="3"/>
    <w:qFormat/>
    <w:uiPriority w:val="0"/>
    <w:pPr>
      <w:spacing w:line="312" w:lineRule="auto"/>
      <w:ind w:firstLine="420"/>
    </w:pPr>
    <w:rPr>
      <w:rFonts w:ascii="Calibri" w:hAnsi="Calibri"/>
    </w:rPr>
  </w:style>
  <w:style w:type="character" w:styleId="13">
    <w:name w:val="footnote reference"/>
    <w:autoRedefine/>
    <w:qFormat/>
    <w:uiPriority w:val="0"/>
    <w:rPr>
      <w:vertAlign w:val="superscript"/>
    </w:rPr>
  </w:style>
  <w:style w:type="character" w:customStyle="1" w:styleId="14">
    <w:name w:val="其他_"/>
    <w:link w:val="15"/>
    <w:qFormat/>
    <w:uiPriority w:val="0"/>
    <w:rPr>
      <w:rFonts w:ascii="宋体" w:hAnsi="宋体" w:cs="宋体"/>
      <w:shd w:val="clear" w:color="auto" w:fill="FFFFFF"/>
      <w:lang w:val="zh-CN" w:bidi="zh-CN"/>
    </w:rPr>
  </w:style>
  <w:style w:type="paragraph" w:customStyle="1" w:styleId="15">
    <w:name w:val="其他"/>
    <w:basedOn w:val="1"/>
    <w:link w:val="14"/>
    <w:autoRedefine/>
    <w:qFormat/>
    <w:uiPriority w:val="0"/>
    <w:pPr>
      <w:shd w:val="clear" w:color="auto" w:fill="FFFFFF"/>
      <w:spacing w:line="430" w:lineRule="auto"/>
      <w:ind w:firstLine="400"/>
      <w:jc w:val="distribute"/>
    </w:pPr>
    <w:rPr>
      <w:rFonts w:ascii="宋体" w:hAnsi="宋体" w:cs="宋体"/>
      <w:lang w:val="zh-CN" w:bidi="zh-CN"/>
    </w:rPr>
  </w:style>
  <w:style w:type="character" w:customStyle="1" w:styleId="16">
    <w:name w:val="脚注文本 字符"/>
    <w:basedOn w:val="12"/>
    <w:link w:val="9"/>
    <w:qFormat/>
    <w:uiPriority w:val="0"/>
    <w:rPr>
      <w:rFonts w:ascii="Times New Roman" w:hAnsi="Times New Roman" w:eastAsia="宋体" w:cs="Times New Roman"/>
      <w:kern w:val="0"/>
      <w:sz w:val="18"/>
      <w:szCs w:val="18"/>
    </w:rPr>
  </w:style>
  <w:style w:type="character" w:customStyle="1" w:styleId="17">
    <w:name w:val="正文文本 (2)_"/>
    <w:link w:val="18"/>
    <w:autoRedefine/>
    <w:qFormat/>
    <w:uiPriority w:val="0"/>
    <w:rPr>
      <w:rFonts w:ascii="宋体" w:hAnsi="宋体" w:cs="宋体"/>
      <w:sz w:val="22"/>
      <w:shd w:val="clear" w:color="auto" w:fill="FFFFFF"/>
    </w:rPr>
  </w:style>
  <w:style w:type="paragraph" w:customStyle="1" w:styleId="18">
    <w:name w:val="正文文本 (2)"/>
    <w:basedOn w:val="1"/>
    <w:link w:val="17"/>
    <w:autoRedefine/>
    <w:qFormat/>
    <w:uiPriority w:val="0"/>
    <w:pPr>
      <w:shd w:val="clear" w:color="auto" w:fill="FFFFFF"/>
      <w:spacing w:before="300" w:line="439" w:lineRule="exact"/>
      <w:jc w:val="distribute"/>
    </w:pPr>
    <w:rPr>
      <w:rFonts w:ascii="宋体" w:hAnsi="宋体" w:cs="宋体"/>
      <w:sz w:val="22"/>
    </w:rPr>
  </w:style>
  <w:style w:type="paragraph" w:styleId="19">
    <w:name w:val="List Paragraph"/>
    <w:basedOn w:val="1"/>
    <w:qFormat/>
    <w:uiPriority w:val="34"/>
    <w:pPr>
      <w:ind w:firstLine="420" w:firstLineChars="200"/>
    </w:pPr>
    <w:rPr>
      <w:rFonts w:ascii="Times New Roman" w:hAnsi="Times New Roman" w:eastAsia="宋体" w:cs="Times New Roman"/>
    </w:rPr>
  </w:style>
  <w:style w:type="character" w:customStyle="1" w:styleId="20">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character" w:customStyle="1" w:styleId="21">
    <w:name w:val="正文文本 (2) + 10 pt"/>
    <w:autoRedefine/>
    <w:qFormat/>
    <w:uiPriority w:val="0"/>
    <w:rPr>
      <w:rFonts w:ascii="MingLiU" w:hAnsi="MingLiU" w:eastAsia="MingLiU" w:cs="MingLiU"/>
      <w:b/>
      <w:bCs/>
      <w:color w:val="000000"/>
      <w:spacing w:val="0"/>
      <w:w w:val="100"/>
      <w:position w:val="0"/>
      <w:sz w:val="20"/>
      <w:szCs w:val="20"/>
      <w:u w:val="none"/>
      <w:lang w:val="zh-TW" w:eastAsia="zh-TW" w:bidi="zh-TW"/>
    </w:rPr>
  </w:style>
  <w:style w:type="character" w:customStyle="1" w:styleId="22">
    <w:name w:val="正文文本 (2) + 9 pt"/>
    <w:autoRedefine/>
    <w:qFormat/>
    <w:uiPriority w:val="0"/>
    <w:rPr>
      <w:rFonts w:ascii="MingLiU" w:hAnsi="MingLiU" w:eastAsia="MingLiU" w:cs="MingLiU"/>
      <w:color w:val="000000"/>
      <w:spacing w:val="0"/>
      <w:w w:val="100"/>
      <w:position w:val="0"/>
      <w:sz w:val="18"/>
      <w:szCs w:val="18"/>
      <w:u w:val="none"/>
      <w:shd w:val="clear" w:color="auto" w:fill="FFFFFF"/>
      <w:lang w:val="en-US" w:eastAsia="en-US" w:bidi="en-US"/>
    </w:rPr>
  </w:style>
  <w:style w:type="character" w:customStyle="1" w:styleId="23">
    <w:name w:val="页眉 字符"/>
    <w:basedOn w:val="12"/>
    <w:link w:val="8"/>
    <w:qFormat/>
    <w:uiPriority w:val="99"/>
    <w:rPr>
      <w:sz w:val="18"/>
      <w:szCs w:val="18"/>
    </w:rPr>
  </w:style>
  <w:style w:type="character" w:customStyle="1" w:styleId="24">
    <w:name w:val="页脚 字符"/>
    <w:basedOn w:val="12"/>
    <w:link w:val="7"/>
    <w:autoRedefine/>
    <w:qFormat/>
    <w:uiPriority w:val="99"/>
    <w:rPr>
      <w:sz w:val="18"/>
      <w:szCs w:val="18"/>
    </w:rPr>
  </w:style>
  <w:style w:type="paragraph" w:customStyle="1" w:styleId="25">
    <w:name w:val="MSG_EN_FONT_STYLE_NAME_TEMPLATE_ROLE_NUMBER MSG_EN_FONT_STYLE_NAME_BY_ROLE_TEXT 131"/>
    <w:basedOn w:val="1"/>
    <w:link w:val="31"/>
    <w:autoRedefine/>
    <w:qFormat/>
    <w:uiPriority w:val="0"/>
    <w:pPr>
      <w:shd w:val="clear" w:color="auto" w:fill="FFFFFF"/>
      <w:spacing w:before="340" w:after="160" w:line="398" w:lineRule="exact"/>
      <w:jc w:val="distribute"/>
    </w:pPr>
    <w:rPr>
      <w:rFonts w:ascii="PMingLiU" w:hAnsi="PMingLiU" w:eastAsia="PMingLiU" w:cs="PMingLiU"/>
      <w:kern w:val="0"/>
      <w:sz w:val="20"/>
      <w:szCs w:val="20"/>
    </w:rPr>
  </w:style>
  <w:style w:type="character" w:customStyle="1" w:styleId="26">
    <w:name w:val="MSG_EN_FONT_STYLE_NAME_TEMPLATE_ROLE_NUMBER MSG_EN_FONT_STYLE_NAME_BY_ROLE_TEXT 13 + MSG_EN_FONT_STYLE_MODIFER_SIZE 8.5"/>
    <w:autoRedefine/>
    <w:qFormat/>
    <w:uiPriority w:val="0"/>
    <w:rPr>
      <w:rFonts w:ascii="PMingLiU" w:hAnsi="PMingLiU" w:eastAsia="PMingLiU" w:cs="PMingLiU"/>
      <w:color w:val="000000"/>
      <w:spacing w:val="0"/>
      <w:w w:val="100"/>
      <w:position w:val="0"/>
      <w:sz w:val="17"/>
      <w:szCs w:val="17"/>
      <w:u w:val="none"/>
      <w:shd w:val="clear" w:color="auto" w:fill="FFFFFF"/>
      <w:lang w:val="zh-CN" w:eastAsia="zh-CN" w:bidi="zh-CN"/>
    </w:rPr>
  </w:style>
  <w:style w:type="paragraph" w:customStyle="1" w:styleId="27">
    <w:name w:val="MSG_EN_FONT_STYLE_NAME_TEMPLATE_ROLE_NUMBER MSG_EN_FONT_STYLE_NAME_BY_ROLE_TEXT 5"/>
    <w:basedOn w:val="1"/>
    <w:link w:val="32"/>
    <w:autoRedefine/>
    <w:qFormat/>
    <w:uiPriority w:val="0"/>
    <w:pPr>
      <w:shd w:val="clear" w:color="auto" w:fill="FFFFFF"/>
      <w:spacing w:before="5120" w:line="170" w:lineRule="exact"/>
      <w:jc w:val="left"/>
    </w:pPr>
    <w:rPr>
      <w:rFonts w:ascii="PMingLiU" w:hAnsi="PMingLiU" w:eastAsia="PMingLiU" w:cs="PMingLiU"/>
      <w:kern w:val="0"/>
      <w:sz w:val="17"/>
      <w:szCs w:val="17"/>
    </w:rPr>
  </w:style>
  <w:style w:type="character" w:customStyle="1" w:styleId="28">
    <w:name w:val="正文文本缩进 字符"/>
    <w:basedOn w:val="12"/>
    <w:link w:val="4"/>
    <w:qFormat/>
    <w:uiPriority w:val="99"/>
    <w:rPr>
      <w:rFonts w:ascii="Times New Roman" w:hAnsi="Times New Roman" w:eastAsia="宋体" w:cs="Times New Roman"/>
      <w:kern w:val="2"/>
      <w:sz w:val="28"/>
      <w:szCs w:val="24"/>
    </w:rPr>
  </w:style>
  <w:style w:type="character" w:customStyle="1" w:styleId="29">
    <w:name w:val="正文文本缩进 2 字符"/>
    <w:basedOn w:val="12"/>
    <w:link w:val="5"/>
    <w:semiHidden/>
    <w:qFormat/>
    <w:uiPriority w:val="99"/>
    <w:rPr>
      <w:kern w:val="2"/>
      <w:sz w:val="21"/>
      <w:szCs w:val="22"/>
    </w:rPr>
  </w:style>
  <w:style w:type="character" w:customStyle="1" w:styleId="30">
    <w:name w:val="纯文本 字符"/>
    <w:basedOn w:val="12"/>
    <w:link w:val="6"/>
    <w:qFormat/>
    <w:uiPriority w:val="99"/>
    <w:rPr>
      <w:rFonts w:ascii="宋体" w:hAnsi="Courier New" w:eastAsia="宋体" w:cs="Times New Roman"/>
      <w:kern w:val="2"/>
      <w:sz w:val="21"/>
      <w:szCs w:val="21"/>
    </w:rPr>
  </w:style>
  <w:style w:type="character" w:customStyle="1" w:styleId="31">
    <w:name w:val="MSG_EN_FONT_STYLE_NAME_TEMPLATE_ROLE_NUMBER MSG_EN_FONT_STYLE_NAME_BY_ROLE_TEXT 13_"/>
    <w:link w:val="25"/>
    <w:qFormat/>
    <w:uiPriority w:val="0"/>
    <w:rPr>
      <w:rFonts w:ascii="PMingLiU" w:hAnsi="PMingLiU" w:eastAsia="PMingLiU" w:cs="PMingLiU"/>
      <w:shd w:val="clear" w:color="auto" w:fill="FFFFFF"/>
    </w:rPr>
  </w:style>
  <w:style w:type="character" w:customStyle="1" w:styleId="32">
    <w:name w:val="MSG_EN_FONT_STYLE_NAME_TEMPLATE_ROLE_NUMBER MSG_EN_FONT_STYLE_NAME_BY_ROLE_TEXT 5_"/>
    <w:link w:val="27"/>
    <w:qFormat/>
    <w:uiPriority w:val="0"/>
    <w:rPr>
      <w:rFonts w:ascii="PMingLiU" w:hAnsi="PMingLiU" w:eastAsia="PMingLiU" w:cs="PMingLiU"/>
      <w:sz w:val="17"/>
      <w:szCs w:val="17"/>
      <w:shd w:val="clear" w:color="auto" w:fill="FFFFFF"/>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D1415-EB3F-4E4B-8E9A-7202B2D1D16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1886</Words>
  <Characters>2029</Characters>
  <Lines>39</Lines>
  <Paragraphs>11</Paragraphs>
  <TotalTime>1</TotalTime>
  <ScaleCrop>false</ScaleCrop>
  <LinksUpToDate>false</LinksUpToDate>
  <CharactersWithSpaces>2043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2021-08-02T04:08:00Z</dcterms:created>
  <dc:creator>微软用户</dc:creator>
  <cp:lastModifiedBy>丁聪</cp:lastModifiedBy>
  <dcterms:modified xsi:type="dcterms:W3CDTF">2026-09-22T07:31:09Z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97B25FE1A566477186C8543FFB10435D_12</vt:lpwstr>
  </property>
  <property fmtid="{D5CDD505-2E9C-101B-9397-08002B2CF9AE}" pid="4" name="KSOTemplateDocerSaveRecord">
    <vt:lpwstr>eyJoZGlkIjoiYzA1Y2IwMGUwOTFkODdiMzk0YjlkMmEyYTgwYWJjNzEiLCJ1c2VySWQiOiIyNDUwODQ0ODUifQ==</vt:lpwstr>
  </property>
</Properties>
</file>