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41CA4A">
      <w:pPr>
        <w:keepLines w:val="0"/>
        <w:kinsoku/>
        <w:wordWrap/>
        <w:overflowPunct/>
        <w:topLinePunct w:val="0"/>
        <w:bidi w:val="0"/>
        <w:spacing w:line="360" w:lineRule="exact"/>
        <w:jc w:val="center"/>
        <w:textAlignment w:val="auto"/>
        <w:rPr>
          <w:rFonts w:hint="eastAsia" w:ascii="宋体" w:hAnsi="宋体" w:eastAsia="宋体" w:cs="宋体"/>
          <w:b/>
          <w:sz w:val="21"/>
          <w:szCs w:val="21"/>
        </w:rPr>
      </w:pPr>
      <w:bookmarkStart w:id="0" w:name="_Hlk141166984"/>
      <w:r>
        <w:rPr>
          <w:rFonts w:hint="eastAsia" w:ascii="宋体" w:hAnsi="宋体" w:eastAsia="宋体" w:cs="宋体"/>
          <w:b/>
          <w:sz w:val="21"/>
          <w:szCs w:val="21"/>
          <w:lang w:val="en-US" w:eastAsia="zh-CN"/>
        </w:rPr>
        <w:t>白山市2026年G201国道鹤大公路南甸子至汤河口段</w:t>
      </w:r>
      <w:r>
        <w:rPr>
          <w:rFonts w:hint="eastAsia" w:ascii="宋体" w:hAnsi="宋体" w:eastAsia="宋体" w:cs="宋体"/>
          <w:b/>
          <w:sz w:val="21"/>
          <w:szCs w:val="21"/>
          <w:lang w:eastAsia="zh-CN"/>
        </w:rPr>
        <w:t>路面提质工程</w:t>
      </w:r>
      <w:r>
        <w:rPr>
          <w:rFonts w:hint="eastAsia" w:ascii="宋体" w:hAnsi="宋体" w:eastAsia="宋体" w:cs="宋体"/>
          <w:b/>
          <w:sz w:val="21"/>
          <w:szCs w:val="21"/>
          <w:lang w:val="en-US" w:eastAsia="zh-CN"/>
        </w:rPr>
        <w:t>施工</w:t>
      </w:r>
      <w:r>
        <w:rPr>
          <w:rFonts w:hint="eastAsia" w:ascii="宋体" w:hAnsi="宋体" w:eastAsia="宋体" w:cs="宋体"/>
          <w:b/>
          <w:sz w:val="21"/>
          <w:szCs w:val="21"/>
          <w:lang w:eastAsia="zh-CN"/>
        </w:rPr>
        <w:t>招标</w:t>
      </w:r>
      <w:bookmarkEnd w:id="0"/>
      <w:r>
        <w:rPr>
          <w:rFonts w:hint="eastAsia" w:ascii="宋体" w:hAnsi="宋体" w:eastAsia="宋体" w:cs="宋体"/>
          <w:b/>
          <w:sz w:val="21"/>
          <w:szCs w:val="21"/>
        </w:rPr>
        <w:t>文件公开内容</w:t>
      </w:r>
    </w:p>
    <w:p w14:paraId="5BFA3234">
      <w:pPr>
        <w:keepLines w:val="0"/>
        <w:tabs>
          <w:tab w:val="center" w:pos="4819"/>
        </w:tabs>
        <w:kinsoku/>
        <w:wordWrap/>
        <w:overflowPunct/>
        <w:topLinePunct w:val="0"/>
        <w:bidi w:val="0"/>
        <w:spacing w:line="360" w:lineRule="exact"/>
        <w:textAlignment w:val="auto"/>
        <w:rPr>
          <w:rFonts w:hint="eastAsia" w:ascii="宋体" w:hAnsi="宋体" w:eastAsia="宋体" w:cs="宋体"/>
          <w:b/>
          <w:sz w:val="21"/>
          <w:szCs w:val="21"/>
        </w:rPr>
      </w:pPr>
      <w:r>
        <w:rPr>
          <w:rFonts w:hint="eastAsia" w:ascii="宋体" w:hAnsi="宋体" w:eastAsia="宋体" w:cs="宋体"/>
          <w:b/>
          <w:sz w:val="21"/>
          <w:szCs w:val="21"/>
        </w:rPr>
        <w:t>一、项目概况与招标范围</w:t>
      </w:r>
      <w:r>
        <w:rPr>
          <w:rFonts w:hint="eastAsia" w:ascii="宋体" w:hAnsi="宋体" w:eastAsia="宋体" w:cs="宋体"/>
          <w:b/>
          <w:sz w:val="21"/>
          <w:szCs w:val="21"/>
        </w:rPr>
        <w:tab/>
      </w:r>
    </w:p>
    <w:p w14:paraId="2864CD02">
      <w:pPr>
        <w:keepLines w:val="0"/>
        <w:kinsoku/>
        <w:wordWrap/>
        <w:overflowPunct/>
        <w:topLinePunct w:val="0"/>
        <w:bidi w:val="0"/>
        <w:spacing w:line="36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    详见招标公告</w:t>
      </w:r>
    </w:p>
    <w:p w14:paraId="3E199095">
      <w:pPr>
        <w:keepLines w:val="0"/>
        <w:kinsoku/>
        <w:wordWrap/>
        <w:overflowPunct/>
        <w:topLinePunct w:val="0"/>
        <w:bidi w:val="0"/>
        <w:spacing w:line="360" w:lineRule="exact"/>
        <w:textAlignment w:val="auto"/>
        <w:rPr>
          <w:rFonts w:hint="eastAsia" w:ascii="宋体" w:hAnsi="宋体" w:eastAsia="宋体" w:cs="宋体"/>
          <w:b/>
          <w:sz w:val="21"/>
          <w:szCs w:val="21"/>
        </w:rPr>
      </w:pPr>
      <w:r>
        <w:rPr>
          <w:rFonts w:hint="eastAsia" w:ascii="宋体" w:hAnsi="宋体" w:eastAsia="宋体" w:cs="宋体"/>
          <w:b/>
          <w:sz w:val="21"/>
          <w:szCs w:val="21"/>
        </w:rPr>
        <w:t>二、投标人资格要求</w:t>
      </w:r>
    </w:p>
    <w:p w14:paraId="75CC6936">
      <w:pPr>
        <w:keepLines w:val="0"/>
        <w:kinsoku/>
        <w:wordWrap/>
        <w:overflowPunct/>
        <w:topLinePunct w:val="0"/>
        <w:bidi w:val="0"/>
        <w:spacing w:line="36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    投标人须知前附表（投标人资格要求部分）</w:t>
      </w:r>
    </w:p>
    <w:tbl>
      <w:tblPr>
        <w:tblStyle w:val="11"/>
        <w:tblW w:w="9475" w:type="dxa"/>
        <w:jc w:val="center"/>
        <w:tblLayout w:type="fixed"/>
        <w:tblCellMar>
          <w:top w:w="0" w:type="dxa"/>
          <w:left w:w="28" w:type="dxa"/>
          <w:bottom w:w="0" w:type="dxa"/>
          <w:right w:w="28" w:type="dxa"/>
        </w:tblCellMar>
      </w:tblPr>
      <w:tblGrid>
        <w:gridCol w:w="953"/>
        <w:gridCol w:w="2006"/>
        <w:gridCol w:w="6516"/>
      </w:tblGrid>
      <w:tr w14:paraId="50334ED8">
        <w:tblPrEx>
          <w:tblCellMar>
            <w:top w:w="0" w:type="dxa"/>
            <w:left w:w="28" w:type="dxa"/>
            <w:bottom w:w="0" w:type="dxa"/>
            <w:right w:w="28" w:type="dxa"/>
          </w:tblCellMar>
        </w:tblPrEx>
        <w:trPr>
          <w:trHeight w:val="567" w:hRule="atLeast"/>
          <w:jc w:val="center"/>
        </w:trPr>
        <w:tc>
          <w:tcPr>
            <w:tcW w:w="953" w:type="dxa"/>
            <w:tcBorders>
              <w:top w:val="single" w:color="000000" w:sz="4" w:space="0"/>
              <w:left w:val="single" w:color="auto" w:sz="12" w:space="0"/>
              <w:bottom w:val="single" w:color="000000" w:sz="4" w:space="0"/>
              <w:right w:val="single" w:color="000000" w:sz="4" w:space="0"/>
            </w:tcBorders>
            <w:vAlign w:val="center"/>
          </w:tcPr>
          <w:p w14:paraId="3DED2897">
            <w:pPr>
              <w:keepLines w:val="0"/>
              <w:kinsoku/>
              <w:wordWrap/>
              <w:overflowPunct/>
              <w:topLinePunct w:val="0"/>
              <w:bidi w:val="0"/>
              <w:adjustRightInd w:val="0"/>
              <w:snapToGrid w:val="0"/>
              <w:spacing w:before="100" w:beforeAutospacing="1" w:after="100" w:afterAutospacing="1" w:line="36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条款号</w:t>
            </w:r>
          </w:p>
        </w:tc>
        <w:tc>
          <w:tcPr>
            <w:tcW w:w="2006" w:type="dxa"/>
            <w:tcBorders>
              <w:top w:val="single" w:color="000000" w:sz="4" w:space="0"/>
              <w:left w:val="single" w:color="000000" w:sz="4" w:space="0"/>
              <w:bottom w:val="single" w:color="000000" w:sz="4" w:space="0"/>
              <w:right w:val="single" w:color="000000" w:sz="4" w:space="0"/>
            </w:tcBorders>
            <w:vAlign w:val="center"/>
          </w:tcPr>
          <w:p w14:paraId="4E3AF8F4">
            <w:pPr>
              <w:keepLines w:val="0"/>
              <w:kinsoku/>
              <w:wordWrap/>
              <w:overflowPunct/>
              <w:topLinePunct w:val="0"/>
              <w:bidi w:val="0"/>
              <w:spacing w:line="36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条款名称</w:t>
            </w:r>
          </w:p>
        </w:tc>
        <w:tc>
          <w:tcPr>
            <w:tcW w:w="6516" w:type="dxa"/>
            <w:tcBorders>
              <w:top w:val="single" w:color="000000" w:sz="4" w:space="0"/>
              <w:left w:val="single" w:color="000000" w:sz="4" w:space="0"/>
              <w:bottom w:val="single" w:color="000000" w:sz="4" w:space="0"/>
              <w:right w:val="single" w:color="auto" w:sz="12" w:space="0"/>
            </w:tcBorders>
            <w:vAlign w:val="center"/>
          </w:tcPr>
          <w:p w14:paraId="476D8926">
            <w:pPr>
              <w:keepLines w:val="0"/>
              <w:kinsoku/>
              <w:wordWrap/>
              <w:overflowPunct/>
              <w:topLinePunct w:val="0"/>
              <w:bidi w:val="0"/>
              <w:spacing w:line="36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编列内容</w:t>
            </w:r>
          </w:p>
        </w:tc>
      </w:tr>
      <w:tr w14:paraId="2CA833FA">
        <w:tblPrEx>
          <w:tblCellMar>
            <w:top w:w="0" w:type="dxa"/>
            <w:left w:w="28" w:type="dxa"/>
            <w:bottom w:w="0" w:type="dxa"/>
            <w:right w:w="28" w:type="dxa"/>
          </w:tblCellMar>
        </w:tblPrEx>
        <w:trPr>
          <w:trHeight w:val="567" w:hRule="atLeast"/>
          <w:jc w:val="center"/>
        </w:trPr>
        <w:tc>
          <w:tcPr>
            <w:tcW w:w="953" w:type="dxa"/>
            <w:tcBorders>
              <w:top w:val="single" w:color="000000" w:sz="4" w:space="0"/>
              <w:left w:val="single" w:color="auto" w:sz="12" w:space="0"/>
              <w:bottom w:val="single" w:color="000000" w:sz="4" w:space="0"/>
              <w:right w:val="single" w:color="000000" w:sz="4" w:space="0"/>
            </w:tcBorders>
            <w:vAlign w:val="center"/>
          </w:tcPr>
          <w:p w14:paraId="5B649EB7">
            <w:pPr>
              <w:keepLines w:val="0"/>
              <w:kinsoku/>
              <w:wordWrap/>
              <w:overflowPunct/>
              <w:topLinePunct w:val="0"/>
              <w:bidi w:val="0"/>
              <w:adjustRightInd w:val="0"/>
              <w:snapToGrid w:val="0"/>
              <w:spacing w:before="100" w:beforeAutospacing="1" w:after="100" w:afterAutospacing="1" w:line="360" w:lineRule="exact"/>
              <w:jc w:val="center"/>
              <w:textAlignment w:val="auto"/>
              <w:rPr>
                <w:rFonts w:hint="eastAsia" w:ascii="宋体" w:hAnsi="宋体" w:eastAsia="宋体" w:cs="宋体"/>
                <w:sz w:val="21"/>
                <w:szCs w:val="21"/>
              </w:rPr>
            </w:pPr>
            <w:r>
              <w:rPr>
                <w:rFonts w:hint="eastAsia" w:ascii="宋体" w:hAnsi="宋体" w:eastAsia="宋体" w:cs="宋体"/>
                <w:color w:val="auto"/>
                <w:sz w:val="21"/>
                <w:szCs w:val="21"/>
                <w:highlight w:val="none"/>
              </w:rPr>
              <w:t>1.4.1</w:t>
            </w:r>
          </w:p>
        </w:tc>
        <w:tc>
          <w:tcPr>
            <w:tcW w:w="2006" w:type="dxa"/>
            <w:tcBorders>
              <w:top w:val="single" w:color="000000" w:sz="4" w:space="0"/>
              <w:left w:val="single" w:color="000000" w:sz="4" w:space="0"/>
              <w:bottom w:val="single" w:color="000000" w:sz="4" w:space="0"/>
              <w:right w:val="single" w:color="000000" w:sz="4" w:space="0"/>
            </w:tcBorders>
            <w:vAlign w:val="center"/>
          </w:tcPr>
          <w:p w14:paraId="34A7E196">
            <w:pPr>
              <w:keepLines w:val="0"/>
              <w:kinsoku/>
              <w:wordWrap/>
              <w:overflowPunct/>
              <w:topLinePunct w:val="0"/>
              <w:bidi w:val="0"/>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投标人资质条件、</w:t>
            </w:r>
          </w:p>
          <w:p w14:paraId="2C90FA1F">
            <w:pPr>
              <w:keepLines w:val="0"/>
              <w:kinsoku/>
              <w:wordWrap/>
              <w:overflowPunct/>
              <w:topLinePunct w:val="0"/>
              <w:bidi w:val="0"/>
              <w:spacing w:line="360" w:lineRule="exact"/>
              <w:jc w:val="center"/>
              <w:textAlignment w:val="auto"/>
              <w:rPr>
                <w:rFonts w:hint="eastAsia" w:ascii="宋体" w:hAnsi="宋体" w:eastAsia="宋体" w:cs="宋体"/>
                <w:sz w:val="21"/>
                <w:szCs w:val="21"/>
              </w:rPr>
            </w:pPr>
            <w:r>
              <w:rPr>
                <w:rFonts w:hint="eastAsia" w:ascii="宋体" w:hAnsi="宋体" w:eastAsia="宋体" w:cs="宋体"/>
                <w:color w:val="auto"/>
                <w:sz w:val="21"/>
                <w:szCs w:val="21"/>
                <w:highlight w:val="none"/>
              </w:rPr>
              <w:t>能力和信誉</w:t>
            </w:r>
          </w:p>
        </w:tc>
        <w:tc>
          <w:tcPr>
            <w:tcW w:w="6516" w:type="dxa"/>
            <w:tcBorders>
              <w:top w:val="single" w:color="000000" w:sz="4" w:space="0"/>
              <w:left w:val="single" w:color="000000" w:sz="4" w:space="0"/>
              <w:bottom w:val="single" w:color="000000" w:sz="4" w:space="0"/>
              <w:right w:val="single" w:color="auto" w:sz="12" w:space="0"/>
            </w:tcBorders>
            <w:vAlign w:val="center"/>
          </w:tcPr>
          <w:p w14:paraId="7E1337E2">
            <w:pPr>
              <w:keepLines w:val="0"/>
              <w:kinsoku/>
              <w:wordWrap/>
              <w:overflowPunct/>
              <w:topLinePunct w:val="0"/>
              <w:bidi w:val="0"/>
              <w:spacing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资质</w:t>
            </w:r>
            <w:r>
              <w:rPr>
                <w:rFonts w:hint="eastAsia" w:ascii="宋体" w:hAnsi="宋体" w:eastAsia="宋体" w:cs="宋体"/>
                <w:color w:val="auto"/>
                <w:sz w:val="21"/>
                <w:szCs w:val="21"/>
                <w:highlight w:val="none"/>
                <w:lang w:val="en-US" w:eastAsia="zh-CN"/>
              </w:rPr>
              <w:t>要求</w:t>
            </w:r>
            <w:r>
              <w:rPr>
                <w:rFonts w:hint="eastAsia" w:ascii="宋体" w:hAnsi="宋体" w:eastAsia="宋体" w:cs="宋体"/>
                <w:color w:val="auto"/>
                <w:sz w:val="21"/>
                <w:szCs w:val="21"/>
                <w:highlight w:val="none"/>
              </w:rPr>
              <w:t>：见附录1</w:t>
            </w:r>
          </w:p>
          <w:p w14:paraId="007F5E9A">
            <w:pPr>
              <w:keepLines w:val="0"/>
              <w:kinsoku/>
              <w:wordWrap/>
              <w:overflowPunct/>
              <w:topLinePunct w:val="0"/>
              <w:bidi w:val="0"/>
              <w:spacing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财务要求：见附录2</w:t>
            </w:r>
          </w:p>
          <w:p w14:paraId="4423B005">
            <w:pPr>
              <w:keepLines w:val="0"/>
              <w:kinsoku/>
              <w:wordWrap/>
              <w:overflowPunct/>
              <w:topLinePunct w:val="0"/>
              <w:bidi w:val="0"/>
              <w:spacing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业绩要求：见附录3</w:t>
            </w:r>
          </w:p>
          <w:p w14:paraId="55C7A577">
            <w:pPr>
              <w:keepLines w:val="0"/>
              <w:kinsoku/>
              <w:wordWrap/>
              <w:overflowPunct/>
              <w:topLinePunct w:val="0"/>
              <w:bidi w:val="0"/>
              <w:spacing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信誉要求：见附录4</w:t>
            </w:r>
          </w:p>
          <w:p w14:paraId="3176690B">
            <w:pPr>
              <w:keepLines w:val="0"/>
              <w:kinsoku/>
              <w:wordWrap/>
              <w:overflowPunct/>
              <w:topLinePunct w:val="0"/>
              <w:bidi w:val="0"/>
              <w:spacing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项目经理经历和项目总工资格：见附录5</w:t>
            </w:r>
          </w:p>
          <w:p w14:paraId="5C016FC3">
            <w:pPr>
              <w:keepLines w:val="0"/>
              <w:kinsoku/>
              <w:wordWrap/>
              <w:overflowPunct/>
              <w:topLinePunct w:val="0"/>
              <w:bidi w:val="0"/>
              <w:spacing w:line="360" w:lineRule="exact"/>
              <w:textAlignment w:val="auto"/>
              <w:rPr>
                <w:rFonts w:hint="eastAsia" w:ascii="宋体" w:hAnsi="宋体" w:eastAsia="宋体" w:cs="宋体"/>
                <w:sz w:val="21"/>
                <w:szCs w:val="21"/>
              </w:rPr>
            </w:pPr>
            <w:r>
              <w:rPr>
                <w:rFonts w:hint="eastAsia" w:ascii="宋体" w:hAnsi="宋体" w:eastAsia="宋体" w:cs="宋体"/>
                <w:color w:val="auto"/>
                <w:sz w:val="21"/>
                <w:szCs w:val="21"/>
                <w:highlight w:val="none"/>
              </w:rPr>
              <w:t>其他要求：无</w:t>
            </w:r>
          </w:p>
        </w:tc>
      </w:tr>
      <w:tr w14:paraId="62D62B33">
        <w:tblPrEx>
          <w:tblCellMar>
            <w:top w:w="0" w:type="dxa"/>
            <w:left w:w="28" w:type="dxa"/>
            <w:bottom w:w="0" w:type="dxa"/>
            <w:right w:w="28" w:type="dxa"/>
          </w:tblCellMar>
        </w:tblPrEx>
        <w:trPr>
          <w:trHeight w:val="567" w:hRule="atLeast"/>
          <w:jc w:val="center"/>
        </w:trPr>
        <w:tc>
          <w:tcPr>
            <w:tcW w:w="953" w:type="dxa"/>
            <w:tcBorders>
              <w:top w:val="single" w:color="000000" w:sz="4" w:space="0"/>
              <w:left w:val="single" w:color="auto" w:sz="12" w:space="0"/>
              <w:bottom w:val="single" w:color="000000" w:sz="4" w:space="0"/>
              <w:right w:val="single" w:color="000000" w:sz="4" w:space="0"/>
            </w:tcBorders>
            <w:vAlign w:val="center"/>
          </w:tcPr>
          <w:p w14:paraId="4BDEBA49">
            <w:pPr>
              <w:keepLines w:val="0"/>
              <w:kinsoku/>
              <w:wordWrap/>
              <w:overflowPunct/>
              <w:topLinePunct w:val="0"/>
              <w:bidi w:val="0"/>
              <w:adjustRightInd w:val="0"/>
              <w:snapToGrid w:val="0"/>
              <w:spacing w:before="100" w:beforeAutospacing="1" w:after="100" w:afterAutospacing="1" w:line="360" w:lineRule="exact"/>
              <w:jc w:val="center"/>
              <w:textAlignment w:val="auto"/>
              <w:rPr>
                <w:rFonts w:hint="eastAsia" w:ascii="宋体" w:hAnsi="宋体" w:eastAsia="宋体" w:cs="宋体"/>
                <w:sz w:val="21"/>
                <w:szCs w:val="21"/>
              </w:rPr>
            </w:pPr>
            <w:r>
              <w:rPr>
                <w:rFonts w:hint="eastAsia" w:ascii="宋体" w:hAnsi="宋体" w:eastAsia="宋体" w:cs="宋体"/>
                <w:color w:val="auto"/>
                <w:sz w:val="21"/>
                <w:szCs w:val="21"/>
                <w:highlight w:val="none"/>
              </w:rPr>
              <w:t>1.4.2</w:t>
            </w:r>
          </w:p>
        </w:tc>
        <w:tc>
          <w:tcPr>
            <w:tcW w:w="2006" w:type="dxa"/>
            <w:tcBorders>
              <w:top w:val="single" w:color="000000" w:sz="4" w:space="0"/>
              <w:left w:val="single" w:color="000000" w:sz="4" w:space="0"/>
              <w:bottom w:val="single" w:color="000000" w:sz="4" w:space="0"/>
              <w:right w:val="single" w:color="000000" w:sz="4" w:space="0"/>
            </w:tcBorders>
            <w:vAlign w:val="center"/>
          </w:tcPr>
          <w:p w14:paraId="3A9D72C3">
            <w:pPr>
              <w:keepLines w:val="0"/>
              <w:kinsoku/>
              <w:wordWrap/>
              <w:overflowPunct/>
              <w:topLinePunct w:val="0"/>
              <w:bidi w:val="0"/>
              <w:spacing w:line="360" w:lineRule="exact"/>
              <w:jc w:val="center"/>
              <w:textAlignment w:val="auto"/>
              <w:rPr>
                <w:rFonts w:hint="eastAsia" w:ascii="宋体" w:hAnsi="宋体" w:eastAsia="宋体" w:cs="宋体"/>
                <w:sz w:val="21"/>
                <w:szCs w:val="21"/>
              </w:rPr>
            </w:pPr>
            <w:r>
              <w:rPr>
                <w:rFonts w:hint="eastAsia" w:ascii="宋体" w:hAnsi="宋体" w:eastAsia="宋体" w:cs="宋体"/>
                <w:color w:val="auto"/>
                <w:sz w:val="21"/>
                <w:szCs w:val="21"/>
                <w:highlight w:val="none"/>
              </w:rPr>
              <w:t>是否接受联合体投标</w:t>
            </w:r>
          </w:p>
        </w:tc>
        <w:tc>
          <w:tcPr>
            <w:tcW w:w="6516" w:type="dxa"/>
            <w:tcBorders>
              <w:top w:val="single" w:color="000000" w:sz="4" w:space="0"/>
              <w:left w:val="single" w:color="000000" w:sz="4" w:space="0"/>
              <w:bottom w:val="single" w:color="000000" w:sz="4" w:space="0"/>
              <w:right w:val="single" w:color="auto" w:sz="12" w:space="0"/>
            </w:tcBorders>
            <w:vAlign w:val="center"/>
          </w:tcPr>
          <w:p w14:paraId="7A0D3965">
            <w:pPr>
              <w:keepLines w:val="0"/>
              <w:kinsoku/>
              <w:wordWrap/>
              <w:overflowPunct/>
              <w:topLinePunct w:val="0"/>
              <w:bidi w:val="0"/>
              <w:spacing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zh-CN"/>
              </w:rPr>
              <w:fldChar w:fldCharType="begin"/>
            </w:r>
            <w:r>
              <w:rPr>
                <w:rFonts w:hint="eastAsia" w:ascii="宋体" w:hAnsi="宋体" w:eastAsia="宋体" w:cs="宋体"/>
                <w:color w:val="auto"/>
                <w:sz w:val="21"/>
                <w:szCs w:val="21"/>
                <w:highlight w:val="none"/>
                <w:lang w:val="zh-CN"/>
              </w:rPr>
              <w:instrText xml:space="preserve"> eq \o\ac(</w:instrText>
            </w:r>
            <w:r>
              <w:rPr>
                <w:rFonts w:hint="eastAsia" w:ascii="宋体" w:hAnsi="宋体" w:eastAsia="宋体" w:cs="宋体"/>
                <w:color w:val="auto"/>
                <w:position w:val="-4"/>
                <w:sz w:val="31"/>
                <w:szCs w:val="21"/>
                <w:highlight w:val="none"/>
                <w:lang w:val="zh-CN"/>
              </w:rPr>
              <w:instrText xml:space="preserve">□</w:instrText>
            </w:r>
            <w:r>
              <w:rPr>
                <w:rFonts w:hint="eastAsia" w:ascii="宋体" w:hAnsi="宋体" w:eastAsia="宋体" w:cs="宋体"/>
                <w:color w:val="auto"/>
                <w:position w:val="0"/>
                <w:sz w:val="21"/>
                <w:szCs w:val="21"/>
                <w:highlight w:val="none"/>
                <w:lang w:val="zh-CN"/>
              </w:rPr>
              <w:instrText xml:space="preserve">)</w:instrText>
            </w:r>
            <w:r>
              <w:rPr>
                <w:rFonts w:hint="eastAsia" w:ascii="宋体" w:hAnsi="宋体" w:eastAsia="宋体" w:cs="宋体"/>
                <w:color w:val="auto"/>
                <w:sz w:val="21"/>
                <w:szCs w:val="21"/>
                <w:highlight w:val="none"/>
                <w:lang w:val="zh-CN"/>
              </w:rPr>
              <w:fldChar w:fldCharType="end"/>
            </w:r>
            <w:r>
              <w:rPr>
                <w:rFonts w:hint="eastAsia" w:ascii="宋体" w:hAnsi="宋体" w:eastAsia="宋体" w:cs="宋体"/>
                <w:color w:val="auto"/>
                <w:sz w:val="21"/>
                <w:szCs w:val="21"/>
                <w:highlight w:val="none"/>
              </w:rPr>
              <w:t>不接受</w:t>
            </w:r>
          </w:p>
          <w:p w14:paraId="0B43D811">
            <w:pPr>
              <w:keepLines w:val="0"/>
              <w:kinsoku/>
              <w:wordWrap/>
              <w:overflowPunct/>
              <w:topLinePunct w:val="0"/>
              <w:bidi w:val="0"/>
              <w:spacing w:line="360" w:lineRule="exact"/>
              <w:textAlignment w:val="auto"/>
              <w:rPr>
                <w:rFonts w:hint="eastAsia" w:ascii="宋体" w:hAnsi="宋体" w:eastAsia="宋体" w:cs="宋体"/>
                <w:sz w:val="21"/>
                <w:szCs w:val="21"/>
              </w:rPr>
            </w:pPr>
            <w:r>
              <w:rPr>
                <w:rFonts w:hint="eastAsia" w:ascii="宋体" w:hAnsi="宋体" w:eastAsia="宋体" w:cs="宋体"/>
                <w:color w:val="auto"/>
                <w:kern w:val="0"/>
                <w:sz w:val="21"/>
                <w:szCs w:val="21"/>
                <w:highlight w:val="none"/>
                <w:lang w:val="zh-CN"/>
              </w:rPr>
              <w:fldChar w:fldCharType="begin"/>
            </w:r>
            <w:r>
              <w:rPr>
                <w:rFonts w:hint="eastAsia" w:ascii="宋体" w:hAnsi="宋体" w:eastAsia="宋体" w:cs="宋体"/>
                <w:color w:val="auto"/>
                <w:kern w:val="0"/>
                <w:sz w:val="21"/>
                <w:szCs w:val="21"/>
                <w:highlight w:val="none"/>
                <w:lang w:val="zh-CN"/>
              </w:rPr>
              <w:instrText xml:space="preserve"> eq \o\ac(</w:instrText>
            </w:r>
            <w:r>
              <w:rPr>
                <w:rFonts w:hint="eastAsia" w:ascii="宋体" w:hAnsi="宋体" w:eastAsia="宋体" w:cs="宋体"/>
                <w:color w:val="auto"/>
                <w:kern w:val="0"/>
                <w:position w:val="-4"/>
                <w:sz w:val="31"/>
                <w:szCs w:val="21"/>
                <w:highlight w:val="none"/>
                <w:lang w:val="zh-CN"/>
              </w:rPr>
              <w:instrText xml:space="preserve">□</w:instrText>
            </w:r>
            <w:r>
              <w:rPr>
                <w:rFonts w:hint="eastAsia" w:ascii="宋体" w:hAnsi="宋体" w:eastAsia="宋体" w:cs="宋体"/>
                <w:color w:val="auto"/>
                <w:kern w:val="0"/>
                <w:position w:val="0"/>
                <w:sz w:val="21"/>
                <w:szCs w:val="21"/>
                <w:highlight w:val="none"/>
                <w:lang w:val="zh-CN"/>
              </w:rPr>
              <w:instrText xml:space="preserve">,√)</w:instrText>
            </w:r>
            <w:r>
              <w:rPr>
                <w:rFonts w:hint="eastAsia" w:ascii="宋体" w:hAnsi="宋体" w:eastAsia="宋体" w:cs="宋体"/>
                <w:color w:val="auto"/>
                <w:kern w:val="0"/>
                <w:sz w:val="21"/>
                <w:szCs w:val="21"/>
                <w:highlight w:val="none"/>
                <w:lang w:val="zh-CN"/>
              </w:rPr>
              <w:fldChar w:fldCharType="end"/>
            </w:r>
            <w:r>
              <w:rPr>
                <w:rFonts w:hint="eastAsia" w:ascii="宋体" w:hAnsi="宋体" w:eastAsia="宋体" w:cs="宋体"/>
                <w:color w:val="auto"/>
                <w:sz w:val="21"/>
                <w:szCs w:val="21"/>
                <w:highlight w:val="none"/>
              </w:rPr>
              <w:t>接受，应满足下列要求：</w:t>
            </w:r>
            <w:r>
              <w:rPr>
                <w:rFonts w:hint="eastAsia" w:ascii="宋体" w:hAnsi="宋体" w:eastAsia="宋体" w:cs="宋体"/>
                <w:color w:val="auto"/>
                <w:sz w:val="21"/>
                <w:szCs w:val="21"/>
                <w:highlight w:val="none"/>
                <w:lang w:val="en-US" w:eastAsia="zh-CN"/>
              </w:rPr>
              <w:t>见第一章招标公告</w:t>
            </w:r>
          </w:p>
        </w:tc>
      </w:tr>
      <w:tr w14:paraId="29727569">
        <w:tblPrEx>
          <w:tblCellMar>
            <w:top w:w="0" w:type="dxa"/>
            <w:left w:w="28" w:type="dxa"/>
            <w:bottom w:w="0" w:type="dxa"/>
            <w:right w:w="28" w:type="dxa"/>
          </w:tblCellMar>
        </w:tblPrEx>
        <w:trPr>
          <w:trHeight w:val="567" w:hRule="atLeast"/>
          <w:jc w:val="center"/>
        </w:trPr>
        <w:tc>
          <w:tcPr>
            <w:tcW w:w="953" w:type="dxa"/>
            <w:tcBorders>
              <w:top w:val="single" w:color="000000" w:sz="4" w:space="0"/>
              <w:left w:val="single" w:color="auto" w:sz="12" w:space="0"/>
              <w:bottom w:val="single" w:color="000000" w:sz="4" w:space="0"/>
              <w:right w:val="single" w:color="000000" w:sz="4" w:space="0"/>
            </w:tcBorders>
            <w:vAlign w:val="center"/>
          </w:tcPr>
          <w:p w14:paraId="4D443B6A">
            <w:pPr>
              <w:keepLines w:val="0"/>
              <w:kinsoku/>
              <w:wordWrap/>
              <w:overflowPunct/>
              <w:topLinePunct w:val="0"/>
              <w:bidi w:val="0"/>
              <w:adjustRightInd w:val="0"/>
              <w:snapToGrid w:val="0"/>
              <w:spacing w:before="100" w:beforeAutospacing="1" w:after="100" w:afterAutospacing="1" w:line="360" w:lineRule="exact"/>
              <w:jc w:val="center"/>
              <w:textAlignment w:val="auto"/>
              <w:rPr>
                <w:rFonts w:hint="eastAsia" w:ascii="宋体" w:hAnsi="宋体" w:eastAsia="宋体" w:cs="宋体"/>
                <w:sz w:val="21"/>
                <w:szCs w:val="21"/>
              </w:rPr>
            </w:pPr>
            <w:r>
              <w:rPr>
                <w:rFonts w:hint="eastAsia" w:ascii="宋体" w:hAnsi="宋体" w:eastAsia="宋体" w:cs="宋体"/>
                <w:color w:val="auto"/>
                <w:sz w:val="21"/>
                <w:szCs w:val="21"/>
                <w:highlight w:val="none"/>
              </w:rPr>
              <w:t>1.4.3</w:t>
            </w:r>
          </w:p>
        </w:tc>
        <w:tc>
          <w:tcPr>
            <w:tcW w:w="2006" w:type="dxa"/>
            <w:tcBorders>
              <w:top w:val="single" w:color="000000" w:sz="4" w:space="0"/>
              <w:left w:val="single" w:color="000000" w:sz="4" w:space="0"/>
              <w:bottom w:val="single" w:color="000000" w:sz="4" w:space="0"/>
              <w:right w:val="single" w:color="000000" w:sz="4" w:space="0"/>
            </w:tcBorders>
            <w:vAlign w:val="center"/>
          </w:tcPr>
          <w:p w14:paraId="7DD2425C">
            <w:pPr>
              <w:pStyle w:val="15"/>
              <w:keepNext/>
              <w:keepLines w:val="0"/>
              <w:shd w:val="clear" w:color="auto" w:fill="auto"/>
              <w:kinsoku/>
              <w:wordWrap/>
              <w:overflowPunct/>
              <w:topLinePunct w:val="0"/>
              <w:bidi w:val="0"/>
              <w:spacing w:line="360" w:lineRule="exact"/>
              <w:ind w:firstLine="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投标人不得存在的</w:t>
            </w:r>
          </w:p>
          <w:p w14:paraId="5EBDA355">
            <w:pPr>
              <w:keepLines w:val="0"/>
              <w:kinsoku/>
              <w:wordWrap/>
              <w:overflowPunct/>
              <w:topLinePunct w:val="0"/>
              <w:bidi w:val="0"/>
              <w:spacing w:line="360" w:lineRule="exact"/>
              <w:jc w:val="center"/>
              <w:textAlignment w:val="auto"/>
              <w:rPr>
                <w:rFonts w:hint="eastAsia" w:ascii="宋体" w:hAnsi="宋体" w:eastAsia="宋体" w:cs="宋体"/>
                <w:sz w:val="21"/>
                <w:szCs w:val="21"/>
              </w:rPr>
            </w:pPr>
            <w:r>
              <w:rPr>
                <w:rFonts w:hint="eastAsia" w:ascii="宋体" w:hAnsi="宋体" w:eastAsia="宋体" w:cs="宋体"/>
                <w:color w:val="auto"/>
                <w:sz w:val="21"/>
                <w:szCs w:val="21"/>
                <w:highlight w:val="none"/>
              </w:rPr>
              <w:t>其他关联情形</w:t>
            </w:r>
          </w:p>
        </w:tc>
        <w:tc>
          <w:tcPr>
            <w:tcW w:w="6516" w:type="dxa"/>
            <w:tcBorders>
              <w:top w:val="single" w:color="000000" w:sz="4" w:space="0"/>
              <w:left w:val="single" w:color="000000" w:sz="4" w:space="0"/>
              <w:bottom w:val="single" w:color="000000" w:sz="4" w:space="0"/>
              <w:right w:val="single" w:color="auto" w:sz="12" w:space="0"/>
            </w:tcBorders>
            <w:vAlign w:val="center"/>
          </w:tcPr>
          <w:p w14:paraId="5676DFBF">
            <w:pPr>
              <w:keepLines w:val="0"/>
              <w:kinsoku/>
              <w:wordWrap/>
              <w:overflowPunct/>
              <w:topLinePunct w:val="0"/>
              <w:bidi w:val="0"/>
              <w:spacing w:line="360" w:lineRule="exact"/>
              <w:textAlignment w:val="auto"/>
              <w:rPr>
                <w:rFonts w:hint="eastAsia" w:ascii="宋体" w:hAnsi="宋体" w:eastAsia="宋体" w:cs="宋体"/>
                <w:sz w:val="21"/>
                <w:szCs w:val="21"/>
              </w:rPr>
            </w:pPr>
            <w:r>
              <w:rPr>
                <w:rFonts w:hint="eastAsia" w:ascii="宋体" w:hAnsi="宋体" w:eastAsia="宋体" w:cs="宋体"/>
                <w:color w:val="auto"/>
                <w:kern w:val="0"/>
                <w:sz w:val="21"/>
                <w:szCs w:val="21"/>
                <w:highlight w:val="none"/>
                <w:lang w:val="zh-CN"/>
              </w:rPr>
              <w:t>/</w:t>
            </w:r>
          </w:p>
        </w:tc>
      </w:tr>
      <w:tr w14:paraId="3EB1FBDB">
        <w:tblPrEx>
          <w:tblCellMar>
            <w:top w:w="0" w:type="dxa"/>
            <w:left w:w="28" w:type="dxa"/>
            <w:bottom w:w="0" w:type="dxa"/>
            <w:right w:w="28" w:type="dxa"/>
          </w:tblCellMar>
        </w:tblPrEx>
        <w:trPr>
          <w:trHeight w:val="567" w:hRule="atLeast"/>
          <w:jc w:val="center"/>
        </w:trPr>
        <w:tc>
          <w:tcPr>
            <w:tcW w:w="953" w:type="dxa"/>
            <w:tcBorders>
              <w:top w:val="single" w:color="000000" w:sz="4" w:space="0"/>
              <w:left w:val="single" w:color="auto" w:sz="12" w:space="0"/>
              <w:bottom w:val="single" w:color="000000" w:sz="4" w:space="0"/>
              <w:right w:val="single" w:color="000000" w:sz="4" w:space="0"/>
            </w:tcBorders>
            <w:vAlign w:val="center"/>
          </w:tcPr>
          <w:p w14:paraId="270EFA83">
            <w:pPr>
              <w:keepLines w:val="0"/>
              <w:kinsoku/>
              <w:wordWrap/>
              <w:overflowPunct/>
              <w:topLinePunct w:val="0"/>
              <w:bidi w:val="0"/>
              <w:adjustRightInd w:val="0"/>
              <w:snapToGrid w:val="0"/>
              <w:spacing w:before="100" w:beforeAutospacing="1" w:after="100" w:afterAutospacing="1" w:line="360" w:lineRule="exact"/>
              <w:jc w:val="center"/>
              <w:textAlignment w:val="auto"/>
              <w:rPr>
                <w:rFonts w:hint="eastAsia" w:ascii="宋体" w:hAnsi="宋体" w:eastAsia="宋体" w:cs="宋体"/>
                <w:sz w:val="21"/>
                <w:szCs w:val="21"/>
              </w:rPr>
            </w:pPr>
            <w:r>
              <w:rPr>
                <w:rFonts w:hint="eastAsia" w:ascii="宋体" w:hAnsi="宋体" w:eastAsia="宋体" w:cs="宋体"/>
                <w:color w:val="auto"/>
                <w:sz w:val="21"/>
                <w:szCs w:val="21"/>
                <w:highlight w:val="none"/>
              </w:rPr>
              <w:t>1.4.4</w:t>
            </w:r>
          </w:p>
        </w:tc>
        <w:tc>
          <w:tcPr>
            <w:tcW w:w="2006" w:type="dxa"/>
            <w:tcBorders>
              <w:top w:val="single" w:color="000000" w:sz="4" w:space="0"/>
              <w:left w:val="single" w:color="000000" w:sz="4" w:space="0"/>
              <w:bottom w:val="single" w:color="000000" w:sz="4" w:space="0"/>
              <w:right w:val="single" w:color="000000" w:sz="4" w:space="0"/>
            </w:tcBorders>
            <w:vAlign w:val="center"/>
          </w:tcPr>
          <w:p w14:paraId="0B0482EF">
            <w:pPr>
              <w:pStyle w:val="15"/>
              <w:keepNext/>
              <w:keepLines w:val="0"/>
              <w:shd w:val="clear" w:color="auto" w:fill="auto"/>
              <w:kinsoku/>
              <w:wordWrap/>
              <w:overflowPunct/>
              <w:topLinePunct w:val="0"/>
              <w:bidi w:val="0"/>
              <w:spacing w:line="360" w:lineRule="exact"/>
              <w:ind w:firstLine="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投标人不得存在的</w:t>
            </w:r>
          </w:p>
          <w:p w14:paraId="714861F2">
            <w:pPr>
              <w:pStyle w:val="15"/>
              <w:keepNext/>
              <w:keepLines w:val="0"/>
              <w:shd w:val="clear" w:color="auto" w:fill="auto"/>
              <w:kinsoku/>
              <w:wordWrap/>
              <w:overflowPunct/>
              <w:topLinePunct w:val="0"/>
              <w:bidi w:val="0"/>
              <w:spacing w:line="360" w:lineRule="exact"/>
              <w:ind w:firstLine="0" w:firstLineChars="0"/>
              <w:jc w:val="center"/>
              <w:textAlignment w:val="auto"/>
              <w:rPr>
                <w:rFonts w:hint="eastAsia" w:ascii="宋体" w:hAnsi="宋体" w:eastAsia="宋体" w:cs="宋体"/>
                <w:sz w:val="21"/>
                <w:szCs w:val="21"/>
                <w:lang w:val="en-US" w:bidi="ar-SA"/>
              </w:rPr>
            </w:pPr>
            <w:r>
              <w:rPr>
                <w:rFonts w:hint="eastAsia" w:ascii="宋体" w:hAnsi="宋体" w:eastAsia="宋体" w:cs="宋体"/>
                <w:color w:val="auto"/>
                <w:kern w:val="2"/>
                <w:sz w:val="21"/>
                <w:szCs w:val="21"/>
                <w:highlight w:val="none"/>
                <w:lang w:val="en-US" w:eastAsia="zh-CN" w:bidi="ar-SA"/>
              </w:rPr>
              <w:t>其他不良状况或不良信用记录</w:t>
            </w:r>
          </w:p>
        </w:tc>
        <w:tc>
          <w:tcPr>
            <w:tcW w:w="6516" w:type="dxa"/>
            <w:tcBorders>
              <w:top w:val="single" w:color="000000" w:sz="4" w:space="0"/>
              <w:left w:val="single" w:color="000000" w:sz="4" w:space="0"/>
              <w:bottom w:val="single" w:color="000000" w:sz="4" w:space="0"/>
              <w:right w:val="single" w:color="auto" w:sz="12" w:space="0"/>
            </w:tcBorders>
            <w:vAlign w:val="center"/>
          </w:tcPr>
          <w:p w14:paraId="3CA5C637">
            <w:pPr>
              <w:keepLines w:val="0"/>
              <w:kinsoku/>
              <w:wordWrap/>
              <w:overflowPunct/>
              <w:topLinePunct w:val="0"/>
              <w:bidi w:val="0"/>
              <w:spacing w:line="360" w:lineRule="exact"/>
              <w:textAlignment w:val="auto"/>
              <w:rPr>
                <w:rFonts w:hint="eastAsia" w:ascii="宋体" w:hAnsi="宋体" w:eastAsia="宋体" w:cs="宋体"/>
                <w:sz w:val="21"/>
                <w:szCs w:val="21"/>
              </w:rPr>
            </w:pPr>
            <w:r>
              <w:rPr>
                <w:rFonts w:hint="eastAsia" w:ascii="宋体" w:hAnsi="宋体" w:eastAsia="宋体" w:cs="宋体"/>
                <w:color w:val="auto"/>
                <w:kern w:val="0"/>
                <w:sz w:val="21"/>
                <w:szCs w:val="21"/>
                <w:highlight w:val="none"/>
                <w:lang w:val="zh-CN"/>
              </w:rPr>
              <w:t>/</w:t>
            </w:r>
          </w:p>
        </w:tc>
      </w:tr>
    </w:tbl>
    <w:p w14:paraId="02661FC0">
      <w:pPr>
        <w:keepLines w:val="0"/>
        <w:kinsoku/>
        <w:wordWrap/>
        <w:overflowPunct/>
        <w:topLinePunct w:val="0"/>
        <w:bidi w:val="0"/>
        <w:spacing w:line="360" w:lineRule="exact"/>
        <w:textAlignment w:val="auto"/>
        <w:rPr>
          <w:rFonts w:hint="eastAsia" w:ascii="宋体" w:hAnsi="宋体" w:eastAsia="宋体" w:cs="宋体"/>
          <w:color w:val="auto"/>
          <w:sz w:val="21"/>
          <w:szCs w:val="21"/>
          <w:highlight w:val="none"/>
        </w:rPr>
      </w:pPr>
      <w:bookmarkStart w:id="1" w:name="_Toc502741808"/>
      <w:bookmarkStart w:id="2" w:name="_Toc179632551"/>
      <w:bookmarkStart w:id="3" w:name="_Toc152042310"/>
      <w:bookmarkStart w:id="4" w:name="_Toc152045534"/>
      <w:bookmarkStart w:id="5" w:name="_Toc144974502"/>
      <w:bookmarkStart w:id="6" w:name="_Toc110596237"/>
      <w:bookmarkStart w:id="7" w:name="_Toc346800722"/>
      <w:bookmarkStart w:id="8" w:name="_Hlk141167126"/>
      <w:r>
        <w:rPr>
          <w:rFonts w:hint="eastAsia" w:ascii="宋体" w:hAnsi="宋体" w:eastAsia="宋体" w:cs="宋体"/>
          <w:color w:val="auto"/>
          <w:sz w:val="21"/>
          <w:szCs w:val="21"/>
          <w:highlight w:val="none"/>
        </w:rPr>
        <w:t>1.4投标人资格要求（适用于未进行资格预审的）</w:t>
      </w:r>
      <w:bookmarkEnd w:id="1"/>
      <w:bookmarkEnd w:id="2"/>
      <w:bookmarkEnd w:id="3"/>
      <w:bookmarkEnd w:id="4"/>
      <w:bookmarkEnd w:id="5"/>
    </w:p>
    <w:p w14:paraId="10D7DC1E">
      <w:pPr>
        <w:keepLines w:val="0"/>
        <w:kinsoku/>
        <w:wordWrap/>
        <w:overflowPunct/>
        <w:topLinePunct w:val="0"/>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1.4.1投标人应具备承担本标段施工的资质条件、能力和信誉。</w:t>
      </w:r>
    </w:p>
    <w:p w14:paraId="5BC18635">
      <w:pPr>
        <w:keepLines w:val="0"/>
        <w:numPr>
          <w:ilvl w:val="0"/>
          <w:numId w:val="0"/>
        </w:numPr>
        <w:tabs>
          <w:tab w:val="left" w:pos="1134"/>
        </w:tabs>
        <w:kinsoku/>
        <w:wordWrap/>
        <w:overflowPunct/>
        <w:topLinePunct w:val="0"/>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资质</w:t>
      </w:r>
      <w:r>
        <w:rPr>
          <w:rFonts w:hint="eastAsia" w:ascii="宋体" w:hAnsi="宋体" w:eastAsia="宋体" w:cs="宋体"/>
          <w:color w:val="auto"/>
          <w:sz w:val="21"/>
          <w:szCs w:val="21"/>
          <w:highlight w:val="none"/>
          <w:lang w:val="en-US" w:eastAsia="zh-CN"/>
        </w:rPr>
        <w:t>要求</w:t>
      </w:r>
      <w:r>
        <w:rPr>
          <w:rFonts w:hint="eastAsia" w:ascii="宋体" w:hAnsi="宋体" w:eastAsia="宋体" w:cs="宋体"/>
          <w:color w:val="auto"/>
          <w:sz w:val="21"/>
          <w:szCs w:val="21"/>
          <w:highlight w:val="none"/>
        </w:rPr>
        <w:t>：见投标人须知前附表；</w:t>
      </w:r>
    </w:p>
    <w:p w14:paraId="1E1876FE">
      <w:pPr>
        <w:keepLines w:val="0"/>
        <w:numPr>
          <w:ilvl w:val="0"/>
          <w:numId w:val="0"/>
        </w:numPr>
        <w:tabs>
          <w:tab w:val="left" w:pos="1134"/>
        </w:tabs>
        <w:kinsoku/>
        <w:wordWrap/>
        <w:overflowPunct/>
        <w:topLinePunct w:val="0"/>
        <w:bidi w:val="0"/>
        <w:spacing w:line="360" w:lineRule="exact"/>
        <w:ind w:left="42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财务要求：见投标人须知前附表；</w:t>
      </w:r>
    </w:p>
    <w:p w14:paraId="05472715">
      <w:pPr>
        <w:keepLines w:val="0"/>
        <w:numPr>
          <w:ilvl w:val="0"/>
          <w:numId w:val="0"/>
        </w:numPr>
        <w:tabs>
          <w:tab w:val="left" w:pos="1134"/>
        </w:tabs>
        <w:kinsoku/>
        <w:wordWrap/>
        <w:overflowPunct/>
        <w:topLinePunct w:val="0"/>
        <w:bidi w:val="0"/>
        <w:spacing w:line="360" w:lineRule="exact"/>
        <w:ind w:left="42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业绩要求：见投标人须知前附表；</w:t>
      </w:r>
    </w:p>
    <w:p w14:paraId="0E9F06F2">
      <w:pPr>
        <w:keepLines w:val="0"/>
        <w:numPr>
          <w:ilvl w:val="0"/>
          <w:numId w:val="0"/>
        </w:numPr>
        <w:tabs>
          <w:tab w:val="left" w:pos="1134"/>
        </w:tabs>
        <w:kinsoku/>
        <w:wordWrap/>
        <w:overflowPunct/>
        <w:topLinePunct w:val="0"/>
        <w:bidi w:val="0"/>
        <w:spacing w:line="360" w:lineRule="exact"/>
        <w:ind w:left="42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信誉要求：见投标人须知前附表；</w:t>
      </w:r>
    </w:p>
    <w:p w14:paraId="1D49A2CC">
      <w:pPr>
        <w:keepLines w:val="0"/>
        <w:numPr>
          <w:ilvl w:val="0"/>
          <w:numId w:val="0"/>
        </w:numPr>
        <w:tabs>
          <w:tab w:val="left" w:pos="1134"/>
        </w:tabs>
        <w:kinsoku/>
        <w:wordWrap/>
        <w:overflowPunct/>
        <w:topLinePunct w:val="0"/>
        <w:bidi w:val="0"/>
        <w:spacing w:line="360" w:lineRule="exact"/>
        <w:ind w:left="42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项目经理和项目总工资格：见投标人须知前附表；</w:t>
      </w:r>
    </w:p>
    <w:p w14:paraId="5DD3B3F7">
      <w:pPr>
        <w:keepLines w:val="0"/>
        <w:numPr>
          <w:ilvl w:val="0"/>
          <w:numId w:val="0"/>
        </w:numPr>
        <w:tabs>
          <w:tab w:val="left" w:pos="1134"/>
        </w:tabs>
        <w:kinsoku/>
        <w:wordWrap/>
        <w:overflowPunct/>
        <w:topLinePunct w:val="0"/>
        <w:bidi w:val="0"/>
        <w:spacing w:line="360" w:lineRule="exact"/>
        <w:ind w:left="42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其他要求：见投标人须知前附表。</w:t>
      </w:r>
    </w:p>
    <w:p w14:paraId="06DF9AFA">
      <w:pPr>
        <w:keepLines w:val="0"/>
        <w:kinsoku/>
        <w:wordWrap/>
        <w:overflowPunct/>
        <w:topLinePunct w:val="0"/>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需要提交的相关证明材料见本章第3.5款的规定。</w:t>
      </w:r>
    </w:p>
    <w:p w14:paraId="38062113">
      <w:pPr>
        <w:keepLines w:val="0"/>
        <w:kinsoku/>
        <w:wordWrap/>
        <w:overflowPunct/>
        <w:topLinePunct w:val="0"/>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1.4.2投标人须知前附表规定接受联合体投标的，联合体除应符合本章第1.4.1项和投标人须知前附表的要求外，还应遵守以下规定：</w:t>
      </w:r>
    </w:p>
    <w:p w14:paraId="6E63A598">
      <w:pPr>
        <w:keepLines w:val="0"/>
        <w:numPr>
          <w:ilvl w:val="0"/>
          <w:numId w:val="0"/>
        </w:numPr>
        <w:tabs>
          <w:tab w:val="left" w:pos="1134"/>
        </w:tabs>
        <w:kinsoku/>
        <w:wordWrap/>
        <w:overflowPunct/>
        <w:topLinePunct w:val="0"/>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联合体各方应按招标文件提供的格式签订联合体协议书，明确联合体牵头人和各方权利义务，并承诺就中标项目向招标人承担连带责任；</w:t>
      </w:r>
    </w:p>
    <w:p w14:paraId="0A193DB7">
      <w:pPr>
        <w:keepLines w:val="0"/>
        <w:numPr>
          <w:ilvl w:val="0"/>
          <w:numId w:val="0"/>
        </w:numPr>
        <w:tabs>
          <w:tab w:val="left" w:pos="1134"/>
        </w:tabs>
        <w:kinsoku/>
        <w:wordWrap/>
        <w:overflowPunct/>
        <w:topLinePunct w:val="0"/>
        <w:bidi w:val="0"/>
        <w:spacing w:line="360" w:lineRule="exact"/>
        <w:ind w:left="42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由同一专业的单位组成的联合体，按照资质等级较低的单位确定资质等级；</w:t>
      </w:r>
    </w:p>
    <w:p w14:paraId="68BB1110">
      <w:pPr>
        <w:keepLines w:val="0"/>
        <w:numPr>
          <w:ilvl w:val="0"/>
          <w:numId w:val="0"/>
        </w:numPr>
        <w:tabs>
          <w:tab w:val="left" w:pos="1134"/>
        </w:tabs>
        <w:kinsoku/>
        <w:wordWrap/>
        <w:overflowPunct/>
        <w:topLinePunct w:val="0"/>
        <w:bidi w:val="0"/>
        <w:spacing w:line="360" w:lineRule="exact"/>
        <w:ind w:left="42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联合体各方不得再以自</w:t>
      </w:r>
      <w:r>
        <w:rPr>
          <w:rFonts w:hint="eastAsia" w:ascii="宋体" w:hAnsi="宋体" w:eastAsia="宋体" w:cs="宋体"/>
          <w:color w:val="auto"/>
          <w:sz w:val="21"/>
          <w:szCs w:val="21"/>
          <w:highlight w:val="none"/>
          <w:lang w:eastAsia="zh-CN"/>
        </w:rPr>
        <w:t>己</w:t>
      </w:r>
      <w:r>
        <w:rPr>
          <w:rFonts w:hint="eastAsia" w:ascii="宋体" w:hAnsi="宋体" w:eastAsia="宋体" w:cs="宋体"/>
          <w:color w:val="auto"/>
          <w:sz w:val="21"/>
          <w:szCs w:val="21"/>
          <w:highlight w:val="none"/>
        </w:rPr>
        <w:t>名义单独或参加其他联合体在同一标段中投标；</w:t>
      </w:r>
    </w:p>
    <w:p w14:paraId="2F798768">
      <w:pPr>
        <w:keepLines w:val="0"/>
        <w:numPr>
          <w:ilvl w:val="0"/>
          <w:numId w:val="0"/>
        </w:numPr>
        <w:tabs>
          <w:tab w:val="left" w:pos="1134"/>
        </w:tabs>
        <w:kinsoku/>
        <w:wordWrap/>
        <w:overflowPunct/>
        <w:topLinePunct w:val="0"/>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联合体各方应分别按照本招标文件的要求，填写投标文件中的相应表格，并由联合体牵头人负责对联合体各成员的资料进行统一汇总后一并提交给招标人；联合体牵头人所提交的投标文件应认为已代表了联合体各成员的真实情况；</w:t>
      </w:r>
    </w:p>
    <w:p w14:paraId="190CD7A9">
      <w:pPr>
        <w:keepLines w:val="0"/>
        <w:numPr>
          <w:ilvl w:val="0"/>
          <w:numId w:val="0"/>
        </w:numPr>
        <w:tabs>
          <w:tab w:val="left" w:pos="1134"/>
        </w:tabs>
        <w:kinsoku/>
        <w:wordWrap/>
        <w:overflowPunct/>
        <w:topLinePunct w:val="0"/>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尽管委任了联合体牵头人，但联合体各成员在投标、签订合同与履行合同过程中，仍负有连带的和各自的法律责任。</w:t>
      </w:r>
    </w:p>
    <w:p w14:paraId="1B425B20">
      <w:pPr>
        <w:keepLines w:val="0"/>
        <w:kinsoku/>
        <w:wordWrap/>
        <w:overflowPunct/>
        <w:topLinePunct w:val="0"/>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1.4.3投标人（包括联合体各成员）不得与本标段相关单位存在下列关联</w:t>
      </w:r>
      <w:r>
        <w:rPr>
          <w:rFonts w:hint="eastAsia" w:ascii="宋体" w:hAnsi="宋体" w:eastAsia="宋体" w:cs="宋体"/>
          <w:color w:val="auto"/>
          <w:sz w:val="21"/>
          <w:szCs w:val="21"/>
          <w:highlight w:val="none"/>
          <w:lang w:val="en-US" w:eastAsia="zh-CN"/>
        </w:rPr>
        <w:t>情形</w:t>
      </w:r>
      <w:r>
        <w:rPr>
          <w:rFonts w:hint="eastAsia" w:ascii="宋体" w:hAnsi="宋体" w:eastAsia="宋体" w:cs="宋体"/>
          <w:color w:val="auto"/>
          <w:sz w:val="21"/>
          <w:szCs w:val="21"/>
          <w:highlight w:val="none"/>
        </w:rPr>
        <w:t>：</w:t>
      </w:r>
    </w:p>
    <w:p w14:paraId="640B107E">
      <w:pPr>
        <w:keepLines w:val="0"/>
        <w:numPr>
          <w:ilvl w:val="0"/>
          <w:numId w:val="0"/>
        </w:numPr>
        <w:tabs>
          <w:tab w:val="left" w:pos="1134"/>
          <w:tab w:val="left" w:pos="1276"/>
        </w:tabs>
        <w:kinsoku/>
        <w:wordWrap/>
        <w:overflowPunct/>
        <w:topLinePunct w:val="0"/>
        <w:bidi w:val="0"/>
        <w:spacing w:line="360" w:lineRule="exact"/>
        <w:ind w:left="0" w:leftChars="0" w:firstLine="42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（1）</w:t>
      </w:r>
      <w:r>
        <w:rPr>
          <w:rFonts w:hint="eastAsia" w:ascii="宋体" w:hAnsi="宋体" w:eastAsia="宋体" w:cs="宋体"/>
          <w:color w:val="auto"/>
          <w:sz w:val="21"/>
          <w:szCs w:val="21"/>
          <w:highlight w:val="none"/>
        </w:rPr>
        <w:t>为招标人不具有独立法人资格的附属机构（单位）；</w:t>
      </w:r>
    </w:p>
    <w:p w14:paraId="6EBA86D8">
      <w:pPr>
        <w:keepLines w:val="0"/>
        <w:numPr>
          <w:ilvl w:val="0"/>
          <w:numId w:val="0"/>
        </w:numPr>
        <w:tabs>
          <w:tab w:val="left" w:pos="1134"/>
          <w:tab w:val="left" w:pos="1276"/>
        </w:tabs>
        <w:kinsoku/>
        <w:wordWrap/>
        <w:overflowPunct/>
        <w:topLinePunct w:val="0"/>
        <w:bidi w:val="0"/>
        <w:spacing w:line="360" w:lineRule="exact"/>
        <w:ind w:left="0" w:leftChars="0" w:firstLine="42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（2）</w:t>
      </w:r>
      <w:r>
        <w:rPr>
          <w:rFonts w:hint="eastAsia" w:ascii="宋体" w:hAnsi="宋体" w:eastAsia="宋体" w:cs="宋体"/>
          <w:color w:val="auto"/>
          <w:sz w:val="21"/>
          <w:szCs w:val="21"/>
          <w:highlight w:val="none"/>
        </w:rPr>
        <w:t>与招标人存在利害关系且可能影响招标公正性；</w:t>
      </w:r>
    </w:p>
    <w:p w14:paraId="59A6B1A7">
      <w:pPr>
        <w:keepLines w:val="0"/>
        <w:numPr>
          <w:ilvl w:val="0"/>
          <w:numId w:val="0"/>
        </w:numPr>
        <w:tabs>
          <w:tab w:val="left" w:pos="1134"/>
          <w:tab w:val="left" w:pos="1276"/>
        </w:tabs>
        <w:kinsoku/>
        <w:wordWrap/>
        <w:overflowPunct/>
        <w:topLinePunct w:val="0"/>
        <w:bidi w:val="0"/>
        <w:spacing w:line="360" w:lineRule="exact"/>
        <w:ind w:left="0" w:leftChars="0" w:firstLine="42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（3）</w:t>
      </w:r>
      <w:r>
        <w:rPr>
          <w:rFonts w:hint="eastAsia" w:ascii="宋体" w:hAnsi="宋体" w:eastAsia="宋体" w:cs="宋体"/>
          <w:color w:val="auto"/>
          <w:sz w:val="21"/>
          <w:szCs w:val="21"/>
          <w:highlight w:val="none"/>
        </w:rPr>
        <w:t>与本标段的其他投标人同为一个单位负责人；</w:t>
      </w:r>
    </w:p>
    <w:p w14:paraId="795A2E13">
      <w:pPr>
        <w:keepLines w:val="0"/>
        <w:numPr>
          <w:ilvl w:val="0"/>
          <w:numId w:val="0"/>
        </w:numPr>
        <w:tabs>
          <w:tab w:val="left" w:pos="1134"/>
          <w:tab w:val="left" w:pos="1276"/>
        </w:tabs>
        <w:kinsoku/>
        <w:wordWrap/>
        <w:overflowPunct/>
        <w:topLinePunct w:val="0"/>
        <w:bidi w:val="0"/>
        <w:spacing w:line="360" w:lineRule="exact"/>
        <w:ind w:left="0" w:leftChars="0" w:firstLine="42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（4）</w:t>
      </w:r>
      <w:r>
        <w:rPr>
          <w:rFonts w:hint="eastAsia" w:ascii="宋体" w:hAnsi="宋体" w:eastAsia="宋体" w:cs="宋体"/>
          <w:color w:val="auto"/>
          <w:sz w:val="21"/>
          <w:szCs w:val="21"/>
          <w:highlight w:val="none"/>
        </w:rPr>
        <w:t>与本标段的其他投标人存在控股、管理关系；</w:t>
      </w:r>
    </w:p>
    <w:p w14:paraId="1ABB1EB9">
      <w:pPr>
        <w:keepLines w:val="0"/>
        <w:numPr>
          <w:ilvl w:val="0"/>
          <w:numId w:val="0"/>
        </w:numPr>
        <w:tabs>
          <w:tab w:val="left" w:pos="1134"/>
          <w:tab w:val="left" w:pos="1276"/>
        </w:tabs>
        <w:kinsoku/>
        <w:wordWrap/>
        <w:overflowPunct/>
        <w:topLinePunct w:val="0"/>
        <w:bidi w:val="0"/>
        <w:spacing w:line="360" w:lineRule="exact"/>
        <w:ind w:left="0" w:leftChars="0" w:firstLine="42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（5）</w:t>
      </w:r>
      <w:r>
        <w:rPr>
          <w:rFonts w:hint="eastAsia" w:ascii="宋体" w:hAnsi="宋体" w:eastAsia="宋体" w:cs="宋体"/>
          <w:color w:val="auto"/>
          <w:sz w:val="21"/>
          <w:szCs w:val="21"/>
          <w:highlight w:val="none"/>
        </w:rPr>
        <w:t>为本标段前期准备提供设计或咨询服务的法人或其任何附属机构（单位）；</w:t>
      </w:r>
    </w:p>
    <w:p w14:paraId="45652D20">
      <w:pPr>
        <w:keepLines w:val="0"/>
        <w:numPr>
          <w:ilvl w:val="0"/>
          <w:numId w:val="0"/>
        </w:numPr>
        <w:tabs>
          <w:tab w:val="left" w:pos="1134"/>
          <w:tab w:val="left" w:pos="1276"/>
        </w:tabs>
        <w:kinsoku/>
        <w:wordWrap/>
        <w:overflowPunct/>
        <w:topLinePunct w:val="0"/>
        <w:bidi w:val="0"/>
        <w:spacing w:line="360" w:lineRule="exact"/>
        <w:ind w:left="0" w:leftChars="0" w:firstLine="42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（6）</w:t>
      </w:r>
      <w:r>
        <w:rPr>
          <w:rFonts w:hint="eastAsia" w:ascii="宋体" w:hAnsi="宋体" w:eastAsia="宋体" w:cs="宋体"/>
          <w:color w:val="auto"/>
          <w:sz w:val="21"/>
          <w:szCs w:val="21"/>
          <w:highlight w:val="none"/>
        </w:rPr>
        <w:t>为本标段的监理人；</w:t>
      </w:r>
    </w:p>
    <w:p w14:paraId="08C04A1A">
      <w:pPr>
        <w:keepLines w:val="0"/>
        <w:numPr>
          <w:ilvl w:val="0"/>
          <w:numId w:val="0"/>
        </w:numPr>
        <w:tabs>
          <w:tab w:val="left" w:pos="1134"/>
          <w:tab w:val="left" w:pos="1276"/>
        </w:tabs>
        <w:kinsoku/>
        <w:wordWrap/>
        <w:overflowPunct/>
        <w:topLinePunct w:val="0"/>
        <w:bidi w:val="0"/>
        <w:spacing w:line="360" w:lineRule="exact"/>
        <w:ind w:left="0" w:leftChars="0" w:firstLine="42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（7）</w:t>
      </w:r>
      <w:r>
        <w:rPr>
          <w:rFonts w:hint="eastAsia" w:ascii="宋体" w:hAnsi="宋体" w:eastAsia="宋体" w:cs="宋体"/>
          <w:color w:val="auto"/>
          <w:sz w:val="21"/>
          <w:szCs w:val="21"/>
          <w:highlight w:val="none"/>
        </w:rPr>
        <w:t>为本标段的代建人；</w:t>
      </w:r>
    </w:p>
    <w:p w14:paraId="50BEF02E">
      <w:pPr>
        <w:keepLines w:val="0"/>
        <w:numPr>
          <w:ilvl w:val="0"/>
          <w:numId w:val="0"/>
        </w:numPr>
        <w:tabs>
          <w:tab w:val="left" w:pos="1134"/>
          <w:tab w:val="left" w:pos="1276"/>
        </w:tabs>
        <w:kinsoku/>
        <w:wordWrap/>
        <w:overflowPunct/>
        <w:topLinePunct w:val="0"/>
        <w:bidi w:val="0"/>
        <w:spacing w:line="360" w:lineRule="exact"/>
        <w:ind w:left="0" w:leftChars="0" w:firstLine="42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（8）</w:t>
      </w:r>
      <w:r>
        <w:rPr>
          <w:rFonts w:hint="eastAsia" w:ascii="宋体" w:hAnsi="宋体" w:eastAsia="宋体" w:cs="宋体"/>
          <w:color w:val="auto"/>
          <w:sz w:val="21"/>
          <w:szCs w:val="21"/>
          <w:highlight w:val="none"/>
        </w:rPr>
        <w:t>为本标段的招标代理机构；</w:t>
      </w:r>
    </w:p>
    <w:p w14:paraId="54D4F35D">
      <w:pPr>
        <w:keepLines w:val="0"/>
        <w:numPr>
          <w:ilvl w:val="0"/>
          <w:numId w:val="0"/>
        </w:numPr>
        <w:tabs>
          <w:tab w:val="left" w:pos="1134"/>
          <w:tab w:val="left" w:pos="1276"/>
        </w:tabs>
        <w:kinsoku/>
        <w:wordWrap/>
        <w:overflowPunct/>
        <w:topLinePunct w:val="0"/>
        <w:bidi w:val="0"/>
        <w:spacing w:line="360" w:lineRule="exact"/>
        <w:ind w:left="0" w:leftChars="0" w:firstLine="42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（9）</w:t>
      </w:r>
      <w:r>
        <w:rPr>
          <w:rFonts w:hint="eastAsia" w:ascii="宋体" w:hAnsi="宋体" w:eastAsia="宋体" w:cs="宋体"/>
          <w:color w:val="auto"/>
          <w:sz w:val="21"/>
          <w:szCs w:val="21"/>
          <w:highlight w:val="none"/>
        </w:rPr>
        <w:t>与本标段的监理人或代建人或招标代理机构同为一个法定代表人；</w:t>
      </w:r>
    </w:p>
    <w:p w14:paraId="6F075A75">
      <w:pPr>
        <w:keepLines w:val="0"/>
        <w:numPr>
          <w:ilvl w:val="0"/>
          <w:numId w:val="0"/>
        </w:numPr>
        <w:tabs>
          <w:tab w:val="left" w:pos="1134"/>
          <w:tab w:val="left" w:pos="1276"/>
        </w:tabs>
        <w:kinsoku/>
        <w:wordWrap/>
        <w:overflowPunct/>
        <w:topLinePunct w:val="0"/>
        <w:bidi w:val="0"/>
        <w:spacing w:line="360" w:lineRule="exact"/>
        <w:ind w:left="0" w:leftChars="0" w:firstLine="42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（10）</w:t>
      </w:r>
      <w:r>
        <w:rPr>
          <w:rFonts w:hint="eastAsia" w:ascii="宋体" w:hAnsi="宋体" w:eastAsia="宋体" w:cs="宋体"/>
          <w:color w:val="auto"/>
          <w:sz w:val="21"/>
          <w:szCs w:val="21"/>
          <w:highlight w:val="none"/>
        </w:rPr>
        <w:t>与本标段的监理人或代建人或招标代理机构存在控股或参股关系；</w:t>
      </w:r>
    </w:p>
    <w:p w14:paraId="50925100">
      <w:pPr>
        <w:keepLines w:val="0"/>
        <w:numPr>
          <w:ilvl w:val="0"/>
          <w:numId w:val="0"/>
        </w:numPr>
        <w:tabs>
          <w:tab w:val="left" w:pos="1134"/>
          <w:tab w:val="left" w:pos="1276"/>
        </w:tabs>
        <w:kinsoku/>
        <w:wordWrap/>
        <w:overflowPunct/>
        <w:topLinePunct w:val="0"/>
        <w:bidi w:val="0"/>
        <w:spacing w:line="360" w:lineRule="exact"/>
        <w:ind w:left="0" w:leftChars="0" w:firstLine="42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（11）</w:t>
      </w:r>
      <w:r>
        <w:rPr>
          <w:rFonts w:hint="eastAsia" w:ascii="宋体" w:hAnsi="宋体" w:eastAsia="宋体" w:cs="宋体"/>
          <w:color w:val="auto"/>
          <w:sz w:val="21"/>
          <w:szCs w:val="21"/>
          <w:highlight w:val="none"/>
        </w:rPr>
        <w:t>法律法规或投标人须知前附表规定的其他情形。</w:t>
      </w:r>
    </w:p>
    <w:p w14:paraId="21901F02">
      <w:pPr>
        <w:keepLines w:val="0"/>
        <w:kinsoku/>
        <w:wordWrap/>
        <w:overflowPunct/>
        <w:topLinePunct w:val="0"/>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1.4.4投标人（包括联合体各成员）不得存在下列不良状况或不良信用记录：</w:t>
      </w:r>
    </w:p>
    <w:p w14:paraId="4E0095AD">
      <w:pPr>
        <w:keepLines w:val="0"/>
        <w:numPr>
          <w:ilvl w:val="0"/>
          <w:numId w:val="0"/>
        </w:numPr>
        <w:tabs>
          <w:tab w:val="left" w:pos="1134"/>
        </w:tabs>
        <w:kinsoku/>
        <w:wordWrap/>
        <w:overflowPunct/>
        <w:topLinePunct w:val="0"/>
        <w:bidi w:val="0"/>
        <w:spacing w:line="360" w:lineRule="exact"/>
        <w:ind w:left="0" w:leftChars="0" w:firstLine="42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（1）</w:t>
      </w:r>
      <w:r>
        <w:rPr>
          <w:rFonts w:hint="eastAsia" w:ascii="宋体" w:hAnsi="宋体" w:eastAsia="宋体" w:cs="宋体"/>
          <w:color w:val="auto"/>
          <w:sz w:val="21"/>
          <w:szCs w:val="21"/>
          <w:highlight w:val="none"/>
        </w:rPr>
        <w:t>被省级及以上交通运输主管部门取消招标项目所在地的投标资格且处于有效期内；</w:t>
      </w:r>
    </w:p>
    <w:p w14:paraId="4D1BCD74">
      <w:pPr>
        <w:keepLines w:val="0"/>
        <w:numPr>
          <w:ilvl w:val="0"/>
          <w:numId w:val="0"/>
        </w:numPr>
        <w:tabs>
          <w:tab w:val="left" w:pos="1134"/>
        </w:tabs>
        <w:kinsoku/>
        <w:wordWrap/>
        <w:overflowPunct/>
        <w:topLinePunct w:val="0"/>
        <w:bidi w:val="0"/>
        <w:spacing w:line="360" w:lineRule="exact"/>
        <w:ind w:left="0" w:leftChars="0" w:firstLine="42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（2）</w:t>
      </w:r>
      <w:r>
        <w:rPr>
          <w:rFonts w:hint="eastAsia" w:ascii="宋体" w:hAnsi="宋体" w:eastAsia="宋体" w:cs="宋体"/>
          <w:color w:val="auto"/>
          <w:sz w:val="21"/>
          <w:szCs w:val="21"/>
          <w:highlight w:val="none"/>
        </w:rPr>
        <w:t>被责令停业，暂扣或吊销执照，或吊销资质证书；</w:t>
      </w:r>
    </w:p>
    <w:p w14:paraId="1FDA71F1">
      <w:pPr>
        <w:keepLines w:val="0"/>
        <w:numPr>
          <w:ilvl w:val="0"/>
          <w:numId w:val="0"/>
        </w:numPr>
        <w:tabs>
          <w:tab w:val="left" w:pos="1134"/>
        </w:tabs>
        <w:kinsoku/>
        <w:wordWrap/>
        <w:overflowPunct/>
        <w:topLinePunct w:val="0"/>
        <w:bidi w:val="0"/>
        <w:spacing w:line="360" w:lineRule="exact"/>
        <w:ind w:left="0" w:leftChars="0" w:firstLine="42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（3）</w:t>
      </w:r>
      <w:r>
        <w:rPr>
          <w:rFonts w:hint="eastAsia" w:ascii="宋体" w:hAnsi="宋体" w:eastAsia="宋体" w:cs="宋体"/>
          <w:color w:val="auto"/>
          <w:sz w:val="21"/>
          <w:szCs w:val="21"/>
          <w:highlight w:val="none"/>
        </w:rPr>
        <w:t>进入清算程序，或被宣告破产，或其他丧失履约能力的情形；</w:t>
      </w:r>
    </w:p>
    <w:p w14:paraId="364D0D2C">
      <w:pPr>
        <w:keepLines w:val="0"/>
        <w:numPr>
          <w:ilvl w:val="0"/>
          <w:numId w:val="0"/>
        </w:numPr>
        <w:tabs>
          <w:tab w:val="left" w:pos="1134"/>
        </w:tabs>
        <w:kinsoku/>
        <w:wordWrap/>
        <w:overflowPunct/>
        <w:topLinePunct w:val="0"/>
        <w:bidi w:val="0"/>
        <w:spacing w:line="360" w:lineRule="exact"/>
        <w:ind w:left="0" w:leftChars="0" w:firstLine="42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（4）</w:t>
      </w:r>
      <w:r>
        <w:rPr>
          <w:rFonts w:hint="eastAsia" w:ascii="宋体" w:hAnsi="宋体" w:eastAsia="宋体" w:cs="宋体"/>
          <w:color w:val="auto"/>
          <w:sz w:val="21"/>
          <w:szCs w:val="21"/>
          <w:highlight w:val="none"/>
        </w:rPr>
        <w:t>在国家企业信用信息公示系统（http://www.gsxt.gov.cn/）中被列入严重违法失信企业名单；</w:t>
      </w:r>
    </w:p>
    <w:p w14:paraId="092D8AC5">
      <w:pPr>
        <w:keepLines w:val="0"/>
        <w:numPr>
          <w:ilvl w:val="0"/>
          <w:numId w:val="0"/>
        </w:numPr>
        <w:tabs>
          <w:tab w:val="left" w:pos="1134"/>
        </w:tabs>
        <w:kinsoku/>
        <w:wordWrap/>
        <w:overflowPunct/>
        <w:topLinePunct w:val="0"/>
        <w:bidi w:val="0"/>
        <w:spacing w:line="360" w:lineRule="exact"/>
        <w:ind w:left="0" w:leftChars="0" w:firstLine="42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（5）</w:t>
      </w:r>
      <w:r>
        <w:rPr>
          <w:rFonts w:hint="eastAsia" w:ascii="宋体" w:hAnsi="宋体" w:eastAsia="宋体" w:cs="宋体"/>
          <w:color w:val="auto"/>
          <w:sz w:val="21"/>
          <w:szCs w:val="21"/>
          <w:highlight w:val="none"/>
        </w:rPr>
        <w:t>在“信用中国”网站（http://www.creditchina.gov.cn/）中被列入失信被执行人名单；</w:t>
      </w:r>
    </w:p>
    <w:p w14:paraId="4CD3A685">
      <w:pPr>
        <w:keepLines w:val="0"/>
        <w:numPr>
          <w:ilvl w:val="0"/>
          <w:numId w:val="0"/>
        </w:numPr>
        <w:tabs>
          <w:tab w:val="left" w:pos="1134"/>
        </w:tabs>
        <w:kinsoku/>
        <w:wordWrap/>
        <w:overflowPunct/>
        <w:topLinePunct w:val="0"/>
        <w:bidi w:val="0"/>
        <w:spacing w:line="360" w:lineRule="exact"/>
        <w:ind w:left="0" w:leftChars="0" w:firstLine="42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（6）</w:t>
      </w:r>
      <w:r>
        <w:rPr>
          <w:rFonts w:hint="eastAsia" w:ascii="宋体" w:hAnsi="宋体" w:eastAsia="宋体" w:cs="宋体"/>
          <w:color w:val="auto"/>
          <w:sz w:val="21"/>
          <w:szCs w:val="21"/>
          <w:highlight w:val="none"/>
        </w:rPr>
        <w:t>投标人或其法定代表人、拟委任的项目经理在近三年内有行贿犯罪行为的；</w:t>
      </w:r>
    </w:p>
    <w:p w14:paraId="24017FDF">
      <w:pPr>
        <w:keepLines w:val="0"/>
        <w:numPr>
          <w:ilvl w:val="0"/>
          <w:numId w:val="0"/>
        </w:numPr>
        <w:tabs>
          <w:tab w:val="left" w:pos="1134"/>
        </w:tabs>
        <w:kinsoku/>
        <w:wordWrap/>
        <w:overflowPunct/>
        <w:topLinePunct w:val="0"/>
        <w:bidi w:val="0"/>
        <w:spacing w:line="360" w:lineRule="exact"/>
        <w:ind w:left="0" w:leftChars="0" w:firstLine="42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（7）</w:t>
      </w:r>
      <w:r>
        <w:rPr>
          <w:rFonts w:hint="eastAsia" w:ascii="宋体" w:hAnsi="宋体" w:eastAsia="宋体" w:cs="宋体"/>
          <w:color w:val="auto"/>
          <w:sz w:val="21"/>
          <w:szCs w:val="21"/>
          <w:highlight w:val="none"/>
        </w:rPr>
        <w:t>法律法规或投标人须知前附表规定的其他情形。</w:t>
      </w:r>
    </w:p>
    <w:p w14:paraId="4013ED23">
      <w:pPr>
        <w:keepLines w:val="0"/>
        <w:kinsoku/>
        <w:wordWrap/>
        <w:overflowPunct/>
        <w:topLinePunct w:val="0"/>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1.4.5投标人（包括联合体各成员）应进入交通运输部“全国公路建设市场监督管理系统（https://hwdms.mot.gov.cn）”中的公路工程施工资质企业名录，且投标人名称和资质与该名录中的相应企业名称和资质完全一致。投标人不满足本项规定条件的，将被否决投标。</w:t>
      </w:r>
      <w:r>
        <w:rPr>
          <w:rStyle w:val="13"/>
          <w:rFonts w:hint="eastAsia" w:ascii="宋体" w:hAnsi="宋体" w:eastAsia="宋体" w:cs="宋体"/>
          <w:color w:val="auto"/>
          <w:sz w:val="21"/>
          <w:szCs w:val="21"/>
          <w:highlight w:val="none"/>
        </w:rPr>
        <w:footnoteReference w:id="0"/>
      </w:r>
    </w:p>
    <w:p w14:paraId="36B83890">
      <w:pPr>
        <w:keepLines w:val="0"/>
        <w:kinsoku/>
        <w:wordWrap/>
        <w:overflowPunct/>
        <w:topLinePunct w:val="0"/>
        <w:bidi w:val="0"/>
        <w:spacing w:line="360" w:lineRule="exact"/>
        <w:ind w:firstLine="420" w:firstLineChars="200"/>
        <w:textAlignment w:val="auto"/>
        <w:rPr>
          <w:rFonts w:hint="eastAsia" w:ascii="宋体" w:hAnsi="宋体" w:eastAsia="宋体" w:cs="宋体"/>
          <w:sz w:val="21"/>
          <w:szCs w:val="21"/>
        </w:rPr>
      </w:pPr>
    </w:p>
    <w:bookmarkEnd w:id="6"/>
    <w:bookmarkEnd w:id="7"/>
    <w:bookmarkEnd w:id="8"/>
    <w:p w14:paraId="0CA13484">
      <w:pPr>
        <w:keepLines w:val="0"/>
        <w:kinsoku/>
        <w:wordWrap/>
        <w:overflowPunct/>
        <w:topLinePunct w:val="0"/>
        <w:bidi w:val="0"/>
        <w:spacing w:beforeLines="100" w:line="360" w:lineRule="exact"/>
        <w:jc w:val="center"/>
        <w:textAlignment w:val="auto"/>
        <w:outlineLvl w:val="2"/>
        <w:rPr>
          <w:rFonts w:hint="eastAsia" w:ascii="宋体" w:hAnsi="宋体" w:eastAsia="宋体" w:cs="宋体"/>
          <w:b/>
          <w:color w:val="auto"/>
          <w:sz w:val="21"/>
          <w:szCs w:val="21"/>
          <w:highlight w:val="none"/>
        </w:rPr>
      </w:pPr>
      <w:bookmarkStart w:id="9" w:name="_Toc4238"/>
      <w:r>
        <w:rPr>
          <w:rFonts w:hint="eastAsia" w:ascii="宋体" w:hAnsi="宋体" w:eastAsia="宋体" w:cs="宋体"/>
          <w:b/>
          <w:color w:val="auto"/>
          <w:sz w:val="21"/>
          <w:szCs w:val="21"/>
          <w:highlight w:val="none"/>
        </w:rPr>
        <w:t>附录1 资格审查条件（资质最低要求）</w:t>
      </w:r>
      <w:bookmarkEnd w:id="9"/>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9"/>
        <w:gridCol w:w="8387"/>
      </w:tblGrid>
      <w:tr w14:paraId="66D69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29" w:type="dxa"/>
            <w:tcBorders>
              <w:top w:val="single" w:color="auto" w:sz="12" w:space="0"/>
              <w:left w:val="single" w:color="auto" w:sz="12" w:space="0"/>
            </w:tcBorders>
            <w:vAlign w:val="center"/>
          </w:tcPr>
          <w:p w14:paraId="0F9FE94B">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标段</w:t>
            </w:r>
          </w:p>
        </w:tc>
        <w:tc>
          <w:tcPr>
            <w:tcW w:w="8387" w:type="dxa"/>
            <w:tcBorders>
              <w:top w:val="single" w:color="auto" w:sz="12" w:space="0"/>
              <w:right w:val="single" w:color="auto" w:sz="12" w:space="0"/>
            </w:tcBorders>
            <w:vAlign w:val="center"/>
          </w:tcPr>
          <w:p w14:paraId="66515D4F">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施工企业资质等级要求</w:t>
            </w:r>
          </w:p>
        </w:tc>
      </w:tr>
      <w:tr w14:paraId="55799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29" w:type="dxa"/>
            <w:tcBorders>
              <w:left w:val="single" w:color="auto" w:sz="12" w:space="0"/>
            </w:tcBorders>
            <w:shd w:val="clear" w:color="auto" w:fill="auto"/>
            <w:vAlign w:val="center"/>
          </w:tcPr>
          <w:p w14:paraId="35AFB8A4">
            <w:pPr>
              <w:pStyle w:val="6"/>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BS26YH02</w:t>
            </w:r>
          </w:p>
        </w:tc>
        <w:tc>
          <w:tcPr>
            <w:tcW w:w="8387" w:type="dxa"/>
            <w:tcBorders>
              <w:right w:val="single" w:color="auto" w:sz="12" w:space="0"/>
            </w:tcBorders>
            <w:shd w:val="clear" w:color="auto" w:fill="auto"/>
            <w:vAlign w:val="center"/>
          </w:tcPr>
          <w:p w14:paraId="060CC2B8">
            <w:pPr>
              <w:keepNext w:val="0"/>
              <w:keepLines w:val="0"/>
              <w:pageBreakBefore w:val="0"/>
              <w:widowControl/>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highlight w:val="none"/>
              </w:rPr>
            </w:pPr>
            <w:r>
              <w:rPr>
                <w:rFonts w:hint="eastAsia" w:ascii="宋体" w:hAnsi="宋体" w:eastAsia="宋体" w:cs="宋体"/>
                <w:sz w:val="21"/>
                <w:szCs w:val="21"/>
              </w:rPr>
              <w:t>⑴交通运输主管部门</w:t>
            </w:r>
            <w:r>
              <w:rPr>
                <w:rFonts w:hint="eastAsia" w:ascii="宋体" w:hAnsi="宋体" w:eastAsia="宋体" w:cs="宋体"/>
                <w:sz w:val="21"/>
                <w:szCs w:val="21"/>
                <w:highlight w:val="none"/>
              </w:rPr>
              <w:t>颁发的路基路面养护</w:t>
            </w:r>
            <w:r>
              <w:rPr>
                <w:rFonts w:hint="eastAsia" w:ascii="宋体" w:hAnsi="宋体" w:eastAsia="宋体" w:cs="宋体"/>
                <w:sz w:val="21"/>
                <w:szCs w:val="21"/>
                <w:highlight w:val="none"/>
                <w:lang w:val="en-US" w:eastAsia="zh-CN"/>
              </w:rPr>
              <w:t>甲级或乙</w:t>
            </w:r>
            <w:r>
              <w:rPr>
                <w:rFonts w:hint="eastAsia" w:ascii="宋体" w:hAnsi="宋体" w:eastAsia="宋体" w:cs="宋体"/>
                <w:sz w:val="21"/>
                <w:szCs w:val="21"/>
                <w:highlight w:val="none"/>
              </w:rPr>
              <w:t>级资质；</w:t>
            </w:r>
          </w:p>
          <w:p w14:paraId="60084ABF">
            <w:pPr>
              <w:keepNext w:val="0"/>
              <w:keepLines w:val="0"/>
              <w:pageBreakBefore w:val="0"/>
              <w:widowControl/>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⑵交通运输主管部门颁发的桥梁养护</w:t>
            </w:r>
            <w:r>
              <w:rPr>
                <w:rFonts w:hint="eastAsia" w:ascii="宋体" w:hAnsi="宋体" w:eastAsia="宋体" w:cs="宋体"/>
                <w:sz w:val="21"/>
                <w:szCs w:val="21"/>
                <w:highlight w:val="none"/>
                <w:lang w:val="en-US" w:eastAsia="zh-CN"/>
              </w:rPr>
              <w:t>甲</w:t>
            </w:r>
            <w:r>
              <w:rPr>
                <w:rFonts w:hint="eastAsia" w:ascii="宋体" w:hAnsi="宋体" w:eastAsia="宋体" w:cs="宋体"/>
                <w:sz w:val="21"/>
                <w:szCs w:val="21"/>
                <w:highlight w:val="none"/>
              </w:rPr>
              <w:t>级资质</w:t>
            </w:r>
            <w:r>
              <w:rPr>
                <w:rFonts w:hint="eastAsia" w:ascii="宋体" w:hAnsi="宋体" w:eastAsia="宋体" w:cs="宋体"/>
                <w:sz w:val="21"/>
                <w:szCs w:val="21"/>
                <w:highlight w:val="none"/>
                <w:lang w:eastAsia="zh-CN"/>
              </w:rPr>
              <w:t>；</w:t>
            </w:r>
          </w:p>
          <w:p w14:paraId="510FFB9A">
            <w:pPr>
              <w:keepNext w:val="0"/>
              <w:keepLines w:val="0"/>
              <w:pageBreakBefore w:val="0"/>
              <w:widowControl/>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⑶交通运输主管部门颁发的交通安全设施养护资质。</w:t>
            </w:r>
          </w:p>
        </w:tc>
      </w:tr>
    </w:tbl>
    <w:p w14:paraId="50AA2E30">
      <w:pPr>
        <w:keepLines w:val="0"/>
        <w:kinsoku/>
        <w:wordWrap/>
        <w:overflowPunct/>
        <w:topLinePunct w:val="0"/>
        <w:bidi w:val="0"/>
        <w:spacing w:beforeLines="100" w:line="360" w:lineRule="exact"/>
        <w:jc w:val="center"/>
        <w:textAlignment w:val="auto"/>
        <w:outlineLvl w:val="2"/>
        <w:rPr>
          <w:rFonts w:hint="eastAsia" w:ascii="宋体" w:hAnsi="宋体" w:eastAsia="宋体" w:cs="宋体"/>
          <w:b/>
          <w:color w:val="auto"/>
          <w:sz w:val="21"/>
          <w:szCs w:val="21"/>
          <w:highlight w:val="none"/>
        </w:rPr>
      </w:pPr>
      <w:bookmarkStart w:id="10" w:name="_Toc21897"/>
      <w:r>
        <w:rPr>
          <w:rFonts w:hint="eastAsia" w:ascii="宋体" w:hAnsi="宋体" w:eastAsia="宋体" w:cs="宋体"/>
          <w:b/>
          <w:color w:val="auto"/>
          <w:sz w:val="21"/>
          <w:szCs w:val="21"/>
          <w:highlight w:val="none"/>
        </w:rPr>
        <w:t>附录2 资格审查条件（财务最低要求）</w:t>
      </w:r>
      <w:bookmarkEnd w:id="10"/>
    </w:p>
    <w:tbl>
      <w:tblPr>
        <w:tblStyle w:val="11"/>
        <w:tblW w:w="95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16"/>
      </w:tblGrid>
      <w:tr w14:paraId="3B75F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16" w:type="dxa"/>
            <w:tcBorders>
              <w:top w:val="single" w:color="auto" w:sz="12" w:space="0"/>
              <w:left w:val="single" w:color="auto" w:sz="12" w:space="0"/>
              <w:bottom w:val="single" w:color="auto" w:sz="4" w:space="0"/>
              <w:right w:val="single" w:color="auto" w:sz="12" w:space="0"/>
            </w:tcBorders>
            <w:vAlign w:val="center"/>
          </w:tcPr>
          <w:p w14:paraId="421F7B81">
            <w:pPr>
              <w:keepLines w:val="0"/>
              <w:kinsoku/>
              <w:wordWrap/>
              <w:overflowPunct/>
              <w:topLinePunct w:val="0"/>
              <w:bidi w:val="0"/>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财务要求</w:t>
            </w:r>
          </w:p>
        </w:tc>
      </w:tr>
      <w:tr w14:paraId="5E82D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16" w:type="dxa"/>
            <w:tcBorders>
              <w:top w:val="single" w:color="auto" w:sz="4" w:space="0"/>
              <w:left w:val="single" w:color="auto" w:sz="12" w:space="0"/>
              <w:bottom w:val="single" w:color="auto" w:sz="12" w:space="0"/>
              <w:right w:val="single" w:color="auto" w:sz="12" w:space="0"/>
            </w:tcBorders>
            <w:vAlign w:val="center"/>
          </w:tcPr>
          <w:p w14:paraId="37133A0C">
            <w:pPr>
              <w:keepLines w:val="0"/>
              <w:widowControl/>
              <w:kinsoku/>
              <w:wordWrap/>
              <w:overflowPunct/>
              <w:topLinePunct w:val="0"/>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投标人</w:t>
            </w:r>
            <w:r>
              <w:rPr>
                <w:rFonts w:hint="eastAsia" w:ascii="宋体" w:hAnsi="宋体" w:eastAsia="宋体" w:cs="宋体"/>
                <w:color w:val="auto"/>
                <w:sz w:val="21"/>
                <w:szCs w:val="21"/>
                <w:highlight w:val="none"/>
              </w:rPr>
              <w:t>具有健全的财务会计制度</w:t>
            </w:r>
          </w:p>
        </w:tc>
      </w:tr>
    </w:tbl>
    <w:p w14:paraId="28BD4EAA">
      <w:pPr>
        <w:keepLines w:val="0"/>
        <w:kinsoku/>
        <w:wordWrap/>
        <w:overflowPunct/>
        <w:topLinePunct w:val="0"/>
        <w:bidi w:val="0"/>
        <w:spacing w:beforeLines="100" w:line="360" w:lineRule="exact"/>
        <w:jc w:val="center"/>
        <w:textAlignment w:val="auto"/>
        <w:outlineLvl w:val="2"/>
        <w:rPr>
          <w:rFonts w:hint="eastAsia" w:ascii="宋体" w:hAnsi="宋体" w:eastAsia="宋体" w:cs="宋体"/>
          <w:b/>
          <w:color w:val="auto"/>
          <w:sz w:val="21"/>
          <w:szCs w:val="21"/>
          <w:highlight w:val="none"/>
        </w:rPr>
      </w:pPr>
      <w:bookmarkStart w:id="11" w:name="_Toc15911"/>
      <w:bookmarkStart w:id="12" w:name="_Toc4002"/>
      <w:r>
        <w:rPr>
          <w:rFonts w:hint="eastAsia" w:ascii="宋体" w:hAnsi="宋体" w:eastAsia="宋体" w:cs="宋体"/>
          <w:b/>
          <w:color w:val="auto"/>
          <w:sz w:val="21"/>
          <w:szCs w:val="21"/>
          <w:highlight w:val="none"/>
        </w:rPr>
        <w:t>附录3 资格审查条件（业绩最低要求）</w:t>
      </w:r>
      <w:bookmarkEnd w:id="11"/>
      <w:bookmarkEnd w:id="12"/>
    </w:p>
    <w:tbl>
      <w:tblPr>
        <w:tblStyle w:val="11"/>
        <w:tblW w:w="95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16"/>
      </w:tblGrid>
      <w:tr w14:paraId="4A6C5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16" w:type="dxa"/>
            <w:tcBorders>
              <w:top w:val="single" w:color="auto" w:sz="12" w:space="0"/>
              <w:left w:val="single" w:color="auto" w:sz="12" w:space="0"/>
              <w:bottom w:val="single" w:color="auto" w:sz="4" w:space="0"/>
              <w:right w:val="single" w:color="auto" w:sz="12" w:space="0"/>
            </w:tcBorders>
            <w:vAlign w:val="center"/>
          </w:tcPr>
          <w:p w14:paraId="5734BE49">
            <w:pPr>
              <w:keepLines w:val="0"/>
              <w:kinsoku/>
              <w:wordWrap/>
              <w:overflowPunct/>
              <w:topLinePunct w:val="0"/>
              <w:bidi w:val="0"/>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业绩要求</w:t>
            </w:r>
          </w:p>
        </w:tc>
      </w:tr>
      <w:tr w14:paraId="61187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16" w:type="dxa"/>
            <w:tcBorders>
              <w:top w:val="single" w:color="auto" w:sz="4" w:space="0"/>
              <w:left w:val="single" w:color="auto" w:sz="12" w:space="0"/>
              <w:bottom w:val="single" w:color="auto" w:sz="12" w:space="0"/>
              <w:right w:val="single" w:color="auto" w:sz="12" w:space="0"/>
            </w:tcBorders>
            <w:vAlign w:val="center"/>
          </w:tcPr>
          <w:p w14:paraId="6D9E95ED">
            <w:pPr>
              <w:keepLines w:val="0"/>
              <w:widowControl/>
              <w:kinsoku/>
              <w:wordWrap/>
              <w:overflowPunct/>
              <w:topLinePunct w:val="0"/>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sz w:val="21"/>
                <w:szCs w:val="21"/>
                <w:highlight w:val="none"/>
                <w:lang w:val="en-US" w:eastAsia="zh-CN"/>
              </w:rPr>
              <w:t>无</w:t>
            </w:r>
          </w:p>
        </w:tc>
      </w:tr>
    </w:tbl>
    <w:p w14:paraId="2E79D091">
      <w:pPr>
        <w:keepLines w:val="0"/>
        <w:kinsoku/>
        <w:wordWrap/>
        <w:overflowPunct/>
        <w:topLinePunct w:val="0"/>
        <w:bidi w:val="0"/>
        <w:spacing w:beforeLines="100" w:line="360" w:lineRule="exact"/>
        <w:jc w:val="center"/>
        <w:textAlignment w:val="auto"/>
        <w:outlineLvl w:val="2"/>
        <w:rPr>
          <w:rFonts w:hint="eastAsia" w:ascii="宋体" w:hAnsi="宋体" w:eastAsia="宋体" w:cs="宋体"/>
          <w:b/>
          <w:color w:val="auto"/>
          <w:sz w:val="21"/>
          <w:szCs w:val="21"/>
          <w:highlight w:val="none"/>
        </w:rPr>
      </w:pPr>
      <w:bookmarkStart w:id="13" w:name="_Toc12938"/>
      <w:r>
        <w:rPr>
          <w:rFonts w:hint="eastAsia" w:ascii="宋体" w:hAnsi="宋体" w:eastAsia="宋体" w:cs="宋体"/>
          <w:b/>
          <w:color w:val="auto"/>
          <w:sz w:val="21"/>
          <w:szCs w:val="21"/>
          <w:highlight w:val="none"/>
        </w:rPr>
        <w:t>附录4 资格审查条件（信誉最低要求）</w:t>
      </w:r>
      <w:bookmarkEnd w:id="13"/>
    </w:p>
    <w:tbl>
      <w:tblPr>
        <w:tblStyle w:val="11"/>
        <w:tblW w:w="95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21"/>
      </w:tblGrid>
      <w:tr w14:paraId="19884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21" w:type="dxa"/>
            <w:tcBorders>
              <w:top w:val="single" w:color="auto" w:sz="12" w:space="0"/>
              <w:left w:val="single" w:color="auto" w:sz="12" w:space="0"/>
              <w:right w:val="single" w:color="auto" w:sz="12" w:space="0"/>
            </w:tcBorders>
            <w:vAlign w:val="center"/>
          </w:tcPr>
          <w:p w14:paraId="3085664E">
            <w:pPr>
              <w:keepLines w:val="0"/>
              <w:kinsoku/>
              <w:wordWrap/>
              <w:overflowPunct/>
              <w:topLinePunct w:val="0"/>
              <w:bidi w:val="0"/>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信誉要求</w:t>
            </w:r>
          </w:p>
        </w:tc>
      </w:tr>
      <w:tr w14:paraId="4C3DF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21" w:type="dxa"/>
            <w:tcBorders>
              <w:left w:val="single" w:color="auto" w:sz="12" w:space="0"/>
              <w:bottom w:val="single" w:color="auto" w:sz="12" w:space="0"/>
              <w:right w:val="single" w:color="auto" w:sz="12" w:space="0"/>
            </w:tcBorders>
            <w:vAlign w:val="center"/>
          </w:tcPr>
          <w:p w14:paraId="06CFF101">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sz w:val="21"/>
                <w:szCs w:val="21"/>
                <w:highlight w:val="none"/>
                <w:lang w:val="en-US" w:eastAsia="zh-CN"/>
              </w:rPr>
              <w:t>无</w:t>
            </w:r>
          </w:p>
        </w:tc>
      </w:tr>
    </w:tbl>
    <w:p w14:paraId="5C780492">
      <w:pPr>
        <w:keepLines w:val="0"/>
        <w:kinsoku/>
        <w:wordWrap/>
        <w:overflowPunct/>
        <w:topLinePunct w:val="0"/>
        <w:bidi w:val="0"/>
        <w:spacing w:beforeLines="100" w:line="360" w:lineRule="exact"/>
        <w:jc w:val="center"/>
        <w:textAlignment w:val="auto"/>
        <w:outlineLvl w:val="2"/>
        <w:rPr>
          <w:rFonts w:hint="eastAsia" w:ascii="宋体" w:hAnsi="宋体" w:eastAsia="宋体" w:cs="宋体"/>
          <w:b/>
          <w:color w:val="auto"/>
          <w:sz w:val="21"/>
          <w:szCs w:val="21"/>
          <w:highlight w:val="none"/>
        </w:rPr>
      </w:pPr>
      <w:bookmarkStart w:id="14" w:name="_Toc3030"/>
      <w:r>
        <w:rPr>
          <w:rFonts w:hint="eastAsia" w:ascii="宋体" w:hAnsi="宋体" w:eastAsia="宋体" w:cs="宋体"/>
          <w:b/>
          <w:color w:val="auto"/>
          <w:sz w:val="21"/>
          <w:szCs w:val="21"/>
          <w:highlight w:val="none"/>
        </w:rPr>
        <w:t>附录5 资格审查条件（项目经理和项目总工最低要求）</w:t>
      </w:r>
      <w:bookmarkEnd w:id="14"/>
    </w:p>
    <w:tbl>
      <w:tblPr>
        <w:tblStyle w:val="11"/>
        <w:tblW w:w="9469"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098"/>
        <w:gridCol w:w="1239"/>
        <w:gridCol w:w="5751"/>
        <w:gridCol w:w="1381"/>
      </w:tblGrid>
      <w:tr w14:paraId="23F8239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98" w:type="dxa"/>
            <w:tcBorders>
              <w:tl2br w:val="nil"/>
              <w:tr2bl w:val="nil"/>
            </w:tcBorders>
            <w:noWrap w:val="0"/>
            <w:vAlign w:val="center"/>
          </w:tcPr>
          <w:p w14:paraId="34C75093">
            <w:pPr>
              <w:keepLines w:val="0"/>
              <w:kinsoku/>
              <w:wordWrap/>
              <w:overflowPunct/>
              <w:topLinePunct w:val="0"/>
              <w:bidi w:val="0"/>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人员</w:t>
            </w:r>
            <w:r>
              <w:rPr>
                <w:rFonts w:hint="eastAsia" w:ascii="宋体" w:hAnsi="宋体" w:eastAsia="宋体" w:cs="宋体"/>
                <w:bCs/>
                <w:color w:val="auto"/>
                <w:sz w:val="21"/>
                <w:szCs w:val="21"/>
                <w:highlight w:val="none"/>
                <w:vertAlign w:val="superscript"/>
              </w:rPr>
              <w:footnoteReference w:id="1"/>
            </w:r>
          </w:p>
        </w:tc>
        <w:tc>
          <w:tcPr>
            <w:tcW w:w="1239" w:type="dxa"/>
            <w:tcBorders>
              <w:tl2br w:val="nil"/>
              <w:tr2bl w:val="nil"/>
            </w:tcBorders>
            <w:noWrap w:val="0"/>
            <w:vAlign w:val="center"/>
          </w:tcPr>
          <w:p w14:paraId="73F9E5AA">
            <w:pPr>
              <w:keepLines w:val="0"/>
              <w:kinsoku/>
              <w:wordWrap/>
              <w:overflowPunct/>
              <w:topLinePunct w:val="0"/>
              <w:bidi w:val="0"/>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sz w:val="21"/>
                <w:szCs w:val="21"/>
                <w:highlight w:val="none"/>
              </w:rPr>
              <w:t>数量</w:t>
            </w:r>
            <w:r>
              <w:rPr>
                <w:rFonts w:hint="eastAsia" w:ascii="宋体" w:hAnsi="宋体" w:eastAsia="宋体" w:cs="宋体"/>
                <w:sz w:val="21"/>
                <w:szCs w:val="21"/>
                <w:highlight w:val="none"/>
              </w:rPr>
              <w:br w:type="textWrapping"/>
            </w:r>
            <w:r>
              <w:rPr>
                <w:rFonts w:hint="eastAsia" w:ascii="宋体" w:hAnsi="宋体" w:eastAsia="宋体" w:cs="宋体"/>
                <w:sz w:val="21"/>
                <w:szCs w:val="21"/>
                <w:highlight w:val="none"/>
              </w:rPr>
              <w:t>（人</w:t>
            </w:r>
            <w:r>
              <w:rPr>
                <w:rFonts w:hint="eastAsia" w:ascii="宋体" w:hAnsi="宋体" w:eastAsia="宋体" w:cs="宋体"/>
                <w:sz w:val="21"/>
                <w:szCs w:val="21"/>
                <w:highlight w:val="none"/>
                <w:lang w:val="en-US" w:eastAsia="zh-CN"/>
              </w:rPr>
              <w:t>/标段</w:t>
            </w:r>
            <w:r>
              <w:rPr>
                <w:rFonts w:hint="eastAsia" w:ascii="宋体" w:hAnsi="宋体" w:eastAsia="宋体" w:cs="宋体"/>
                <w:sz w:val="21"/>
                <w:szCs w:val="21"/>
                <w:highlight w:val="none"/>
              </w:rPr>
              <w:t>）</w:t>
            </w:r>
          </w:p>
        </w:tc>
        <w:tc>
          <w:tcPr>
            <w:tcW w:w="5751" w:type="dxa"/>
            <w:tcBorders>
              <w:tl2br w:val="nil"/>
              <w:tr2bl w:val="nil"/>
            </w:tcBorders>
            <w:noWrap w:val="0"/>
            <w:vAlign w:val="center"/>
          </w:tcPr>
          <w:p w14:paraId="6D469D0D">
            <w:pPr>
              <w:keepLines w:val="0"/>
              <w:kinsoku/>
              <w:wordWrap/>
              <w:overflowPunct/>
              <w:topLinePunct w:val="0"/>
              <w:bidi w:val="0"/>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资格要求</w:t>
            </w:r>
          </w:p>
        </w:tc>
        <w:tc>
          <w:tcPr>
            <w:tcW w:w="1381" w:type="dxa"/>
            <w:tcBorders>
              <w:tl2br w:val="nil"/>
              <w:tr2bl w:val="nil"/>
            </w:tcBorders>
            <w:noWrap w:val="0"/>
            <w:vAlign w:val="center"/>
          </w:tcPr>
          <w:p w14:paraId="58274CA0">
            <w:pPr>
              <w:keepLines w:val="0"/>
              <w:kinsoku/>
              <w:wordWrap/>
              <w:overflowPunct/>
              <w:topLinePunct w:val="0"/>
              <w:bidi w:val="0"/>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在岗要求</w:t>
            </w:r>
          </w:p>
        </w:tc>
      </w:tr>
      <w:tr w14:paraId="698BFD6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98" w:type="dxa"/>
            <w:tcBorders>
              <w:tl2br w:val="nil"/>
              <w:tr2bl w:val="nil"/>
            </w:tcBorders>
            <w:noWrap w:val="0"/>
            <w:vAlign w:val="center"/>
          </w:tcPr>
          <w:p w14:paraId="69BCA4E8">
            <w:pPr>
              <w:keepLines w:val="0"/>
              <w:kinsoku/>
              <w:wordWrap/>
              <w:overflowPunct/>
              <w:topLinePunct w:val="0"/>
              <w:bidi w:val="0"/>
              <w:spacing w:line="360" w:lineRule="exact"/>
              <w:jc w:val="center"/>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项目经理</w:t>
            </w:r>
          </w:p>
        </w:tc>
        <w:tc>
          <w:tcPr>
            <w:tcW w:w="1239" w:type="dxa"/>
            <w:tcBorders>
              <w:tl2br w:val="nil"/>
              <w:tr2bl w:val="nil"/>
            </w:tcBorders>
            <w:noWrap w:val="0"/>
            <w:vAlign w:val="center"/>
          </w:tcPr>
          <w:p w14:paraId="31602865">
            <w:pPr>
              <w:keepLines w:val="0"/>
              <w:kinsoku/>
              <w:wordWrap/>
              <w:overflowPunct/>
              <w:topLinePunct w:val="0"/>
              <w:bidi w:val="0"/>
              <w:spacing w:line="360" w:lineRule="exact"/>
              <w:jc w:val="center"/>
              <w:textAlignment w:val="auto"/>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rPr>
              <w:t>1</w:t>
            </w:r>
          </w:p>
        </w:tc>
        <w:tc>
          <w:tcPr>
            <w:tcW w:w="5751" w:type="dxa"/>
            <w:tcBorders>
              <w:tl2br w:val="nil"/>
              <w:tr2bl w:val="nil"/>
            </w:tcBorders>
            <w:noWrap w:val="0"/>
            <w:vAlign w:val="center"/>
          </w:tcPr>
          <w:p w14:paraId="38847473">
            <w:pPr>
              <w:keepNext w:val="0"/>
              <w:keepLines w:val="0"/>
              <w:pageBreakBefore w:val="0"/>
              <w:widowControl w:val="0"/>
              <w:kinsoku/>
              <w:wordWrap/>
              <w:overflowPunct/>
              <w:topLinePunct w:val="0"/>
              <w:autoSpaceDE w:val="0"/>
              <w:autoSpaceDN w:val="0"/>
              <w:bidi w:val="0"/>
              <w:adjustRightInd w:val="0"/>
              <w:snapToGrid/>
              <w:spacing w:line="360" w:lineRule="exact"/>
              <w:jc w:val="left"/>
              <w:textAlignment w:val="auto"/>
              <w:rPr>
                <w:rFonts w:hint="eastAsia" w:ascii="宋体" w:hAnsi="宋体" w:eastAsia="宋体" w:cs="宋体"/>
                <w:b w:val="0"/>
                <w:bCs/>
                <w:color w:val="auto"/>
                <w:sz w:val="21"/>
                <w:szCs w:val="21"/>
                <w:highlight w:val="none"/>
              </w:rPr>
            </w:pPr>
            <w:r>
              <w:rPr>
                <w:rFonts w:hint="eastAsia" w:ascii="宋体" w:hAnsi="宋体" w:eastAsia="宋体" w:cs="宋体"/>
                <w:bCs/>
                <w:color w:val="auto"/>
                <w:sz w:val="21"/>
                <w:szCs w:val="21"/>
                <w:highlight w:val="none"/>
                <w:lang w:eastAsia="zh-CN"/>
              </w:rPr>
              <w:t>（</w:t>
            </w:r>
            <w:r>
              <w:rPr>
                <w:rFonts w:hint="eastAsia" w:ascii="宋体" w:hAnsi="宋体" w:eastAsia="宋体" w:cs="宋体"/>
                <w:bCs/>
                <w:color w:val="auto"/>
                <w:sz w:val="21"/>
                <w:szCs w:val="21"/>
                <w:highlight w:val="none"/>
              </w:rPr>
              <w:t>1）投标</w:t>
            </w:r>
            <w:r>
              <w:rPr>
                <w:rFonts w:hint="eastAsia" w:ascii="宋体" w:hAnsi="宋体" w:eastAsia="宋体" w:cs="宋体"/>
                <w:b w:val="0"/>
                <w:bCs/>
                <w:color w:val="auto"/>
                <w:sz w:val="21"/>
                <w:szCs w:val="21"/>
                <w:highlight w:val="none"/>
              </w:rPr>
              <w:t>人</w:t>
            </w:r>
            <w:r>
              <w:rPr>
                <w:rFonts w:hint="eastAsia" w:ascii="宋体" w:hAnsi="宋体" w:eastAsia="宋体" w:cs="宋体"/>
                <w:sz w:val="21"/>
                <w:szCs w:val="21"/>
              </w:rPr>
              <w:t>（联合体投标的，指联合体牵头人）</w:t>
            </w:r>
            <w:r>
              <w:rPr>
                <w:rFonts w:hint="eastAsia" w:ascii="宋体" w:hAnsi="宋体" w:eastAsia="宋体" w:cs="宋体"/>
                <w:b/>
                <w:bCs w:val="0"/>
                <w:color w:val="auto"/>
                <w:sz w:val="21"/>
                <w:szCs w:val="21"/>
                <w:highlight w:val="none"/>
              </w:rPr>
              <w:t>自有</w:t>
            </w:r>
            <w:r>
              <w:rPr>
                <w:rStyle w:val="13"/>
                <w:rFonts w:hint="eastAsia" w:ascii="宋体" w:hAnsi="宋体" w:eastAsia="宋体" w:cs="宋体"/>
                <w:b w:val="0"/>
                <w:bCs/>
                <w:color w:val="auto"/>
                <w:sz w:val="21"/>
                <w:szCs w:val="21"/>
                <w:highlight w:val="none"/>
              </w:rPr>
              <w:footnoteReference w:id="2"/>
            </w:r>
            <w:r>
              <w:rPr>
                <w:rFonts w:hint="eastAsia" w:ascii="宋体" w:hAnsi="宋体" w:eastAsia="宋体" w:cs="宋体"/>
                <w:b w:val="0"/>
                <w:bCs/>
                <w:color w:val="auto"/>
                <w:sz w:val="21"/>
                <w:szCs w:val="21"/>
                <w:highlight w:val="none"/>
              </w:rPr>
              <w:t>人员；</w:t>
            </w:r>
          </w:p>
          <w:p w14:paraId="7B3049CA">
            <w:pPr>
              <w:keepNext w:val="0"/>
              <w:keepLines w:val="0"/>
              <w:pageBreakBefore w:val="0"/>
              <w:widowControl w:val="0"/>
              <w:kinsoku/>
              <w:wordWrap/>
              <w:overflowPunct/>
              <w:topLinePunct w:val="0"/>
              <w:autoSpaceDE w:val="0"/>
              <w:autoSpaceDN w:val="0"/>
              <w:bidi w:val="0"/>
              <w:adjustRightInd w:val="0"/>
              <w:snapToGrid/>
              <w:spacing w:line="360" w:lineRule="exact"/>
              <w:jc w:val="left"/>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w:t>
            </w:r>
            <w:r>
              <w:rPr>
                <w:rFonts w:hint="eastAsia" w:ascii="宋体" w:hAnsi="宋体" w:eastAsia="宋体" w:cs="宋体"/>
                <w:b w:val="0"/>
                <w:bCs/>
                <w:color w:val="auto"/>
                <w:sz w:val="21"/>
                <w:szCs w:val="21"/>
                <w:highlight w:val="none"/>
                <w:lang w:val="en-US" w:eastAsia="zh-CN"/>
              </w:rPr>
              <w:t>2</w:t>
            </w:r>
            <w:r>
              <w:rPr>
                <w:rFonts w:hint="eastAsia" w:ascii="宋体" w:hAnsi="宋体" w:eastAsia="宋体" w:cs="宋体"/>
                <w:b w:val="0"/>
                <w:bCs/>
                <w:color w:val="auto"/>
                <w:sz w:val="21"/>
                <w:szCs w:val="21"/>
                <w:highlight w:val="none"/>
              </w:rPr>
              <w:t>）具有建设行政主管部门颁发且已经在投标人单位注册的“公路工程”专业《</w:t>
            </w:r>
            <w:r>
              <w:rPr>
                <w:rFonts w:hint="eastAsia" w:ascii="宋体" w:hAnsi="宋体" w:eastAsia="宋体" w:cs="宋体"/>
                <w:b/>
                <w:bCs w:val="0"/>
                <w:color w:val="auto"/>
                <w:sz w:val="21"/>
                <w:szCs w:val="21"/>
                <w:highlight w:val="none"/>
                <w:lang w:val="en-US" w:eastAsia="zh-CN"/>
              </w:rPr>
              <w:t>一</w:t>
            </w:r>
            <w:r>
              <w:rPr>
                <w:rFonts w:hint="eastAsia" w:ascii="宋体" w:hAnsi="宋体" w:eastAsia="宋体" w:cs="宋体"/>
                <w:b/>
                <w:bCs w:val="0"/>
                <w:color w:val="auto"/>
                <w:sz w:val="21"/>
                <w:szCs w:val="21"/>
                <w:highlight w:val="none"/>
              </w:rPr>
              <w:t>级</w:t>
            </w:r>
            <w:r>
              <w:rPr>
                <w:rFonts w:hint="eastAsia" w:ascii="宋体" w:hAnsi="宋体" w:eastAsia="宋体" w:cs="宋体"/>
                <w:b w:val="0"/>
                <w:bCs/>
                <w:color w:val="auto"/>
                <w:sz w:val="21"/>
                <w:szCs w:val="21"/>
                <w:highlight w:val="none"/>
              </w:rPr>
              <w:t>建造师注册证书》；</w:t>
            </w:r>
          </w:p>
          <w:p w14:paraId="6C2EE21C">
            <w:pPr>
              <w:keepNext w:val="0"/>
              <w:keepLines w:val="0"/>
              <w:pageBreakBefore w:val="0"/>
              <w:widowControl w:val="0"/>
              <w:kinsoku/>
              <w:wordWrap/>
              <w:overflowPunct/>
              <w:topLinePunct w:val="0"/>
              <w:autoSpaceDE w:val="0"/>
              <w:autoSpaceDN w:val="0"/>
              <w:bidi w:val="0"/>
              <w:adjustRightInd w:val="0"/>
              <w:snapToGrid/>
              <w:spacing w:line="360" w:lineRule="exact"/>
              <w:jc w:val="left"/>
              <w:textAlignment w:val="auto"/>
              <w:rPr>
                <w:rFonts w:hint="eastAsia" w:ascii="宋体" w:hAnsi="宋体" w:eastAsia="宋体" w:cs="宋体"/>
                <w:bCs/>
                <w:color w:val="auto"/>
                <w:sz w:val="21"/>
                <w:szCs w:val="21"/>
                <w:highlight w:val="none"/>
              </w:rPr>
            </w:pPr>
            <w:r>
              <w:rPr>
                <w:rFonts w:hint="eastAsia" w:ascii="宋体" w:hAnsi="宋体" w:eastAsia="宋体" w:cs="宋体"/>
                <w:b w:val="0"/>
                <w:bCs/>
                <w:color w:val="auto"/>
                <w:sz w:val="21"/>
                <w:szCs w:val="21"/>
                <w:highlight w:val="none"/>
              </w:rPr>
              <w:t>（</w:t>
            </w:r>
            <w:r>
              <w:rPr>
                <w:rFonts w:hint="eastAsia" w:ascii="宋体" w:hAnsi="宋体" w:eastAsia="宋体" w:cs="宋体"/>
                <w:b w:val="0"/>
                <w:bCs/>
                <w:color w:val="auto"/>
                <w:sz w:val="21"/>
                <w:szCs w:val="21"/>
                <w:highlight w:val="none"/>
                <w:lang w:val="en-US" w:eastAsia="zh-CN"/>
              </w:rPr>
              <w:t>3</w:t>
            </w:r>
            <w:r>
              <w:rPr>
                <w:rFonts w:hint="eastAsia" w:ascii="宋体" w:hAnsi="宋体" w:eastAsia="宋体" w:cs="宋体"/>
                <w:b w:val="0"/>
                <w:bCs/>
                <w:color w:val="auto"/>
                <w:sz w:val="21"/>
                <w:szCs w:val="21"/>
                <w:highlight w:val="none"/>
              </w:rPr>
              <w:t>）具有交通运输主管部门颁发的有效的</w:t>
            </w:r>
            <w:r>
              <w:rPr>
                <w:rFonts w:hint="eastAsia" w:ascii="宋体" w:hAnsi="宋体" w:eastAsia="宋体" w:cs="宋体"/>
                <w:b/>
                <w:bCs w:val="0"/>
                <w:color w:val="auto"/>
                <w:sz w:val="21"/>
                <w:szCs w:val="21"/>
                <w:highlight w:val="none"/>
              </w:rPr>
              <w:t>B类</w:t>
            </w:r>
            <w:r>
              <w:rPr>
                <w:rFonts w:hint="eastAsia" w:ascii="宋体" w:hAnsi="宋体" w:eastAsia="宋体" w:cs="宋体"/>
                <w:bCs/>
                <w:color w:val="auto"/>
                <w:sz w:val="21"/>
                <w:szCs w:val="21"/>
                <w:highlight w:val="none"/>
              </w:rPr>
              <w:t>安全生产</w:t>
            </w:r>
            <w:r>
              <w:rPr>
                <w:rFonts w:hint="eastAsia" w:ascii="宋体" w:hAnsi="宋体" w:eastAsia="宋体" w:cs="宋体"/>
                <w:bCs/>
                <w:color w:val="auto"/>
                <w:sz w:val="21"/>
                <w:szCs w:val="21"/>
                <w:highlight w:val="none"/>
                <w:lang w:val="en-US" w:eastAsia="zh-CN"/>
              </w:rPr>
              <w:t>考核合格</w:t>
            </w:r>
            <w:r>
              <w:rPr>
                <w:rFonts w:hint="eastAsia" w:ascii="宋体" w:hAnsi="宋体" w:eastAsia="宋体" w:cs="宋体"/>
                <w:bCs/>
                <w:color w:val="auto"/>
                <w:sz w:val="21"/>
                <w:szCs w:val="21"/>
                <w:highlight w:val="none"/>
              </w:rPr>
              <w:t>证书。</w:t>
            </w:r>
          </w:p>
        </w:tc>
        <w:tc>
          <w:tcPr>
            <w:tcW w:w="1381" w:type="dxa"/>
            <w:vMerge w:val="restart"/>
            <w:tcBorders>
              <w:tl2br w:val="nil"/>
              <w:tr2bl w:val="nil"/>
            </w:tcBorders>
            <w:noWrap w:val="0"/>
            <w:vAlign w:val="center"/>
          </w:tcPr>
          <w:p w14:paraId="1DD2939E">
            <w:pPr>
              <w:keepLines w:val="0"/>
              <w:widowControl/>
              <w:kinsoku/>
              <w:wordWrap/>
              <w:overflowPunct/>
              <w:topLinePunct w:val="0"/>
              <w:bidi w:val="0"/>
              <w:spacing w:line="360" w:lineRule="exact"/>
              <w:jc w:val="center"/>
              <w:textAlignment w:val="auto"/>
              <w:rPr>
                <w:rFonts w:hint="eastAsia" w:ascii="宋体" w:hAnsi="宋体" w:eastAsia="宋体" w:cs="宋体"/>
                <w:bCs/>
                <w:color w:val="auto"/>
                <w:sz w:val="21"/>
                <w:szCs w:val="21"/>
                <w:highlight w:val="none"/>
              </w:rPr>
            </w:pPr>
            <w:r>
              <w:rPr>
                <w:rFonts w:hint="eastAsia" w:ascii="宋体" w:hAnsi="宋体" w:eastAsia="宋体" w:cs="宋体"/>
                <w:color w:val="auto"/>
                <w:kern w:val="0"/>
                <w:sz w:val="21"/>
                <w:szCs w:val="21"/>
                <w:highlight w:val="none"/>
              </w:rPr>
              <w:t>无在岗项目（指目前未在其他项目上任职，或虽在其他项目上任职但本项目中标后能</w:t>
            </w:r>
            <w:r>
              <w:rPr>
                <w:rFonts w:hint="eastAsia" w:ascii="宋体" w:hAnsi="宋体" w:eastAsia="宋体" w:cs="宋体"/>
                <w:color w:val="auto"/>
                <w:kern w:val="0"/>
                <w:sz w:val="21"/>
                <w:szCs w:val="21"/>
                <w:highlight w:val="none"/>
                <w:lang w:val="en-US" w:eastAsia="zh-CN"/>
              </w:rPr>
              <w:t>够</w:t>
            </w:r>
            <w:r>
              <w:rPr>
                <w:rFonts w:hint="eastAsia" w:ascii="宋体" w:hAnsi="宋体" w:eastAsia="宋体" w:cs="宋体"/>
                <w:color w:val="auto"/>
                <w:kern w:val="0"/>
                <w:sz w:val="21"/>
                <w:szCs w:val="21"/>
                <w:highlight w:val="none"/>
              </w:rPr>
              <w:t>从该项目撤离）</w:t>
            </w:r>
          </w:p>
        </w:tc>
      </w:tr>
      <w:tr w14:paraId="008991F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98" w:type="dxa"/>
            <w:tcBorders>
              <w:tl2br w:val="nil"/>
              <w:tr2bl w:val="nil"/>
            </w:tcBorders>
            <w:noWrap w:val="0"/>
            <w:vAlign w:val="center"/>
          </w:tcPr>
          <w:p w14:paraId="49D1E5F8">
            <w:pPr>
              <w:keepLines w:val="0"/>
              <w:kinsoku/>
              <w:wordWrap/>
              <w:overflowPunct/>
              <w:topLinePunct w:val="0"/>
              <w:bidi w:val="0"/>
              <w:spacing w:line="360" w:lineRule="exact"/>
              <w:jc w:val="center"/>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项目总工</w:t>
            </w:r>
          </w:p>
        </w:tc>
        <w:tc>
          <w:tcPr>
            <w:tcW w:w="1239" w:type="dxa"/>
            <w:tcBorders>
              <w:tl2br w:val="nil"/>
              <w:tr2bl w:val="nil"/>
            </w:tcBorders>
            <w:noWrap w:val="0"/>
            <w:vAlign w:val="center"/>
          </w:tcPr>
          <w:p w14:paraId="363A1040">
            <w:pPr>
              <w:keepLines w:val="0"/>
              <w:kinsoku/>
              <w:wordWrap/>
              <w:overflowPunct/>
              <w:topLinePunct w:val="0"/>
              <w:bidi w:val="0"/>
              <w:spacing w:line="360" w:lineRule="exact"/>
              <w:jc w:val="center"/>
              <w:textAlignment w:val="auto"/>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rPr>
              <w:t>1</w:t>
            </w:r>
          </w:p>
        </w:tc>
        <w:tc>
          <w:tcPr>
            <w:tcW w:w="5751" w:type="dxa"/>
            <w:tcBorders>
              <w:tl2br w:val="nil"/>
              <w:tr2bl w:val="nil"/>
            </w:tcBorders>
            <w:noWrap w:val="0"/>
            <w:vAlign w:val="center"/>
          </w:tcPr>
          <w:p w14:paraId="23F200B0">
            <w:pPr>
              <w:keepLines w:val="0"/>
              <w:kinsoku/>
              <w:wordWrap/>
              <w:overflowPunct/>
              <w:topLinePunct w:val="0"/>
              <w:bidi w:val="0"/>
              <w:spacing w:line="360" w:lineRule="exact"/>
              <w:textAlignment w:val="auto"/>
              <w:rPr>
                <w:rFonts w:hint="eastAsia" w:ascii="宋体" w:hAnsi="宋体" w:eastAsia="宋体" w:cs="宋体"/>
                <w:bCs/>
                <w:sz w:val="21"/>
                <w:szCs w:val="21"/>
                <w:highlight w:val="none"/>
              </w:rPr>
            </w:pPr>
            <w:r>
              <w:rPr>
                <w:rFonts w:hint="eastAsia" w:ascii="宋体" w:hAnsi="宋体" w:eastAsia="宋体" w:cs="宋体"/>
                <w:bCs/>
                <w:sz w:val="21"/>
                <w:szCs w:val="21"/>
                <w:highlight w:val="none"/>
              </w:rPr>
              <w:t>（1）投标人</w:t>
            </w:r>
            <w:r>
              <w:rPr>
                <w:rFonts w:hint="eastAsia" w:ascii="宋体" w:hAnsi="宋体" w:eastAsia="宋体" w:cs="宋体"/>
                <w:sz w:val="21"/>
                <w:szCs w:val="21"/>
              </w:rPr>
              <w:t>（联合体投标的，指联合体牵头人）</w:t>
            </w:r>
            <w:r>
              <w:rPr>
                <w:rFonts w:hint="eastAsia" w:ascii="宋体" w:hAnsi="宋体" w:eastAsia="宋体" w:cs="宋体"/>
                <w:b/>
                <w:bCs/>
                <w:sz w:val="21"/>
                <w:szCs w:val="21"/>
                <w:highlight w:val="none"/>
              </w:rPr>
              <w:t>自有</w:t>
            </w:r>
            <w:r>
              <w:rPr>
                <w:rFonts w:hint="eastAsia" w:ascii="宋体" w:hAnsi="宋体" w:eastAsia="宋体" w:cs="宋体"/>
                <w:bCs/>
                <w:sz w:val="21"/>
                <w:szCs w:val="21"/>
                <w:highlight w:val="none"/>
              </w:rPr>
              <w:t>人员；</w:t>
            </w:r>
          </w:p>
          <w:p w14:paraId="143C4EAB">
            <w:pPr>
              <w:keepNext w:val="0"/>
              <w:keepLines w:val="0"/>
              <w:pageBreakBefore w:val="0"/>
              <w:widowControl w:val="0"/>
              <w:kinsoku/>
              <w:wordWrap/>
              <w:overflowPunct/>
              <w:topLinePunct w:val="0"/>
              <w:bidi w:val="0"/>
              <w:snapToGrid/>
              <w:spacing w:line="360" w:lineRule="exact"/>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sz w:val="21"/>
                <w:szCs w:val="21"/>
                <w:highlight w:val="none"/>
              </w:rPr>
              <w:t>（2）</w:t>
            </w:r>
            <w:r>
              <w:rPr>
                <w:rFonts w:hint="eastAsia" w:ascii="宋体" w:hAnsi="宋体" w:eastAsia="宋体" w:cs="宋体"/>
                <w:b w:val="0"/>
                <w:bCs/>
                <w:color w:val="auto"/>
                <w:sz w:val="21"/>
                <w:szCs w:val="21"/>
                <w:highlight w:val="none"/>
                <w:lang w:val="en-US" w:eastAsia="zh-CN"/>
              </w:rPr>
              <w:t>具有</w:t>
            </w:r>
            <w:r>
              <w:rPr>
                <w:rFonts w:hint="eastAsia" w:ascii="宋体" w:hAnsi="宋体" w:eastAsia="宋体" w:cs="宋体"/>
                <w:b w:val="0"/>
                <w:bCs/>
                <w:color w:val="auto"/>
                <w:sz w:val="21"/>
                <w:szCs w:val="21"/>
                <w:highlight w:val="none"/>
              </w:rPr>
              <w:t>公路工程相关专业</w:t>
            </w:r>
            <w:r>
              <w:rPr>
                <w:rStyle w:val="13"/>
                <w:rFonts w:hint="eastAsia" w:ascii="宋体" w:hAnsi="宋体" w:eastAsia="宋体" w:cs="宋体"/>
                <w:b w:val="0"/>
                <w:bCs/>
                <w:color w:val="auto"/>
                <w:sz w:val="21"/>
                <w:szCs w:val="21"/>
                <w:highlight w:val="none"/>
              </w:rPr>
              <w:footnoteReference w:id="3"/>
            </w:r>
            <w:r>
              <w:rPr>
                <w:rFonts w:hint="eastAsia" w:ascii="宋体" w:hAnsi="宋体" w:eastAsia="宋体" w:cs="宋体"/>
                <w:b/>
                <w:bCs w:val="0"/>
                <w:color w:val="auto"/>
                <w:sz w:val="21"/>
                <w:szCs w:val="21"/>
                <w:highlight w:val="none"/>
                <w:lang w:val="en-US" w:eastAsia="zh-CN"/>
              </w:rPr>
              <w:t>高级</w:t>
            </w:r>
            <w:r>
              <w:rPr>
                <w:rFonts w:hint="eastAsia" w:ascii="宋体" w:hAnsi="宋体" w:eastAsia="宋体" w:cs="宋体"/>
                <w:b w:val="0"/>
                <w:bCs/>
                <w:color w:val="auto"/>
                <w:sz w:val="21"/>
                <w:szCs w:val="21"/>
                <w:highlight w:val="none"/>
                <w:lang w:val="en-US" w:eastAsia="zh-CN"/>
              </w:rPr>
              <w:t>职称</w:t>
            </w:r>
            <w:r>
              <w:rPr>
                <w:rFonts w:hint="eastAsia" w:ascii="宋体" w:hAnsi="宋体" w:eastAsia="宋体" w:cs="宋体"/>
                <w:bCs/>
                <w:sz w:val="21"/>
                <w:szCs w:val="21"/>
                <w:highlight w:val="none"/>
                <w:lang w:eastAsia="zh-CN"/>
              </w:rPr>
              <w:t>。</w:t>
            </w:r>
          </w:p>
        </w:tc>
        <w:tc>
          <w:tcPr>
            <w:tcW w:w="1381" w:type="dxa"/>
            <w:vMerge w:val="continue"/>
            <w:tcBorders>
              <w:tl2br w:val="nil"/>
              <w:tr2bl w:val="nil"/>
            </w:tcBorders>
            <w:noWrap w:val="0"/>
            <w:vAlign w:val="top"/>
          </w:tcPr>
          <w:p w14:paraId="11A10507">
            <w:pPr>
              <w:keepLines w:val="0"/>
              <w:widowControl/>
              <w:kinsoku/>
              <w:wordWrap/>
              <w:overflowPunct/>
              <w:topLinePunct w:val="0"/>
              <w:bidi w:val="0"/>
              <w:spacing w:line="360" w:lineRule="exact"/>
              <w:jc w:val="left"/>
              <w:textAlignment w:val="auto"/>
              <w:rPr>
                <w:rFonts w:hint="eastAsia" w:ascii="宋体" w:hAnsi="宋体" w:eastAsia="宋体" w:cs="宋体"/>
                <w:bCs/>
                <w:color w:val="auto"/>
                <w:sz w:val="21"/>
                <w:szCs w:val="21"/>
                <w:highlight w:val="none"/>
              </w:rPr>
            </w:pPr>
          </w:p>
        </w:tc>
      </w:tr>
    </w:tbl>
    <w:p w14:paraId="3943F173">
      <w:pPr>
        <w:keepNext w:val="0"/>
        <w:keepLines w:val="0"/>
        <w:pageBreakBefore/>
        <w:widowControl w:val="0"/>
        <w:kinsoku/>
        <w:wordWrap/>
        <w:overflowPunct/>
        <w:topLinePunct w:val="0"/>
        <w:autoSpaceDE/>
        <w:autoSpaceDN/>
        <w:bidi w:val="0"/>
        <w:adjustRightInd w:val="0"/>
        <w:snapToGrid w:val="0"/>
        <w:spacing w:beforeLines="100" w:afterLines="100" w:line="360" w:lineRule="exact"/>
        <w:jc w:val="center"/>
        <w:textAlignment w:val="auto"/>
        <w:outlineLvl w:val="1"/>
        <w:rPr>
          <w:rFonts w:hint="eastAsia" w:ascii="宋体" w:hAnsi="宋体" w:eastAsia="宋体" w:cs="宋体"/>
          <w:b/>
          <w:color w:val="auto"/>
          <w:sz w:val="21"/>
          <w:szCs w:val="21"/>
          <w:highlight w:val="none"/>
          <w:lang w:val="zh-CN"/>
        </w:rPr>
      </w:pPr>
      <w:r>
        <w:rPr>
          <w:rFonts w:hint="eastAsia" w:ascii="宋体" w:hAnsi="宋体" w:eastAsia="宋体" w:cs="宋体"/>
          <w:b/>
          <w:color w:val="auto"/>
          <w:sz w:val="21"/>
          <w:szCs w:val="21"/>
          <w:highlight w:val="none"/>
        </w:rPr>
        <w:t>评标办法（技术评分最低标价法）</w:t>
      </w:r>
    </w:p>
    <w:p w14:paraId="53E135EE">
      <w:pPr>
        <w:keepLines w:val="0"/>
        <w:kinsoku/>
        <w:wordWrap/>
        <w:overflowPunct/>
        <w:topLinePunct w:val="0"/>
        <w:bidi w:val="0"/>
        <w:spacing w:line="360" w:lineRule="exact"/>
        <w:textAlignment w:val="auto"/>
        <w:outlineLvl w:val="1"/>
        <w:rPr>
          <w:rFonts w:hint="eastAsia" w:ascii="宋体" w:hAnsi="宋体" w:eastAsia="宋体" w:cs="宋体"/>
          <w:b/>
          <w:color w:val="auto"/>
          <w:sz w:val="21"/>
          <w:szCs w:val="21"/>
          <w:highlight w:val="none"/>
        </w:rPr>
      </w:pPr>
      <w:bookmarkStart w:id="15" w:name="_Toc520285006"/>
      <w:bookmarkStart w:id="16" w:name="_Toc505091277"/>
      <w:bookmarkStart w:id="17" w:name="_Toc22726"/>
      <w:r>
        <w:rPr>
          <w:rFonts w:hint="eastAsia" w:ascii="宋体" w:hAnsi="宋体" w:eastAsia="宋体" w:cs="宋体"/>
          <w:b/>
          <w:color w:val="auto"/>
          <w:sz w:val="21"/>
          <w:szCs w:val="21"/>
          <w:highlight w:val="none"/>
        </w:rPr>
        <w:t>评标办法前附表</w:t>
      </w:r>
      <w:bookmarkEnd w:id="15"/>
      <w:bookmarkEnd w:id="16"/>
      <w:bookmarkEnd w:id="17"/>
    </w:p>
    <w:tbl>
      <w:tblPr>
        <w:tblStyle w:val="11"/>
        <w:tblW w:w="95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9"/>
        <w:gridCol w:w="1636"/>
        <w:gridCol w:w="7002"/>
      </w:tblGrid>
      <w:tr w14:paraId="75ED1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blHeader/>
          <w:jc w:val="center"/>
        </w:trPr>
        <w:tc>
          <w:tcPr>
            <w:tcW w:w="2535" w:type="dxa"/>
            <w:gridSpan w:val="2"/>
            <w:tcBorders>
              <w:top w:val="single" w:color="auto" w:sz="12" w:space="0"/>
              <w:left w:val="single" w:color="auto" w:sz="12" w:space="0"/>
            </w:tcBorders>
            <w:vAlign w:val="center"/>
          </w:tcPr>
          <w:p w14:paraId="61E07BD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
                <w:bCs/>
                <w:color w:val="auto"/>
                <w:sz w:val="21"/>
                <w:szCs w:val="21"/>
                <w:lang w:val="zh-CN"/>
              </w:rPr>
            </w:pPr>
            <w:r>
              <w:rPr>
                <w:rFonts w:hint="eastAsia" w:ascii="宋体" w:hAnsi="宋体" w:eastAsia="宋体" w:cs="宋体"/>
                <w:b/>
                <w:bCs/>
                <w:color w:val="auto"/>
                <w:sz w:val="21"/>
                <w:szCs w:val="21"/>
                <w:lang w:val="zh-CN"/>
              </w:rPr>
              <w:t>条款号</w:t>
            </w:r>
          </w:p>
        </w:tc>
        <w:tc>
          <w:tcPr>
            <w:tcW w:w="7002" w:type="dxa"/>
            <w:tcBorders>
              <w:top w:val="single" w:color="auto" w:sz="12" w:space="0"/>
              <w:right w:val="single" w:color="auto" w:sz="12" w:space="0"/>
            </w:tcBorders>
            <w:vAlign w:val="center"/>
          </w:tcPr>
          <w:p w14:paraId="2A069C3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
                <w:bCs/>
                <w:color w:val="auto"/>
                <w:sz w:val="21"/>
                <w:szCs w:val="21"/>
                <w:lang w:val="zh-CN"/>
              </w:rPr>
            </w:pPr>
            <w:r>
              <w:rPr>
                <w:rFonts w:hint="eastAsia" w:ascii="宋体" w:hAnsi="宋体" w:eastAsia="宋体" w:cs="宋体"/>
                <w:b/>
                <w:bCs/>
                <w:color w:val="auto"/>
                <w:sz w:val="21"/>
                <w:szCs w:val="21"/>
                <w:lang w:val="zh-CN"/>
              </w:rPr>
              <w:t>评审因素与标准</w:t>
            </w:r>
          </w:p>
        </w:tc>
      </w:tr>
      <w:tr w14:paraId="6623F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899" w:type="dxa"/>
            <w:tcBorders>
              <w:left w:val="single" w:color="auto" w:sz="12" w:space="0"/>
            </w:tcBorders>
            <w:vAlign w:val="center"/>
          </w:tcPr>
          <w:p w14:paraId="1693E2FB">
            <w:pPr>
              <w:keepNext w:val="0"/>
              <w:keepLines w:val="0"/>
              <w:pageBreakBefore w:val="0"/>
              <w:widowControl w:val="0"/>
              <w:kinsoku/>
              <w:wordWrap/>
              <w:overflowPunct/>
              <w:topLinePunct w:val="0"/>
              <w:autoSpaceDE w:val="0"/>
              <w:autoSpaceDN w:val="0"/>
              <w:bidi w:val="0"/>
              <w:adjustRightInd w:val="0"/>
              <w:spacing w:line="360" w:lineRule="exact"/>
              <w:jc w:val="center"/>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1</w:t>
            </w:r>
          </w:p>
        </w:tc>
        <w:tc>
          <w:tcPr>
            <w:tcW w:w="1636" w:type="dxa"/>
            <w:vAlign w:val="center"/>
          </w:tcPr>
          <w:p w14:paraId="15D8F595">
            <w:pPr>
              <w:keepNext w:val="0"/>
              <w:keepLines w:val="0"/>
              <w:pageBreakBefore w:val="0"/>
              <w:widowControl w:val="0"/>
              <w:kinsoku/>
              <w:wordWrap/>
              <w:overflowPunct/>
              <w:topLinePunct w:val="0"/>
              <w:autoSpaceDE w:val="0"/>
              <w:autoSpaceDN w:val="0"/>
              <w:bidi w:val="0"/>
              <w:adjustRightInd w:val="0"/>
              <w:spacing w:line="360" w:lineRule="exact"/>
              <w:jc w:val="center"/>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评标办法</w:t>
            </w:r>
          </w:p>
        </w:tc>
        <w:tc>
          <w:tcPr>
            <w:tcW w:w="7002" w:type="dxa"/>
            <w:tcBorders>
              <w:right w:val="single" w:color="auto" w:sz="12" w:space="0"/>
            </w:tcBorders>
            <w:vAlign w:val="center"/>
          </w:tcPr>
          <w:p w14:paraId="2646D5BB">
            <w:pPr>
              <w:pStyle w:val="25"/>
              <w:keepNext w:val="0"/>
              <w:keepLines w:val="0"/>
              <w:pageBreakBefore w:val="0"/>
              <w:widowControl w:val="0"/>
              <w:shd w:val="clear" w:color="auto" w:fill="auto"/>
              <w:tabs>
                <w:tab w:val="left" w:pos="1055"/>
              </w:tabs>
              <w:kinsoku/>
              <w:wordWrap/>
              <w:overflowPunct/>
              <w:topLinePunct w:val="0"/>
              <w:bidi w:val="0"/>
              <w:spacing w:before="0" w:after="0" w:line="360" w:lineRule="exact"/>
              <w:ind w:firstLine="315" w:firstLineChars="15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2"/>
                <w:sz w:val="21"/>
                <w:szCs w:val="21"/>
                <w:highlight w:val="none"/>
                <w:lang w:val="en-US" w:eastAsia="zh-CN"/>
              </w:rPr>
              <w:t>评标价相等时，按照第一信封的排序规则和结果推荐中标候选人。</w:t>
            </w:r>
          </w:p>
        </w:tc>
      </w:tr>
      <w:tr w14:paraId="7CC2A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899" w:type="dxa"/>
            <w:vMerge w:val="restart"/>
            <w:tcBorders>
              <w:left w:val="single" w:color="auto" w:sz="12" w:space="0"/>
            </w:tcBorders>
            <w:vAlign w:val="center"/>
          </w:tcPr>
          <w:p w14:paraId="7AEB55A2">
            <w:pPr>
              <w:keepNext w:val="0"/>
              <w:keepLines w:val="0"/>
              <w:pageBreakBefore w:val="0"/>
              <w:widowControl w:val="0"/>
              <w:kinsoku/>
              <w:wordWrap/>
              <w:overflowPunct/>
              <w:topLinePunct w:val="0"/>
              <w:autoSpaceDE w:val="0"/>
              <w:autoSpaceDN w:val="0"/>
              <w:bidi w:val="0"/>
              <w:adjustRightInd w:val="0"/>
              <w:spacing w:line="360" w:lineRule="exact"/>
              <w:jc w:val="center"/>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2.1.1</w:t>
            </w:r>
          </w:p>
          <w:p w14:paraId="671959BA">
            <w:pPr>
              <w:keepNext w:val="0"/>
              <w:keepLines w:val="0"/>
              <w:pageBreakBefore w:val="0"/>
              <w:widowControl w:val="0"/>
              <w:kinsoku/>
              <w:wordWrap/>
              <w:overflowPunct/>
              <w:topLinePunct w:val="0"/>
              <w:autoSpaceDE w:val="0"/>
              <w:autoSpaceDN w:val="0"/>
              <w:bidi w:val="0"/>
              <w:adjustRightInd w:val="0"/>
              <w:spacing w:line="360" w:lineRule="exact"/>
              <w:jc w:val="center"/>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2.1.3</w:t>
            </w:r>
          </w:p>
        </w:tc>
        <w:tc>
          <w:tcPr>
            <w:tcW w:w="1636" w:type="dxa"/>
            <w:vAlign w:val="center"/>
          </w:tcPr>
          <w:p w14:paraId="77985FDD">
            <w:pPr>
              <w:keepNext w:val="0"/>
              <w:keepLines w:val="0"/>
              <w:pageBreakBefore w:val="0"/>
              <w:widowControl w:val="0"/>
              <w:kinsoku/>
              <w:wordWrap/>
              <w:overflowPunct/>
              <w:topLinePunct w:val="0"/>
              <w:autoSpaceDE w:val="0"/>
              <w:autoSpaceDN w:val="0"/>
              <w:bidi w:val="0"/>
              <w:adjustRightInd w:val="0"/>
              <w:spacing w:line="360" w:lineRule="exact"/>
              <w:jc w:val="center"/>
              <w:textAlignment w:val="auto"/>
              <w:rPr>
                <w:rFonts w:hint="eastAsia" w:ascii="宋体" w:hAnsi="宋体" w:eastAsia="宋体" w:cs="宋体"/>
                <w:b/>
                <w:color w:val="auto"/>
                <w:sz w:val="21"/>
                <w:szCs w:val="21"/>
                <w:highlight w:val="none"/>
                <w:lang w:val="zh-CN"/>
              </w:rPr>
            </w:pPr>
            <w:r>
              <w:rPr>
                <w:rFonts w:hint="eastAsia" w:ascii="宋体" w:hAnsi="宋体" w:eastAsia="宋体" w:cs="宋体"/>
                <w:b/>
                <w:color w:val="auto"/>
                <w:sz w:val="21"/>
                <w:szCs w:val="21"/>
                <w:highlight w:val="none"/>
                <w:lang w:val="zh-CN"/>
              </w:rPr>
              <w:t>第一</w:t>
            </w:r>
            <w:r>
              <w:rPr>
                <w:rFonts w:hint="eastAsia" w:ascii="宋体" w:hAnsi="宋体" w:eastAsia="宋体" w:cs="宋体"/>
                <w:b/>
                <w:color w:val="auto"/>
                <w:sz w:val="21"/>
                <w:szCs w:val="21"/>
                <w:highlight w:val="none"/>
                <w:lang w:val="en-US" w:eastAsia="zh-CN"/>
              </w:rPr>
              <w:t>个</w:t>
            </w:r>
            <w:r>
              <w:rPr>
                <w:rFonts w:hint="eastAsia" w:ascii="宋体" w:hAnsi="宋体" w:eastAsia="宋体" w:cs="宋体"/>
                <w:b/>
                <w:color w:val="auto"/>
                <w:sz w:val="21"/>
                <w:szCs w:val="21"/>
                <w:highlight w:val="none"/>
                <w:lang w:val="zh-CN"/>
              </w:rPr>
              <w:t>信封</w:t>
            </w:r>
          </w:p>
          <w:p w14:paraId="3AA9B375">
            <w:pPr>
              <w:keepNext w:val="0"/>
              <w:keepLines w:val="0"/>
              <w:pageBreakBefore w:val="0"/>
              <w:widowControl w:val="0"/>
              <w:kinsoku/>
              <w:wordWrap/>
              <w:overflowPunct/>
              <w:topLinePunct w:val="0"/>
              <w:autoSpaceDE w:val="0"/>
              <w:autoSpaceDN w:val="0"/>
              <w:bidi w:val="0"/>
              <w:adjustRightInd w:val="0"/>
              <w:spacing w:line="360" w:lineRule="exact"/>
              <w:jc w:val="center"/>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形式评审与响应性评审标准</w:t>
            </w:r>
          </w:p>
        </w:tc>
        <w:tc>
          <w:tcPr>
            <w:tcW w:w="7002" w:type="dxa"/>
            <w:tcBorders>
              <w:right w:val="single" w:color="auto" w:sz="12" w:space="0"/>
            </w:tcBorders>
            <w:vAlign w:val="center"/>
          </w:tcPr>
          <w:p w14:paraId="7E12724A">
            <w:pPr>
              <w:keepNext w:val="0"/>
              <w:keepLines w:val="0"/>
              <w:pageBreakBefore w:val="0"/>
              <w:widowControl w:val="0"/>
              <w:kinsoku/>
              <w:wordWrap/>
              <w:overflowPunct/>
              <w:topLinePunct w:val="0"/>
              <w:bidi w:val="0"/>
              <w:adjustRightInd w:val="0"/>
              <w:snapToGrid w:val="0"/>
              <w:spacing w:line="360" w:lineRule="exact"/>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第一个信封（商务及技术文件）评审标准：</w:t>
            </w:r>
          </w:p>
          <w:p w14:paraId="43EDA3A9">
            <w:pPr>
              <w:pStyle w:val="25"/>
              <w:keepNext w:val="0"/>
              <w:keepLines w:val="0"/>
              <w:pageBreakBefore w:val="0"/>
              <w:widowControl w:val="0"/>
              <w:shd w:val="clear" w:color="auto" w:fill="auto"/>
              <w:tabs>
                <w:tab w:val="left" w:pos="1055"/>
              </w:tabs>
              <w:kinsoku/>
              <w:wordWrap/>
              <w:overflowPunct/>
              <w:topLinePunct w:val="0"/>
              <w:bidi w:val="0"/>
              <w:spacing w:before="0" w:after="0" w:line="36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Style w:val="26"/>
                <w:rFonts w:hint="eastAsia" w:ascii="宋体" w:hAnsi="宋体" w:eastAsia="宋体" w:cs="宋体"/>
                <w:color w:val="auto"/>
                <w:sz w:val="21"/>
                <w:szCs w:val="21"/>
                <w:highlight w:val="none"/>
              </w:rPr>
              <w:t>（1）投标文件按照招标文件规定的格式、内容填写，字迹清晰可辨：</w:t>
            </w:r>
          </w:p>
          <w:p w14:paraId="49C3A624">
            <w:pPr>
              <w:pStyle w:val="25"/>
              <w:keepNext w:val="0"/>
              <w:keepLines w:val="0"/>
              <w:pageBreakBefore w:val="0"/>
              <w:widowControl w:val="0"/>
              <w:shd w:val="clear" w:color="auto" w:fill="auto"/>
              <w:tabs>
                <w:tab w:val="left" w:pos="1053"/>
              </w:tabs>
              <w:kinsoku/>
              <w:wordWrap/>
              <w:overflowPunct/>
              <w:topLinePunct w:val="0"/>
              <w:bidi w:val="0"/>
              <w:spacing w:before="0" w:after="0" w:line="360" w:lineRule="exact"/>
              <w:ind w:firstLine="420" w:firstLineChars="200"/>
              <w:jc w:val="left"/>
              <w:textAlignment w:val="auto"/>
              <w:rPr>
                <w:rStyle w:val="26"/>
                <w:rFonts w:hint="eastAsia" w:ascii="宋体" w:hAnsi="宋体" w:eastAsia="宋体" w:cs="宋体"/>
                <w:color w:val="auto"/>
                <w:sz w:val="21"/>
                <w:szCs w:val="21"/>
                <w:highlight w:val="none"/>
              </w:rPr>
            </w:pPr>
            <w:r>
              <w:rPr>
                <w:rStyle w:val="26"/>
                <w:rFonts w:hint="eastAsia" w:ascii="宋体" w:hAnsi="宋体" w:eastAsia="宋体" w:cs="宋体"/>
                <w:color w:val="auto"/>
                <w:sz w:val="21"/>
                <w:szCs w:val="21"/>
                <w:highlight w:val="none"/>
              </w:rPr>
              <w:t>a</w:t>
            </w:r>
            <w:r>
              <w:rPr>
                <w:rStyle w:val="26"/>
                <w:rFonts w:hint="eastAsia" w:ascii="宋体" w:hAnsi="宋体" w:eastAsia="宋体" w:cs="宋体"/>
                <w:color w:val="auto"/>
                <w:sz w:val="21"/>
                <w:szCs w:val="21"/>
                <w:highlight w:val="none"/>
                <w:lang w:val="en-US"/>
              </w:rPr>
              <w:t>.</w:t>
            </w:r>
            <w:r>
              <w:rPr>
                <w:rStyle w:val="26"/>
                <w:rFonts w:hint="eastAsia" w:ascii="宋体" w:hAnsi="宋体" w:eastAsia="宋体" w:cs="宋体"/>
                <w:color w:val="auto"/>
                <w:sz w:val="21"/>
                <w:szCs w:val="21"/>
                <w:highlight w:val="none"/>
              </w:rPr>
              <w:t>投标函按招标文件规定填报了项目名称、标段号、补遗书编号（如有)、工期、工程质量要求及安全目标；</w:t>
            </w:r>
          </w:p>
          <w:p w14:paraId="014E3AAD">
            <w:pPr>
              <w:pStyle w:val="25"/>
              <w:keepNext w:val="0"/>
              <w:keepLines w:val="0"/>
              <w:pageBreakBefore w:val="0"/>
              <w:widowControl w:val="0"/>
              <w:shd w:val="clear" w:color="auto" w:fill="auto"/>
              <w:tabs>
                <w:tab w:val="left" w:pos="1053"/>
              </w:tabs>
              <w:kinsoku/>
              <w:wordWrap/>
              <w:overflowPunct/>
              <w:topLinePunct w:val="0"/>
              <w:bidi w:val="0"/>
              <w:spacing w:before="0" w:after="0" w:line="360" w:lineRule="exact"/>
              <w:ind w:firstLine="420" w:firstLineChars="200"/>
              <w:jc w:val="left"/>
              <w:textAlignment w:val="auto"/>
              <w:rPr>
                <w:rStyle w:val="26"/>
                <w:rFonts w:hint="eastAsia" w:ascii="宋体" w:hAnsi="宋体" w:eastAsia="宋体" w:cs="宋体"/>
                <w:color w:val="auto"/>
                <w:sz w:val="21"/>
                <w:szCs w:val="21"/>
                <w:highlight w:val="none"/>
              </w:rPr>
            </w:pPr>
            <w:r>
              <w:rPr>
                <w:rStyle w:val="26"/>
                <w:rFonts w:hint="eastAsia" w:ascii="宋体" w:hAnsi="宋体" w:eastAsia="宋体" w:cs="宋体"/>
                <w:color w:val="auto"/>
                <w:sz w:val="21"/>
                <w:szCs w:val="21"/>
                <w:highlight w:val="none"/>
              </w:rPr>
              <w:t>b</w:t>
            </w:r>
            <w:r>
              <w:rPr>
                <w:rStyle w:val="26"/>
                <w:rFonts w:hint="eastAsia" w:ascii="宋体" w:hAnsi="宋体" w:eastAsia="宋体" w:cs="宋体"/>
                <w:color w:val="auto"/>
                <w:sz w:val="21"/>
                <w:szCs w:val="21"/>
                <w:highlight w:val="none"/>
                <w:lang w:val="en-US"/>
              </w:rPr>
              <w:t>.</w:t>
            </w:r>
            <w:r>
              <w:rPr>
                <w:rStyle w:val="26"/>
                <w:rFonts w:hint="eastAsia" w:ascii="宋体" w:hAnsi="宋体" w:eastAsia="宋体" w:cs="宋体"/>
                <w:color w:val="auto"/>
                <w:sz w:val="21"/>
                <w:szCs w:val="21"/>
                <w:highlight w:val="none"/>
              </w:rPr>
              <w:t>投标函附录的所有数据均符合招标文件规定；</w:t>
            </w:r>
          </w:p>
          <w:p w14:paraId="7D4958BC">
            <w:pPr>
              <w:pStyle w:val="25"/>
              <w:keepNext w:val="0"/>
              <w:keepLines w:val="0"/>
              <w:pageBreakBefore w:val="0"/>
              <w:widowControl w:val="0"/>
              <w:shd w:val="clear" w:color="auto" w:fill="auto"/>
              <w:tabs>
                <w:tab w:val="left" w:pos="1055"/>
              </w:tabs>
              <w:kinsoku/>
              <w:wordWrap/>
              <w:overflowPunct/>
              <w:topLinePunct w:val="0"/>
              <w:bidi w:val="0"/>
              <w:spacing w:before="0" w:after="0" w:line="360" w:lineRule="exact"/>
              <w:ind w:firstLine="420" w:firstLineChars="200"/>
              <w:jc w:val="left"/>
              <w:textAlignment w:val="auto"/>
              <w:rPr>
                <w:rStyle w:val="26"/>
                <w:rFonts w:hint="eastAsia" w:ascii="宋体" w:hAnsi="宋体" w:eastAsia="宋体" w:cs="宋体"/>
                <w:color w:val="auto"/>
                <w:sz w:val="21"/>
                <w:szCs w:val="21"/>
                <w:highlight w:val="none"/>
              </w:rPr>
            </w:pPr>
            <w:r>
              <w:rPr>
                <w:rStyle w:val="26"/>
                <w:rFonts w:hint="eastAsia" w:ascii="宋体" w:hAnsi="宋体" w:eastAsia="宋体" w:cs="宋体"/>
                <w:color w:val="auto"/>
                <w:sz w:val="21"/>
                <w:szCs w:val="21"/>
                <w:highlight w:val="none"/>
              </w:rPr>
              <w:t>c</w:t>
            </w:r>
            <w:r>
              <w:rPr>
                <w:rStyle w:val="26"/>
                <w:rFonts w:hint="eastAsia" w:ascii="宋体" w:hAnsi="宋体" w:eastAsia="宋体" w:cs="宋体"/>
                <w:color w:val="auto"/>
                <w:sz w:val="21"/>
                <w:szCs w:val="21"/>
                <w:highlight w:val="none"/>
                <w:lang w:val="en-US"/>
              </w:rPr>
              <w:t>.</w:t>
            </w:r>
            <w:r>
              <w:rPr>
                <w:rStyle w:val="26"/>
                <w:rFonts w:hint="eastAsia" w:ascii="宋体" w:hAnsi="宋体" w:eastAsia="宋体" w:cs="宋体"/>
                <w:color w:val="auto"/>
                <w:sz w:val="21"/>
                <w:szCs w:val="21"/>
                <w:highlight w:val="none"/>
              </w:rPr>
              <w:t>投标文件组成齐全完整，内容均按规定填写。</w:t>
            </w:r>
          </w:p>
          <w:p w14:paraId="35E84AB0">
            <w:pPr>
              <w:pStyle w:val="25"/>
              <w:keepNext w:val="0"/>
              <w:keepLines w:val="0"/>
              <w:pageBreakBefore w:val="0"/>
              <w:widowControl w:val="0"/>
              <w:shd w:val="clear" w:color="auto" w:fill="auto"/>
              <w:tabs>
                <w:tab w:val="left" w:pos="1055"/>
              </w:tabs>
              <w:kinsoku/>
              <w:wordWrap/>
              <w:overflowPunct/>
              <w:topLinePunct w:val="0"/>
              <w:bidi w:val="0"/>
              <w:spacing w:before="0" w:after="0" w:line="360" w:lineRule="exact"/>
              <w:ind w:firstLine="420" w:firstLineChars="200"/>
              <w:jc w:val="left"/>
              <w:textAlignment w:val="auto"/>
              <w:rPr>
                <w:rStyle w:val="26"/>
                <w:rFonts w:hint="eastAsia" w:ascii="宋体" w:hAnsi="宋体" w:eastAsia="宋体" w:cs="宋体"/>
                <w:color w:val="auto"/>
                <w:sz w:val="21"/>
                <w:szCs w:val="21"/>
                <w:highlight w:val="none"/>
              </w:rPr>
            </w:pPr>
            <w:r>
              <w:rPr>
                <w:rStyle w:val="26"/>
                <w:rFonts w:hint="eastAsia" w:ascii="宋体" w:hAnsi="宋体" w:eastAsia="宋体" w:cs="宋体"/>
                <w:color w:val="auto"/>
                <w:sz w:val="21"/>
                <w:szCs w:val="21"/>
                <w:highlight w:val="none"/>
              </w:rPr>
              <w:t>（2）投标文件上法定代表人或其委托代理人的签字、投标人的单位章盖章齐全，符合招标文件规定。</w:t>
            </w:r>
          </w:p>
          <w:p w14:paraId="3F2CEF1C">
            <w:pPr>
              <w:pStyle w:val="25"/>
              <w:keepNext w:val="0"/>
              <w:keepLines w:val="0"/>
              <w:pageBreakBefore w:val="0"/>
              <w:widowControl w:val="0"/>
              <w:shd w:val="clear" w:color="auto" w:fill="auto"/>
              <w:tabs>
                <w:tab w:val="left" w:pos="1055"/>
              </w:tabs>
              <w:kinsoku/>
              <w:wordWrap/>
              <w:overflowPunct/>
              <w:topLinePunct w:val="0"/>
              <w:bidi w:val="0"/>
              <w:spacing w:before="0" w:after="0" w:line="360" w:lineRule="exact"/>
              <w:ind w:firstLine="420" w:firstLineChars="200"/>
              <w:jc w:val="left"/>
              <w:textAlignment w:val="auto"/>
              <w:rPr>
                <w:rStyle w:val="26"/>
                <w:rFonts w:hint="eastAsia" w:ascii="宋体" w:hAnsi="宋体" w:eastAsia="宋体" w:cs="宋体"/>
                <w:color w:val="auto"/>
                <w:sz w:val="21"/>
                <w:szCs w:val="21"/>
                <w:highlight w:val="none"/>
              </w:rPr>
            </w:pPr>
            <w:r>
              <w:rPr>
                <w:rStyle w:val="26"/>
                <w:rFonts w:hint="eastAsia" w:ascii="宋体" w:hAnsi="宋体" w:eastAsia="宋体" w:cs="宋体"/>
                <w:color w:val="auto"/>
                <w:sz w:val="21"/>
                <w:szCs w:val="21"/>
                <w:highlight w:val="none"/>
              </w:rPr>
              <w:t>（3）投标人按照招标文件的规定提供了投标保证金：</w:t>
            </w:r>
          </w:p>
          <w:p w14:paraId="1622E863">
            <w:pPr>
              <w:pStyle w:val="25"/>
              <w:keepNext w:val="0"/>
              <w:keepLines w:val="0"/>
              <w:pageBreakBefore w:val="0"/>
              <w:widowControl w:val="0"/>
              <w:shd w:val="clear" w:color="auto" w:fill="auto"/>
              <w:tabs>
                <w:tab w:val="left" w:pos="1055"/>
              </w:tabs>
              <w:kinsoku/>
              <w:wordWrap/>
              <w:overflowPunct/>
              <w:topLinePunct w:val="0"/>
              <w:bidi w:val="0"/>
              <w:spacing w:before="0" w:after="0" w:line="360" w:lineRule="exact"/>
              <w:ind w:firstLine="420" w:firstLineChars="200"/>
              <w:jc w:val="left"/>
              <w:textAlignment w:val="auto"/>
              <w:rPr>
                <w:rStyle w:val="26"/>
                <w:rFonts w:hint="eastAsia" w:ascii="宋体" w:hAnsi="宋体" w:eastAsia="宋体" w:cs="宋体"/>
                <w:color w:val="auto"/>
                <w:sz w:val="21"/>
                <w:szCs w:val="21"/>
                <w:highlight w:val="none"/>
              </w:rPr>
            </w:pPr>
            <w:r>
              <w:rPr>
                <w:rStyle w:val="26"/>
                <w:rFonts w:hint="eastAsia" w:ascii="宋体" w:hAnsi="宋体" w:eastAsia="宋体" w:cs="宋体"/>
                <w:color w:val="auto"/>
                <w:sz w:val="21"/>
                <w:szCs w:val="21"/>
                <w:highlight w:val="none"/>
              </w:rPr>
              <w:t>a.投标保证金金额符合招标文件规定的金额，且投标保证金有效期不少于投标有效期；</w:t>
            </w:r>
          </w:p>
          <w:p w14:paraId="17A05CE0">
            <w:pPr>
              <w:pStyle w:val="25"/>
              <w:keepNext w:val="0"/>
              <w:keepLines w:val="0"/>
              <w:pageBreakBefore w:val="0"/>
              <w:widowControl w:val="0"/>
              <w:shd w:val="clear" w:color="auto" w:fill="auto"/>
              <w:tabs>
                <w:tab w:val="left" w:pos="1055"/>
              </w:tabs>
              <w:kinsoku/>
              <w:wordWrap/>
              <w:overflowPunct/>
              <w:topLinePunct w:val="0"/>
              <w:bidi w:val="0"/>
              <w:spacing w:before="0" w:after="0" w:line="360" w:lineRule="exact"/>
              <w:ind w:firstLine="420" w:firstLineChars="200"/>
              <w:jc w:val="left"/>
              <w:textAlignment w:val="auto"/>
              <w:rPr>
                <w:rStyle w:val="26"/>
                <w:rFonts w:hint="eastAsia" w:ascii="宋体" w:hAnsi="宋体" w:eastAsia="宋体" w:cs="宋体"/>
                <w:color w:val="auto"/>
                <w:sz w:val="21"/>
                <w:szCs w:val="21"/>
                <w:highlight w:val="none"/>
              </w:rPr>
            </w:pPr>
            <w:r>
              <w:rPr>
                <w:rStyle w:val="26"/>
                <w:rFonts w:hint="eastAsia" w:ascii="宋体" w:hAnsi="宋体" w:eastAsia="宋体" w:cs="宋体"/>
                <w:color w:val="auto"/>
                <w:sz w:val="21"/>
                <w:szCs w:val="21"/>
                <w:highlight w:val="none"/>
              </w:rPr>
              <w:t>b.若投标保证金采用现金或支票形式提交，投标人应在递交投标文件截止时间之前，将投标保证金由投标人的基本账户转入招标人指定账户；</w:t>
            </w:r>
          </w:p>
          <w:p w14:paraId="4B087116">
            <w:pPr>
              <w:pStyle w:val="25"/>
              <w:keepNext w:val="0"/>
              <w:keepLines w:val="0"/>
              <w:pageBreakBefore w:val="0"/>
              <w:widowControl w:val="0"/>
              <w:shd w:val="clear" w:color="auto" w:fill="auto"/>
              <w:tabs>
                <w:tab w:val="left" w:pos="1055"/>
              </w:tabs>
              <w:kinsoku/>
              <w:wordWrap/>
              <w:overflowPunct/>
              <w:topLinePunct w:val="0"/>
              <w:bidi w:val="0"/>
              <w:spacing w:before="0" w:after="0" w:line="360" w:lineRule="exact"/>
              <w:ind w:firstLine="420" w:firstLineChars="200"/>
              <w:jc w:val="left"/>
              <w:textAlignment w:val="auto"/>
              <w:rPr>
                <w:rStyle w:val="26"/>
                <w:rFonts w:hint="eastAsia" w:ascii="宋体" w:hAnsi="宋体" w:eastAsia="宋体" w:cs="宋体"/>
                <w:color w:val="auto"/>
                <w:sz w:val="21"/>
                <w:szCs w:val="21"/>
                <w:highlight w:val="none"/>
              </w:rPr>
            </w:pPr>
            <w:r>
              <w:rPr>
                <w:rStyle w:val="26"/>
                <w:rFonts w:hint="eastAsia" w:ascii="宋体" w:hAnsi="宋体" w:eastAsia="宋体" w:cs="宋体"/>
                <w:color w:val="auto"/>
                <w:sz w:val="21"/>
                <w:szCs w:val="21"/>
                <w:highlight w:val="none"/>
              </w:rPr>
              <w:t>c.若投标保证金采用保函形式提交，应满足</w:t>
            </w:r>
            <w:r>
              <w:rPr>
                <w:rStyle w:val="26"/>
                <w:rFonts w:hint="eastAsia" w:ascii="宋体" w:hAnsi="宋体" w:eastAsia="宋体" w:cs="宋体"/>
                <w:color w:val="auto"/>
                <w:sz w:val="21"/>
                <w:szCs w:val="21"/>
                <w:highlight w:val="none"/>
                <w:lang w:val="en-US"/>
              </w:rPr>
              <w:t>招标文件</w:t>
            </w:r>
            <w:r>
              <w:rPr>
                <w:rStyle w:val="26"/>
                <w:rFonts w:hint="eastAsia" w:ascii="宋体" w:hAnsi="宋体" w:eastAsia="宋体" w:cs="宋体"/>
                <w:color w:val="auto"/>
                <w:sz w:val="21"/>
                <w:szCs w:val="21"/>
                <w:highlight w:val="none"/>
              </w:rPr>
              <w:t>相关要求。</w:t>
            </w:r>
          </w:p>
          <w:p w14:paraId="060E176F">
            <w:pPr>
              <w:keepNext w:val="0"/>
              <w:keepLines w:val="0"/>
              <w:pageBreakBefore w:val="0"/>
              <w:widowControl w:val="0"/>
              <w:kinsoku/>
              <w:wordWrap/>
              <w:overflowPunct/>
              <w:topLinePunct w:val="0"/>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（4）投标人法定代表人授权委托代理人签署投标文件的，</w:t>
            </w:r>
            <w:r>
              <w:rPr>
                <w:rFonts w:hint="eastAsia" w:ascii="宋体" w:hAnsi="宋体" w:eastAsia="宋体" w:cs="宋体"/>
                <w:color w:val="auto"/>
                <w:sz w:val="21"/>
                <w:szCs w:val="21"/>
                <w:highlight w:val="none"/>
                <w:lang w:val="en-US" w:eastAsia="zh-CN"/>
              </w:rPr>
              <w:t>须</w:t>
            </w:r>
            <w:r>
              <w:rPr>
                <w:rFonts w:hint="eastAsia" w:ascii="宋体" w:hAnsi="宋体" w:eastAsia="宋体" w:cs="宋体"/>
                <w:color w:val="auto"/>
                <w:sz w:val="21"/>
                <w:szCs w:val="21"/>
                <w:highlight w:val="none"/>
              </w:rPr>
              <w:t>提交授权委托书，且授权人和被授权人均在授权委托书上签名。</w:t>
            </w:r>
          </w:p>
          <w:p w14:paraId="6B1F0301">
            <w:pPr>
              <w:keepNext w:val="0"/>
              <w:keepLines w:val="0"/>
              <w:pageBreakBefore w:val="0"/>
              <w:widowControl w:val="0"/>
              <w:kinsoku/>
              <w:wordWrap/>
              <w:overflowPunct/>
              <w:topLinePunct w:val="0"/>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（5）投标人法定代表人亲自签署投标文件的，提供了法定代表人身份证明，且法定代表人在法定代表人身份证明上签名。</w:t>
            </w:r>
          </w:p>
          <w:p w14:paraId="0474AB90">
            <w:pPr>
              <w:keepNext w:val="0"/>
              <w:keepLines w:val="0"/>
              <w:pageBreakBefore w:val="0"/>
              <w:widowControl w:val="0"/>
              <w:kinsoku/>
              <w:wordWrap/>
              <w:overflowPunct/>
              <w:topLinePunct w:val="0"/>
              <w:bidi w:val="0"/>
              <w:spacing w:line="360" w:lineRule="exact"/>
              <w:ind w:firstLine="420" w:firstLineChars="200"/>
              <w:textAlignment w:val="auto"/>
              <w:rPr>
                <w:rFonts w:hint="eastAsia" w:ascii="宋体" w:hAnsi="宋体" w:eastAsia="宋体" w:cs="宋体"/>
                <w:sz w:val="21"/>
                <w:szCs w:val="21"/>
                <w:lang w:eastAsia="zh-CN"/>
              </w:rPr>
            </w:pPr>
            <w:r>
              <w:rPr>
                <w:rFonts w:hint="eastAsia" w:ascii="宋体" w:hAnsi="宋体" w:eastAsia="宋体" w:cs="宋体"/>
                <w:sz w:val="21"/>
                <w:szCs w:val="21"/>
              </w:rPr>
              <w:t>（6）投标人以联合体形式投标时，投标人按照招标文件提供的格式签订了联合体协议书，明确各方承担连带责任，并明确了联合体牵头人</w:t>
            </w:r>
            <w:r>
              <w:rPr>
                <w:rFonts w:hint="eastAsia" w:ascii="宋体" w:hAnsi="宋体" w:eastAsia="宋体" w:cs="宋体"/>
                <w:sz w:val="21"/>
                <w:szCs w:val="21"/>
                <w:lang w:eastAsia="zh-CN"/>
              </w:rPr>
              <w:t>。</w:t>
            </w:r>
          </w:p>
          <w:p w14:paraId="72D719FA">
            <w:pPr>
              <w:keepNext w:val="0"/>
              <w:keepLines w:val="0"/>
              <w:pageBreakBefore w:val="0"/>
              <w:widowControl w:val="0"/>
              <w:kinsoku/>
              <w:wordWrap/>
              <w:overflowPunct/>
              <w:topLinePunct w:val="0"/>
              <w:bidi w:val="0"/>
              <w:spacing w:line="360" w:lineRule="exact"/>
              <w:ind w:firstLine="420" w:firstLineChars="200"/>
              <w:textAlignment w:val="auto"/>
              <w:rPr>
                <w:rFonts w:hint="eastAsia" w:ascii="宋体" w:hAnsi="宋体" w:eastAsia="宋体" w:cs="宋体"/>
                <w:color w:val="auto"/>
                <w:sz w:val="21"/>
                <w:szCs w:val="21"/>
                <w:highlight w:val="green"/>
              </w:rPr>
            </w:pPr>
            <w:r>
              <w:rPr>
                <w:rFonts w:hint="eastAsia" w:ascii="宋体" w:hAnsi="宋体" w:eastAsia="宋体" w:cs="宋体"/>
                <w:sz w:val="21"/>
                <w:szCs w:val="21"/>
              </w:rPr>
              <w:t>（</w:t>
            </w:r>
            <w:r>
              <w:rPr>
                <w:rFonts w:hint="eastAsia" w:ascii="宋体" w:hAnsi="宋体" w:eastAsia="宋体" w:cs="宋体"/>
                <w:sz w:val="21"/>
                <w:szCs w:val="21"/>
                <w:highlight w:val="none"/>
              </w:rPr>
              <w:t>7）</w:t>
            </w:r>
            <w:r>
              <w:rPr>
                <w:rFonts w:hint="eastAsia" w:ascii="宋体" w:hAnsi="宋体" w:eastAsia="宋体" w:cs="宋体"/>
                <w:color w:val="auto"/>
                <w:sz w:val="21"/>
                <w:szCs w:val="21"/>
                <w:highlight w:val="none"/>
              </w:rPr>
              <w:t>投标人</w:t>
            </w:r>
            <w:r>
              <w:rPr>
                <w:rFonts w:hint="eastAsia" w:ascii="宋体" w:hAnsi="宋体" w:eastAsia="宋体" w:cs="宋体"/>
                <w:color w:val="auto"/>
                <w:sz w:val="21"/>
                <w:szCs w:val="21"/>
                <w:highlight w:val="none"/>
                <w:lang w:val="en-US" w:eastAsia="zh-CN"/>
              </w:rPr>
              <w:t>如有</w:t>
            </w:r>
            <w:r>
              <w:rPr>
                <w:rFonts w:hint="eastAsia" w:ascii="宋体" w:hAnsi="宋体" w:eastAsia="宋体" w:cs="宋体"/>
                <w:color w:val="auto"/>
                <w:sz w:val="21"/>
                <w:szCs w:val="21"/>
                <w:highlight w:val="none"/>
              </w:rPr>
              <w:t>分包计划</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符合招标文件第二章“投标人须知”第1.11款规定</w:t>
            </w:r>
            <w:r>
              <w:rPr>
                <w:rFonts w:hint="eastAsia" w:ascii="宋体" w:hAnsi="宋体" w:eastAsia="宋体" w:cs="宋体"/>
                <w:color w:val="auto"/>
                <w:sz w:val="21"/>
                <w:szCs w:val="21"/>
                <w:highlight w:val="none"/>
              </w:rPr>
              <w:t>。</w:t>
            </w:r>
          </w:p>
          <w:p w14:paraId="27B4372D">
            <w:pPr>
              <w:keepNext w:val="0"/>
              <w:keepLines w:val="0"/>
              <w:pageBreakBefore w:val="0"/>
              <w:widowControl w:val="0"/>
              <w:kinsoku/>
              <w:wordWrap/>
              <w:overflowPunct/>
              <w:topLinePunct w:val="0"/>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（8）同一投标人未提交两个以上不同的投标文件，但招标文件要求提交备选投标的除外。</w:t>
            </w:r>
          </w:p>
          <w:p w14:paraId="5AE51314">
            <w:pPr>
              <w:keepNext w:val="0"/>
              <w:keepLines w:val="0"/>
              <w:pageBreakBefore w:val="0"/>
              <w:widowControl w:val="0"/>
              <w:kinsoku/>
              <w:wordWrap/>
              <w:overflowPunct/>
              <w:topLinePunct w:val="0"/>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（9）投标文件中未出现有关投标报价的内容。</w:t>
            </w:r>
          </w:p>
          <w:p w14:paraId="4728CF5B">
            <w:pPr>
              <w:keepNext w:val="0"/>
              <w:keepLines w:val="0"/>
              <w:pageBreakBefore w:val="0"/>
              <w:widowControl w:val="0"/>
              <w:kinsoku/>
              <w:wordWrap/>
              <w:overflowPunct/>
              <w:topLinePunct w:val="0"/>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（10）投标文件载明的招标项目完成期限未超过招标文件规定的时限。</w:t>
            </w:r>
          </w:p>
          <w:p w14:paraId="003D5CF5">
            <w:pPr>
              <w:keepNext w:val="0"/>
              <w:keepLines w:val="0"/>
              <w:pageBreakBefore w:val="0"/>
              <w:widowControl w:val="0"/>
              <w:kinsoku/>
              <w:wordWrap/>
              <w:overflowPunct/>
              <w:topLinePunct w:val="0"/>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（11）投标文件对招标文件的实质性要求和条件作出响应。</w:t>
            </w:r>
          </w:p>
          <w:p w14:paraId="0A364038">
            <w:pPr>
              <w:keepNext w:val="0"/>
              <w:keepLines w:val="0"/>
              <w:pageBreakBefore w:val="0"/>
              <w:widowControl w:val="0"/>
              <w:kinsoku/>
              <w:wordWrap/>
              <w:overflowPunct/>
              <w:topLinePunct w:val="0"/>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（12）权利义务符合招标文件规定：</w:t>
            </w:r>
          </w:p>
          <w:p w14:paraId="1645485F">
            <w:pPr>
              <w:keepNext w:val="0"/>
              <w:keepLines w:val="0"/>
              <w:pageBreakBefore w:val="0"/>
              <w:widowControl w:val="0"/>
              <w:kinsoku/>
              <w:wordWrap/>
              <w:overflowPunct/>
              <w:topLinePunct w:val="0"/>
              <w:bidi w:val="0"/>
              <w:snapToGrid/>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a.投标人应接受招标文件规定的风险划分原则，未提出新的风险划分办法；</w:t>
            </w:r>
          </w:p>
          <w:p w14:paraId="73CEF1E2">
            <w:pPr>
              <w:keepNext w:val="0"/>
              <w:keepLines w:val="0"/>
              <w:pageBreakBefore w:val="0"/>
              <w:widowControl w:val="0"/>
              <w:kinsoku/>
              <w:wordWrap/>
              <w:overflowPunct/>
              <w:topLinePunct w:val="0"/>
              <w:bidi w:val="0"/>
              <w:snapToGrid/>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b.投标人未增加发包人的责任范围，或减少投标人义务；</w:t>
            </w:r>
          </w:p>
          <w:p w14:paraId="4CDBB6B0">
            <w:pPr>
              <w:keepNext w:val="0"/>
              <w:keepLines w:val="0"/>
              <w:pageBreakBefore w:val="0"/>
              <w:widowControl w:val="0"/>
              <w:kinsoku/>
              <w:wordWrap/>
              <w:overflowPunct/>
              <w:topLinePunct w:val="0"/>
              <w:bidi w:val="0"/>
              <w:snapToGrid/>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c.投标人未提出不同的工程验收、计量、支付办法；</w:t>
            </w:r>
          </w:p>
          <w:p w14:paraId="65D51A86">
            <w:pPr>
              <w:keepNext w:val="0"/>
              <w:keepLines w:val="0"/>
              <w:pageBreakBefore w:val="0"/>
              <w:widowControl w:val="0"/>
              <w:kinsoku/>
              <w:wordWrap/>
              <w:overflowPunct/>
              <w:topLinePunct w:val="0"/>
              <w:bidi w:val="0"/>
              <w:snapToGrid/>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d.投标人对合同纠纷、事故处理办法未提出异议；</w:t>
            </w:r>
          </w:p>
          <w:p w14:paraId="6F310F73">
            <w:pPr>
              <w:keepNext w:val="0"/>
              <w:keepLines w:val="0"/>
              <w:pageBreakBefore w:val="0"/>
              <w:widowControl w:val="0"/>
              <w:kinsoku/>
              <w:wordWrap/>
              <w:overflowPunct/>
              <w:topLinePunct w:val="0"/>
              <w:bidi w:val="0"/>
              <w:snapToGrid/>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e.投标人在投标活动中无欺诈行为；</w:t>
            </w:r>
          </w:p>
          <w:p w14:paraId="7E203B94">
            <w:pPr>
              <w:keepNext w:val="0"/>
              <w:keepLines w:val="0"/>
              <w:pageBreakBefore w:val="0"/>
              <w:widowControl w:val="0"/>
              <w:kinsoku/>
              <w:wordWrap/>
              <w:overflowPunct/>
              <w:topLinePunct w:val="0"/>
              <w:autoSpaceDE w:val="0"/>
              <w:autoSpaceDN w:val="0"/>
              <w:bidi w:val="0"/>
              <w:adjustRightInd w:val="0"/>
              <w:snapToGrid/>
              <w:spacing w:line="36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f.投标人未对合同条款有重要保留。</w:t>
            </w:r>
          </w:p>
        </w:tc>
      </w:tr>
      <w:tr w14:paraId="0CEEE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899" w:type="dxa"/>
            <w:vMerge w:val="continue"/>
            <w:tcBorders>
              <w:left w:val="single" w:color="auto" w:sz="12" w:space="0"/>
            </w:tcBorders>
            <w:vAlign w:val="center"/>
          </w:tcPr>
          <w:p w14:paraId="1F61833D">
            <w:pPr>
              <w:keepNext w:val="0"/>
              <w:keepLines w:val="0"/>
              <w:pageBreakBefore w:val="0"/>
              <w:widowControl w:val="0"/>
              <w:kinsoku/>
              <w:wordWrap/>
              <w:overflowPunct/>
              <w:topLinePunct w:val="0"/>
              <w:autoSpaceDE w:val="0"/>
              <w:autoSpaceDN w:val="0"/>
              <w:bidi w:val="0"/>
              <w:adjustRightInd w:val="0"/>
              <w:spacing w:line="360" w:lineRule="exact"/>
              <w:jc w:val="center"/>
              <w:textAlignment w:val="auto"/>
              <w:rPr>
                <w:rFonts w:hint="eastAsia" w:ascii="宋体" w:hAnsi="宋体" w:eastAsia="宋体" w:cs="宋体"/>
                <w:color w:val="auto"/>
                <w:sz w:val="21"/>
                <w:szCs w:val="21"/>
                <w:highlight w:val="none"/>
                <w:lang w:val="zh-CN"/>
              </w:rPr>
            </w:pPr>
          </w:p>
        </w:tc>
        <w:tc>
          <w:tcPr>
            <w:tcW w:w="1636" w:type="dxa"/>
            <w:vAlign w:val="center"/>
          </w:tcPr>
          <w:p w14:paraId="774B6188">
            <w:pPr>
              <w:keepNext w:val="0"/>
              <w:keepLines w:val="0"/>
              <w:pageBreakBefore w:val="0"/>
              <w:widowControl w:val="0"/>
              <w:kinsoku/>
              <w:wordWrap/>
              <w:overflowPunct/>
              <w:topLinePunct w:val="0"/>
              <w:autoSpaceDE w:val="0"/>
              <w:autoSpaceDN w:val="0"/>
              <w:bidi w:val="0"/>
              <w:adjustRightInd w:val="0"/>
              <w:spacing w:line="360" w:lineRule="exact"/>
              <w:jc w:val="center"/>
              <w:textAlignment w:val="auto"/>
              <w:rPr>
                <w:rFonts w:hint="eastAsia" w:ascii="宋体" w:hAnsi="宋体" w:eastAsia="宋体" w:cs="宋体"/>
                <w:b/>
                <w:bCs/>
                <w:color w:val="auto"/>
                <w:sz w:val="21"/>
                <w:szCs w:val="21"/>
                <w:highlight w:val="none"/>
                <w:lang w:val="zh-CN"/>
              </w:rPr>
            </w:pPr>
            <w:r>
              <w:rPr>
                <w:rFonts w:hint="eastAsia" w:ascii="宋体" w:hAnsi="宋体" w:eastAsia="宋体" w:cs="宋体"/>
                <w:b/>
                <w:color w:val="auto"/>
                <w:sz w:val="21"/>
                <w:szCs w:val="21"/>
                <w:highlight w:val="none"/>
              </w:rPr>
              <w:t>第二个信封</w:t>
            </w:r>
          </w:p>
          <w:p w14:paraId="4E8059DB">
            <w:pPr>
              <w:keepNext w:val="0"/>
              <w:keepLines w:val="0"/>
              <w:pageBreakBefore w:val="0"/>
              <w:widowControl w:val="0"/>
              <w:kinsoku/>
              <w:wordWrap/>
              <w:overflowPunct/>
              <w:topLinePunct w:val="0"/>
              <w:autoSpaceDE w:val="0"/>
              <w:autoSpaceDN w:val="0"/>
              <w:bidi w:val="0"/>
              <w:adjustRightInd w:val="0"/>
              <w:spacing w:line="360" w:lineRule="exact"/>
              <w:jc w:val="center"/>
              <w:textAlignment w:val="auto"/>
              <w:rPr>
                <w:rFonts w:hint="eastAsia" w:ascii="宋体" w:hAnsi="宋体" w:eastAsia="宋体" w:cs="宋体"/>
                <w:color w:val="auto"/>
                <w:sz w:val="21"/>
                <w:szCs w:val="21"/>
                <w:highlight w:val="none"/>
                <w:lang w:val="zh-CN"/>
              </w:rPr>
            </w:pPr>
            <w:r>
              <w:rPr>
                <w:rFonts w:hint="eastAsia" w:ascii="宋体" w:hAnsi="宋体" w:eastAsia="宋体" w:cs="宋体"/>
                <w:bCs/>
                <w:color w:val="auto"/>
                <w:sz w:val="21"/>
                <w:szCs w:val="21"/>
                <w:highlight w:val="none"/>
                <w:lang w:val="zh-CN"/>
              </w:rPr>
              <w:t>形式评审与响应性评审标准</w:t>
            </w:r>
          </w:p>
        </w:tc>
        <w:tc>
          <w:tcPr>
            <w:tcW w:w="7002" w:type="dxa"/>
            <w:tcBorders>
              <w:right w:val="single" w:color="auto" w:sz="12" w:space="0"/>
            </w:tcBorders>
            <w:vAlign w:val="center"/>
          </w:tcPr>
          <w:p w14:paraId="5D7FD4BA">
            <w:pPr>
              <w:keepNext w:val="0"/>
              <w:keepLines w:val="0"/>
              <w:pageBreakBefore w:val="0"/>
              <w:widowControl w:val="0"/>
              <w:tabs>
                <w:tab w:val="left" w:pos="0"/>
              </w:tabs>
              <w:kinsoku/>
              <w:wordWrap/>
              <w:overflowPunct/>
              <w:topLinePunct w:val="0"/>
              <w:bidi w:val="0"/>
              <w:adjustRightInd w:val="0"/>
              <w:snapToGrid w:val="0"/>
              <w:spacing w:line="360" w:lineRule="exact"/>
              <w:ind w:left="-73" w:leftChars="-35"/>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第二个信封（报价文件）评审标准：</w:t>
            </w:r>
          </w:p>
          <w:p w14:paraId="09D64755">
            <w:pPr>
              <w:keepNext w:val="0"/>
              <w:keepLines w:val="0"/>
              <w:pageBreakBefore w:val="0"/>
              <w:widowControl w:val="0"/>
              <w:kinsoku/>
              <w:wordWrap/>
              <w:overflowPunct/>
              <w:topLinePunct w:val="0"/>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（1）投标文件按照招标文件规定的格式、内容填写，字迹清晰可辨：</w:t>
            </w:r>
          </w:p>
          <w:p w14:paraId="534DC855">
            <w:pPr>
              <w:keepNext w:val="0"/>
              <w:keepLines w:val="0"/>
              <w:pageBreakBefore w:val="0"/>
              <w:widowControl w:val="0"/>
              <w:kinsoku/>
              <w:wordWrap/>
              <w:overflowPunct/>
              <w:topLinePunct w:val="0"/>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a.投标函按招标文件规定填报了项目名称、标段号、补遗书编号(如有)、投标价（包括大写金额和小写金额)；</w:t>
            </w:r>
          </w:p>
          <w:p w14:paraId="082ADB0C">
            <w:pPr>
              <w:keepNext w:val="0"/>
              <w:keepLines w:val="0"/>
              <w:pageBreakBefore w:val="0"/>
              <w:widowControl w:val="0"/>
              <w:kinsoku/>
              <w:wordWrap/>
              <w:overflowPunct/>
              <w:topLinePunct w:val="0"/>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b.已标价工程量清单说明文字与招标文件规定一致，未进行实质性修改和删减；</w:t>
            </w:r>
          </w:p>
          <w:p w14:paraId="3FF809F3">
            <w:pPr>
              <w:keepNext w:val="0"/>
              <w:keepLines w:val="0"/>
              <w:pageBreakBefore w:val="0"/>
              <w:widowControl w:val="0"/>
              <w:kinsoku/>
              <w:wordWrap/>
              <w:overflowPunct/>
              <w:topLinePunct w:val="0"/>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c.投标文件组成齐全完整，内容均按规定填写。</w:t>
            </w:r>
          </w:p>
          <w:p w14:paraId="5EDA3D2E">
            <w:pPr>
              <w:keepNext w:val="0"/>
              <w:keepLines w:val="0"/>
              <w:pageBreakBefore w:val="0"/>
              <w:widowControl w:val="0"/>
              <w:kinsoku/>
              <w:wordWrap/>
              <w:overflowPunct/>
              <w:topLinePunct w:val="0"/>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（2）投标文件上法定代表人或其委托代理人的签字、投标人的单位章盖章齐全，符合招标文件规定。</w:t>
            </w:r>
          </w:p>
          <w:p w14:paraId="4D92425F">
            <w:pPr>
              <w:keepNext w:val="0"/>
              <w:keepLines w:val="0"/>
              <w:pageBreakBefore w:val="0"/>
              <w:widowControl w:val="0"/>
              <w:kinsoku/>
              <w:wordWrap/>
              <w:overflowPunct/>
              <w:topLinePunct w:val="0"/>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（3）投标报价未超过招标文件设定的最高投标限价。</w:t>
            </w:r>
          </w:p>
          <w:p w14:paraId="71F5FB78">
            <w:pPr>
              <w:keepNext w:val="0"/>
              <w:keepLines w:val="0"/>
              <w:pageBreakBefore w:val="0"/>
              <w:widowControl w:val="0"/>
              <w:kinsoku/>
              <w:wordWrap/>
              <w:overflowPunct/>
              <w:topLinePunct w:val="0"/>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（4）投标报价中报价的大写金额能够确定具体数值。</w:t>
            </w:r>
          </w:p>
          <w:p w14:paraId="33098EC3">
            <w:pPr>
              <w:keepNext w:val="0"/>
              <w:keepLines w:val="0"/>
              <w:pageBreakBefore w:val="0"/>
              <w:widowControl w:val="0"/>
              <w:kinsoku/>
              <w:wordWrap/>
              <w:overflowPunct/>
              <w:topLinePunct w:val="0"/>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（5）同一投标人未提交两个以上不同的投标报价，但招标文件要求提交备选投标的除外。</w:t>
            </w:r>
          </w:p>
          <w:p w14:paraId="511AB50A">
            <w:pPr>
              <w:keepNext w:val="0"/>
              <w:keepLines w:val="0"/>
              <w:pageBreakBefore w:val="0"/>
              <w:widowControl w:val="0"/>
              <w:kinsoku/>
              <w:wordWrap/>
              <w:overflowPunct/>
              <w:topLinePunct w:val="0"/>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（6）投标人未提交调价函。</w:t>
            </w:r>
          </w:p>
          <w:p w14:paraId="369B9388">
            <w:pPr>
              <w:keepNext w:val="0"/>
              <w:keepLines w:val="0"/>
              <w:pageBreakBefore w:val="0"/>
              <w:widowControl w:val="0"/>
              <w:kinsoku/>
              <w:wordWrap/>
              <w:overflowPunct/>
              <w:topLinePunct w:val="0"/>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（7）投标人若填写工程量固化清单，填写完毕的工程量固化清单未对工程量固化清单电子文件中的数据、格式和运算定义进行修改；工程量固化清单中的投标报价和投标函大写金额报价一致。</w:t>
            </w:r>
          </w:p>
        </w:tc>
      </w:tr>
      <w:tr w14:paraId="41630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899" w:type="dxa"/>
            <w:tcBorders>
              <w:left w:val="single" w:color="auto" w:sz="12" w:space="0"/>
            </w:tcBorders>
            <w:vAlign w:val="center"/>
          </w:tcPr>
          <w:p w14:paraId="54C29D77">
            <w:pPr>
              <w:keepNext w:val="0"/>
              <w:keepLines w:val="0"/>
              <w:pageBreakBefore w:val="0"/>
              <w:widowControl w:val="0"/>
              <w:kinsoku/>
              <w:wordWrap/>
              <w:overflowPunct/>
              <w:topLinePunct w:val="0"/>
              <w:autoSpaceDE w:val="0"/>
              <w:autoSpaceDN w:val="0"/>
              <w:bidi w:val="0"/>
              <w:adjustRightInd w:val="0"/>
              <w:spacing w:line="360" w:lineRule="exact"/>
              <w:jc w:val="center"/>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2.1.2</w:t>
            </w:r>
          </w:p>
        </w:tc>
        <w:tc>
          <w:tcPr>
            <w:tcW w:w="1636" w:type="dxa"/>
            <w:vAlign w:val="center"/>
          </w:tcPr>
          <w:p w14:paraId="28732E9D">
            <w:pPr>
              <w:keepNext w:val="0"/>
              <w:keepLines w:val="0"/>
              <w:pageBreakBefore w:val="0"/>
              <w:widowControl w:val="0"/>
              <w:kinsoku/>
              <w:wordWrap/>
              <w:overflowPunct/>
              <w:topLinePunct w:val="0"/>
              <w:autoSpaceDE w:val="0"/>
              <w:autoSpaceDN w:val="0"/>
              <w:bidi w:val="0"/>
              <w:adjustRightInd w:val="0"/>
              <w:spacing w:line="360" w:lineRule="exact"/>
              <w:jc w:val="center"/>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资格评审标准</w:t>
            </w:r>
          </w:p>
        </w:tc>
        <w:tc>
          <w:tcPr>
            <w:tcW w:w="7002" w:type="dxa"/>
            <w:tcBorders>
              <w:right w:val="single" w:color="auto" w:sz="12" w:space="0"/>
            </w:tcBorders>
            <w:vAlign w:val="center"/>
          </w:tcPr>
          <w:p w14:paraId="53AE3BB9">
            <w:pPr>
              <w:pStyle w:val="27"/>
              <w:keepNext w:val="0"/>
              <w:keepLines w:val="0"/>
              <w:pageBreakBefore w:val="0"/>
              <w:widowControl w:val="0"/>
              <w:shd w:val="clear" w:color="auto" w:fill="auto"/>
              <w:kinsoku/>
              <w:wordWrap/>
              <w:overflowPunct/>
              <w:topLinePunct w:val="0"/>
              <w:bidi w:val="0"/>
              <w:spacing w:before="0" w:line="36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bidi="en-US"/>
              </w:rPr>
              <w:t>（1）</w:t>
            </w:r>
            <w:r>
              <w:rPr>
                <w:rFonts w:hint="eastAsia" w:ascii="宋体" w:hAnsi="宋体" w:eastAsia="宋体" w:cs="宋体"/>
                <w:color w:val="auto"/>
                <w:sz w:val="21"/>
                <w:szCs w:val="21"/>
                <w:highlight w:val="none"/>
                <w:lang w:val="en-US" w:eastAsia="zh-CN"/>
              </w:rPr>
              <w:t>投标人具备有效的营业执照、资质证书、安全生产许可证和基本账户开户证明材料。</w:t>
            </w:r>
          </w:p>
          <w:p w14:paraId="736B3A8B">
            <w:pPr>
              <w:pStyle w:val="27"/>
              <w:keepNext w:val="0"/>
              <w:keepLines w:val="0"/>
              <w:pageBreakBefore w:val="0"/>
              <w:widowControl w:val="0"/>
              <w:shd w:val="clear" w:color="auto" w:fill="auto"/>
              <w:tabs>
                <w:tab w:val="left" w:pos="2517"/>
              </w:tabs>
              <w:kinsoku/>
              <w:wordWrap/>
              <w:overflowPunct/>
              <w:topLinePunct w:val="0"/>
              <w:bidi w:val="0"/>
              <w:spacing w:before="0" w:line="360" w:lineRule="exact"/>
              <w:ind w:firstLine="420" w:firstLineChars="20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bidi="en-US"/>
              </w:rPr>
              <w:t>（2）</w:t>
            </w:r>
            <w:r>
              <w:rPr>
                <w:rFonts w:hint="eastAsia" w:ascii="宋体" w:hAnsi="宋体" w:eastAsia="宋体" w:cs="宋体"/>
                <w:color w:val="auto"/>
                <w:sz w:val="21"/>
                <w:szCs w:val="21"/>
                <w:highlight w:val="none"/>
                <w:lang w:val="en-US" w:eastAsia="zh-CN"/>
              </w:rPr>
              <w:t>投标人的资质等级符合招标文件规定。</w:t>
            </w:r>
          </w:p>
          <w:p w14:paraId="4B89CD4A">
            <w:pPr>
              <w:pStyle w:val="27"/>
              <w:keepNext w:val="0"/>
              <w:keepLines w:val="0"/>
              <w:pageBreakBefore w:val="0"/>
              <w:widowControl w:val="0"/>
              <w:shd w:val="clear" w:color="auto" w:fill="auto"/>
              <w:tabs>
                <w:tab w:val="left" w:pos="2517"/>
              </w:tabs>
              <w:kinsoku/>
              <w:wordWrap/>
              <w:overflowPunct/>
              <w:topLinePunct w:val="0"/>
              <w:bidi w:val="0"/>
              <w:spacing w:before="0" w:line="360" w:lineRule="exact"/>
              <w:ind w:firstLine="420" w:firstLineChars="20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bidi="en-US"/>
              </w:rPr>
              <w:t>（3）</w:t>
            </w:r>
            <w:r>
              <w:rPr>
                <w:rFonts w:hint="eastAsia" w:ascii="宋体" w:hAnsi="宋体" w:eastAsia="宋体" w:cs="宋体"/>
                <w:color w:val="auto"/>
                <w:sz w:val="21"/>
                <w:szCs w:val="21"/>
                <w:highlight w:val="none"/>
                <w:lang w:val="en-US" w:eastAsia="zh-CN"/>
              </w:rPr>
              <w:t>投标人的财务状况符合招标文件规定。</w:t>
            </w:r>
          </w:p>
          <w:p w14:paraId="5C111FF8">
            <w:pPr>
              <w:pStyle w:val="27"/>
              <w:keepNext w:val="0"/>
              <w:keepLines w:val="0"/>
              <w:pageBreakBefore w:val="0"/>
              <w:widowControl w:val="0"/>
              <w:shd w:val="clear" w:color="auto" w:fill="auto"/>
              <w:tabs>
                <w:tab w:val="left" w:pos="3008"/>
              </w:tabs>
              <w:kinsoku/>
              <w:wordWrap/>
              <w:overflowPunct/>
              <w:topLinePunct w:val="0"/>
              <w:bidi w:val="0"/>
              <w:spacing w:before="0" w:line="36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（4）投标人的类似项目业绩符合招标文件规定。</w:t>
            </w:r>
          </w:p>
          <w:p w14:paraId="20165C5D">
            <w:pPr>
              <w:keepNext w:val="0"/>
              <w:keepLines w:val="0"/>
              <w:pageBreakBefore w:val="0"/>
              <w:widowControl w:val="0"/>
              <w:kinsoku/>
              <w:wordWrap/>
              <w:overflowPunct/>
              <w:topLinePunct w:val="0"/>
              <w:autoSpaceDE w:val="0"/>
              <w:autoSpaceDN w:val="0"/>
              <w:bidi w:val="0"/>
              <w:adjustRightInd w:val="0"/>
              <w:spacing w:line="360" w:lineRule="exact"/>
              <w:ind w:firstLine="420" w:firstLineChars="200"/>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（5）投标人的信誉符合招标文件规定</w:t>
            </w:r>
            <w:r>
              <w:rPr>
                <w:rFonts w:hint="eastAsia" w:ascii="宋体" w:hAnsi="宋体" w:eastAsia="宋体" w:cs="宋体"/>
                <w:color w:val="auto"/>
                <w:sz w:val="21"/>
                <w:szCs w:val="21"/>
                <w:highlight w:val="none"/>
                <w:lang w:eastAsia="zh-CN"/>
              </w:rPr>
              <w:t>。</w:t>
            </w:r>
          </w:p>
          <w:p w14:paraId="40B6FDEA">
            <w:pPr>
              <w:pStyle w:val="25"/>
              <w:keepNext w:val="0"/>
              <w:keepLines w:val="0"/>
              <w:pageBreakBefore w:val="0"/>
              <w:widowControl w:val="0"/>
              <w:shd w:val="clear" w:color="auto" w:fill="auto"/>
              <w:tabs>
                <w:tab w:val="left" w:pos="1068"/>
              </w:tabs>
              <w:kinsoku/>
              <w:wordWrap/>
              <w:overflowPunct/>
              <w:topLinePunct w:val="0"/>
              <w:bidi w:val="0"/>
              <w:spacing w:before="0" w:after="0" w:line="36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Style w:val="26"/>
                <w:rFonts w:hint="eastAsia" w:ascii="宋体" w:hAnsi="宋体" w:eastAsia="宋体" w:cs="宋体"/>
                <w:color w:val="auto"/>
                <w:sz w:val="21"/>
                <w:szCs w:val="21"/>
                <w:highlight w:val="none"/>
              </w:rPr>
              <w:t>（6）投标人的项目经理和项目总工资格、在岗情况符合招标文件规定。</w:t>
            </w:r>
          </w:p>
          <w:p w14:paraId="3EE3A4D9">
            <w:pPr>
              <w:pStyle w:val="25"/>
              <w:keepNext w:val="0"/>
              <w:keepLines w:val="0"/>
              <w:pageBreakBefore w:val="0"/>
              <w:widowControl w:val="0"/>
              <w:shd w:val="clear" w:color="auto" w:fill="auto"/>
              <w:tabs>
                <w:tab w:val="left" w:pos="1073"/>
              </w:tabs>
              <w:kinsoku/>
              <w:wordWrap/>
              <w:overflowPunct/>
              <w:topLinePunct w:val="0"/>
              <w:bidi w:val="0"/>
              <w:spacing w:before="0" w:after="0" w:line="360" w:lineRule="exact"/>
              <w:ind w:firstLine="420" w:firstLineChars="200"/>
              <w:jc w:val="left"/>
              <w:textAlignment w:val="auto"/>
              <w:rPr>
                <w:rStyle w:val="26"/>
                <w:rFonts w:hint="eastAsia" w:ascii="宋体" w:hAnsi="宋体" w:eastAsia="宋体" w:cs="宋体"/>
                <w:color w:val="auto"/>
                <w:sz w:val="21"/>
                <w:szCs w:val="21"/>
                <w:highlight w:val="none"/>
              </w:rPr>
            </w:pPr>
            <w:r>
              <w:rPr>
                <w:rStyle w:val="26"/>
                <w:rFonts w:hint="eastAsia" w:ascii="宋体" w:hAnsi="宋体" w:eastAsia="宋体" w:cs="宋体"/>
                <w:color w:val="auto"/>
                <w:sz w:val="21"/>
                <w:szCs w:val="21"/>
                <w:highlight w:val="none"/>
              </w:rPr>
              <w:t>（7）投标人不存在第二章“投标人须知”第1.4.3项或第1.4.4项规定的任何一种情形。</w:t>
            </w:r>
          </w:p>
          <w:p w14:paraId="0DB30AA5">
            <w:pPr>
              <w:pStyle w:val="25"/>
              <w:keepNext w:val="0"/>
              <w:keepLines w:val="0"/>
              <w:pageBreakBefore w:val="0"/>
              <w:widowControl w:val="0"/>
              <w:shd w:val="clear" w:color="auto" w:fill="auto"/>
              <w:tabs>
                <w:tab w:val="left" w:pos="1073"/>
              </w:tabs>
              <w:kinsoku/>
              <w:wordWrap/>
              <w:overflowPunct/>
              <w:topLinePunct w:val="0"/>
              <w:bidi w:val="0"/>
              <w:spacing w:before="0" w:after="0" w:line="360" w:lineRule="exact"/>
              <w:ind w:firstLine="420" w:firstLineChars="200"/>
              <w:jc w:val="left"/>
              <w:textAlignment w:val="auto"/>
              <w:rPr>
                <w:rStyle w:val="26"/>
                <w:rFonts w:hint="eastAsia" w:ascii="宋体" w:hAnsi="宋体" w:eastAsia="宋体" w:cs="宋体"/>
                <w:color w:val="auto"/>
                <w:sz w:val="21"/>
                <w:szCs w:val="21"/>
                <w:highlight w:val="none"/>
                <w:lang w:val="en-US"/>
              </w:rPr>
            </w:pPr>
            <w:r>
              <w:rPr>
                <w:rStyle w:val="26"/>
                <w:rFonts w:hint="eastAsia" w:ascii="宋体" w:hAnsi="宋体" w:eastAsia="宋体" w:cs="宋体"/>
                <w:color w:val="auto"/>
                <w:sz w:val="21"/>
                <w:szCs w:val="21"/>
              </w:rPr>
              <w:t>（</w:t>
            </w:r>
            <w:r>
              <w:rPr>
                <w:rStyle w:val="26"/>
                <w:rFonts w:hint="eastAsia" w:ascii="宋体" w:hAnsi="宋体" w:eastAsia="宋体" w:cs="宋体"/>
                <w:color w:val="auto"/>
                <w:sz w:val="21"/>
                <w:szCs w:val="21"/>
                <w:lang w:val="en-US"/>
              </w:rPr>
              <w:t>8</w:t>
            </w:r>
            <w:r>
              <w:rPr>
                <w:rStyle w:val="26"/>
                <w:rFonts w:hint="eastAsia" w:ascii="宋体" w:hAnsi="宋体" w:eastAsia="宋体" w:cs="宋体"/>
                <w:color w:val="auto"/>
                <w:sz w:val="21"/>
                <w:szCs w:val="21"/>
              </w:rPr>
              <w:t>）</w:t>
            </w:r>
            <w:r>
              <w:rPr>
                <w:rStyle w:val="26"/>
                <w:rFonts w:hint="eastAsia" w:ascii="宋体" w:hAnsi="宋体" w:eastAsia="宋体" w:cs="宋体"/>
                <w:color w:val="auto"/>
                <w:sz w:val="21"/>
                <w:szCs w:val="21"/>
                <w:lang w:val="en-US"/>
              </w:rPr>
              <w:t>投标人</w:t>
            </w:r>
            <w:r>
              <w:rPr>
                <w:rStyle w:val="26"/>
                <w:rFonts w:hint="eastAsia" w:ascii="宋体" w:hAnsi="宋体" w:eastAsia="宋体" w:cs="宋体"/>
                <w:color w:val="auto"/>
                <w:sz w:val="21"/>
                <w:szCs w:val="21"/>
              </w:rPr>
              <w:t>以联合体形式参与投标的，联合体各方均未再以自己名义单独或参加其他联合体在同一标段中投标。</w:t>
            </w:r>
          </w:p>
        </w:tc>
      </w:tr>
      <w:tr w14:paraId="36569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899" w:type="dxa"/>
            <w:tcBorders>
              <w:left w:val="single" w:color="auto" w:sz="12" w:space="0"/>
            </w:tcBorders>
            <w:vAlign w:val="center"/>
          </w:tcPr>
          <w:p w14:paraId="63560F0F">
            <w:pPr>
              <w:keepNext w:val="0"/>
              <w:keepLines w:val="0"/>
              <w:pageBreakBefore w:val="0"/>
              <w:widowControl w:val="0"/>
              <w:kinsoku/>
              <w:wordWrap/>
              <w:overflowPunct/>
              <w:topLinePunct w:val="0"/>
              <w:autoSpaceDE w:val="0"/>
              <w:autoSpaceDN w:val="0"/>
              <w:bidi w:val="0"/>
              <w:adjustRightInd w:val="0"/>
              <w:spacing w:line="360" w:lineRule="exact"/>
              <w:jc w:val="center"/>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2.2.1</w:t>
            </w:r>
          </w:p>
        </w:tc>
        <w:tc>
          <w:tcPr>
            <w:tcW w:w="1636" w:type="dxa"/>
            <w:vAlign w:val="center"/>
          </w:tcPr>
          <w:p w14:paraId="5EE5AE7E">
            <w:pPr>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第一个信封</w:t>
            </w:r>
          </w:p>
          <w:p w14:paraId="1E44BF71">
            <w:pPr>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评分值构成</w:t>
            </w:r>
          </w:p>
          <w:p w14:paraId="28DC0D6C">
            <w:pPr>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（总分100分）</w:t>
            </w:r>
          </w:p>
        </w:tc>
        <w:tc>
          <w:tcPr>
            <w:tcW w:w="7002" w:type="dxa"/>
            <w:tcBorders>
              <w:right w:val="single" w:color="auto" w:sz="12" w:space="0"/>
            </w:tcBorders>
            <w:vAlign w:val="center"/>
          </w:tcPr>
          <w:p w14:paraId="368E1C69">
            <w:pPr>
              <w:keepNext w:val="0"/>
              <w:keepLines w:val="0"/>
              <w:pageBreakBefore w:val="0"/>
              <w:widowControl w:val="0"/>
              <w:kinsoku/>
              <w:wordWrap/>
              <w:overflowPunct/>
              <w:topLinePunct w:val="0"/>
              <w:bidi w:val="0"/>
              <w:snapToGrid/>
              <w:spacing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施工组织设计：40分；</w:t>
            </w:r>
          </w:p>
          <w:p w14:paraId="39C5AA0C">
            <w:pPr>
              <w:keepNext w:val="0"/>
              <w:keepLines w:val="0"/>
              <w:pageBreakBefore w:val="0"/>
              <w:widowControl w:val="0"/>
              <w:kinsoku/>
              <w:wordWrap/>
              <w:overflowPunct/>
              <w:topLinePunct w:val="0"/>
              <w:bidi w:val="0"/>
              <w:snapToGrid/>
              <w:spacing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主要人员：25分；</w:t>
            </w:r>
          </w:p>
          <w:p w14:paraId="7070A0A1">
            <w:pPr>
              <w:keepNext w:val="0"/>
              <w:keepLines w:val="0"/>
              <w:pageBreakBefore w:val="0"/>
              <w:widowControl w:val="0"/>
              <w:kinsoku/>
              <w:wordWrap/>
              <w:overflowPunct/>
              <w:topLinePunct w:val="0"/>
              <w:bidi w:val="0"/>
              <w:snapToGrid/>
              <w:spacing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其他评分因素：35分。</w:t>
            </w:r>
          </w:p>
        </w:tc>
      </w:tr>
      <w:tr w14:paraId="61BE1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899" w:type="dxa"/>
            <w:tcBorders>
              <w:left w:val="single" w:color="auto" w:sz="12" w:space="0"/>
            </w:tcBorders>
            <w:vAlign w:val="center"/>
          </w:tcPr>
          <w:p w14:paraId="6CB14390">
            <w:pPr>
              <w:keepNext w:val="0"/>
              <w:keepLines w:val="0"/>
              <w:pageBreakBefore w:val="0"/>
              <w:widowControl w:val="0"/>
              <w:kinsoku/>
              <w:wordWrap/>
              <w:overflowPunct/>
              <w:topLinePunct w:val="0"/>
              <w:autoSpaceDE w:val="0"/>
              <w:autoSpaceDN w:val="0"/>
              <w:bidi w:val="0"/>
              <w:adjustRightInd w:val="0"/>
              <w:spacing w:line="360" w:lineRule="exact"/>
              <w:jc w:val="center"/>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2.2.3</w:t>
            </w:r>
          </w:p>
        </w:tc>
        <w:tc>
          <w:tcPr>
            <w:tcW w:w="1636" w:type="dxa"/>
            <w:vAlign w:val="center"/>
          </w:tcPr>
          <w:p w14:paraId="15E63FAB">
            <w:pPr>
              <w:keepNext w:val="0"/>
              <w:keepLines w:val="0"/>
              <w:pageBreakBefore w:val="0"/>
              <w:widowControl w:val="0"/>
              <w:kinsoku/>
              <w:wordWrap/>
              <w:overflowPunct/>
              <w:topLinePunct w:val="0"/>
              <w:autoSpaceDE w:val="0"/>
              <w:autoSpaceDN w:val="0"/>
              <w:bidi w:val="0"/>
              <w:adjustRightInd w:val="0"/>
              <w:snapToGrid/>
              <w:spacing w:line="360" w:lineRule="exact"/>
              <w:ind w:firstLine="105" w:firstLineChars="50"/>
              <w:jc w:val="center"/>
              <w:textAlignment w:val="auto"/>
              <w:rPr>
                <w:rFonts w:hint="eastAsia" w:ascii="宋体" w:hAnsi="宋体" w:eastAsia="宋体" w:cs="宋体"/>
                <w:bCs/>
                <w:color w:val="auto"/>
                <w:sz w:val="21"/>
                <w:szCs w:val="21"/>
                <w:highlight w:val="none"/>
                <w:lang w:val="zh-CN"/>
              </w:rPr>
            </w:pPr>
            <w:r>
              <w:rPr>
                <w:rFonts w:hint="eastAsia" w:ascii="宋体" w:hAnsi="宋体" w:eastAsia="宋体" w:cs="宋体"/>
                <w:bCs/>
                <w:color w:val="auto"/>
                <w:sz w:val="21"/>
                <w:szCs w:val="21"/>
                <w:highlight w:val="none"/>
                <w:lang w:val="zh-CN"/>
              </w:rPr>
              <w:t>第二个信封详细评审标准</w:t>
            </w:r>
          </w:p>
        </w:tc>
        <w:tc>
          <w:tcPr>
            <w:tcW w:w="7002" w:type="dxa"/>
            <w:tcBorders>
              <w:right w:val="single" w:color="auto" w:sz="12" w:space="0"/>
            </w:tcBorders>
            <w:vAlign w:val="center"/>
          </w:tcPr>
          <w:p w14:paraId="72D09396">
            <w:pPr>
              <w:keepNext w:val="0"/>
              <w:keepLines w:val="0"/>
              <w:pageBreakBefore w:val="0"/>
              <w:widowControl w:val="0"/>
              <w:kinsoku/>
              <w:wordWrap/>
              <w:overflowPunct/>
              <w:topLinePunct w:val="0"/>
              <w:autoSpaceDE w:val="0"/>
              <w:autoSpaceDN w:val="0"/>
              <w:bidi w:val="0"/>
              <w:adjustRightInd w:val="0"/>
              <w:snapToGrid/>
              <w:spacing w:line="360" w:lineRule="exact"/>
              <w:textAlignment w:val="auto"/>
              <w:rPr>
                <w:rFonts w:hint="eastAsia" w:ascii="宋体" w:hAnsi="宋体" w:eastAsia="宋体" w:cs="宋体"/>
                <w:bCs/>
                <w:color w:val="auto"/>
                <w:sz w:val="21"/>
                <w:szCs w:val="21"/>
                <w:highlight w:val="none"/>
                <w:lang w:val="zh-CN"/>
              </w:rPr>
            </w:pPr>
            <w:r>
              <w:rPr>
                <w:rFonts w:hint="eastAsia" w:ascii="宋体" w:hAnsi="宋体" w:eastAsia="宋体" w:cs="宋体"/>
                <w:b/>
                <w:color w:val="auto"/>
                <w:sz w:val="21"/>
                <w:szCs w:val="21"/>
                <w:highlight w:val="none"/>
              </w:rPr>
              <w:t>评标价计算公式：</w:t>
            </w:r>
            <w:r>
              <w:rPr>
                <w:rFonts w:hint="eastAsia" w:ascii="宋体" w:hAnsi="宋体" w:eastAsia="宋体" w:cs="宋体"/>
                <w:color w:val="auto"/>
                <w:sz w:val="21"/>
                <w:szCs w:val="21"/>
                <w:highlight w:val="none"/>
              </w:rPr>
              <w:t>评标价=投标函文字报价</w:t>
            </w:r>
          </w:p>
        </w:tc>
      </w:tr>
      <w:tr w14:paraId="7D2F1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899" w:type="dxa"/>
            <w:tcBorders>
              <w:left w:val="single" w:color="auto" w:sz="12" w:space="0"/>
              <w:bottom w:val="single" w:color="auto" w:sz="12" w:space="0"/>
            </w:tcBorders>
            <w:vAlign w:val="center"/>
          </w:tcPr>
          <w:p w14:paraId="2AB10F49">
            <w:pPr>
              <w:keepNext w:val="0"/>
              <w:keepLines w:val="0"/>
              <w:pageBreakBefore w:val="0"/>
              <w:widowControl w:val="0"/>
              <w:kinsoku/>
              <w:wordWrap/>
              <w:overflowPunct/>
              <w:topLinePunct w:val="0"/>
              <w:autoSpaceDE w:val="0"/>
              <w:autoSpaceDN w:val="0"/>
              <w:bidi w:val="0"/>
              <w:adjustRightInd w:val="0"/>
              <w:spacing w:line="360" w:lineRule="exact"/>
              <w:jc w:val="center"/>
              <w:textAlignment w:val="auto"/>
              <w:rPr>
                <w:rFonts w:hint="eastAsia" w:ascii="宋体" w:hAnsi="宋体" w:eastAsia="宋体" w:cs="宋体"/>
                <w:bCs/>
                <w:color w:val="auto"/>
                <w:sz w:val="21"/>
                <w:szCs w:val="21"/>
                <w:highlight w:val="none"/>
                <w:lang w:val="zh-CN"/>
              </w:rPr>
            </w:pPr>
            <w:r>
              <w:rPr>
                <w:rFonts w:hint="eastAsia" w:ascii="宋体" w:hAnsi="宋体" w:eastAsia="宋体" w:cs="宋体"/>
                <w:bCs/>
                <w:color w:val="auto"/>
                <w:sz w:val="21"/>
                <w:szCs w:val="21"/>
                <w:highlight w:val="none"/>
                <w:lang w:val="zh-CN"/>
              </w:rPr>
              <w:t>3.2.4</w:t>
            </w:r>
          </w:p>
        </w:tc>
        <w:tc>
          <w:tcPr>
            <w:tcW w:w="1636" w:type="dxa"/>
            <w:tcBorders>
              <w:bottom w:val="single" w:color="auto" w:sz="12" w:space="0"/>
            </w:tcBorders>
            <w:vAlign w:val="center"/>
          </w:tcPr>
          <w:p w14:paraId="7ED06B1C">
            <w:pPr>
              <w:keepNext w:val="0"/>
              <w:keepLines w:val="0"/>
              <w:pageBreakBefore w:val="0"/>
              <w:widowControl w:val="0"/>
              <w:kinsoku/>
              <w:wordWrap/>
              <w:overflowPunct/>
              <w:topLinePunct w:val="0"/>
              <w:autoSpaceDE w:val="0"/>
              <w:autoSpaceDN w:val="0"/>
              <w:bidi w:val="0"/>
              <w:adjustRightInd w:val="0"/>
              <w:spacing w:line="360" w:lineRule="exact"/>
              <w:ind w:firstLine="105" w:firstLineChars="50"/>
              <w:jc w:val="center"/>
              <w:textAlignment w:val="auto"/>
              <w:rPr>
                <w:rFonts w:hint="eastAsia" w:ascii="宋体" w:hAnsi="宋体" w:eastAsia="宋体" w:cs="宋体"/>
                <w:bCs/>
                <w:color w:val="auto"/>
                <w:sz w:val="21"/>
                <w:szCs w:val="21"/>
                <w:highlight w:val="none"/>
                <w:lang w:val="zh-CN"/>
              </w:rPr>
            </w:pPr>
            <w:r>
              <w:rPr>
                <w:rFonts w:hint="eastAsia" w:ascii="宋体" w:hAnsi="宋体" w:eastAsia="宋体" w:cs="宋体"/>
                <w:bCs/>
                <w:color w:val="auto"/>
                <w:sz w:val="21"/>
                <w:szCs w:val="21"/>
                <w:highlight w:val="none"/>
                <w:lang w:val="zh-CN"/>
              </w:rPr>
              <w:t>通过第一个信封详细评审的投标人数量</w:t>
            </w:r>
          </w:p>
        </w:tc>
        <w:tc>
          <w:tcPr>
            <w:tcW w:w="7002" w:type="dxa"/>
            <w:tcBorders>
              <w:bottom w:val="single" w:color="auto" w:sz="12" w:space="0"/>
              <w:right w:val="single" w:color="auto" w:sz="12" w:space="0"/>
            </w:tcBorders>
            <w:vAlign w:val="center"/>
          </w:tcPr>
          <w:p w14:paraId="0AD11753">
            <w:pPr>
              <w:keepNext w:val="0"/>
              <w:keepLines w:val="0"/>
              <w:pageBreakBefore w:val="0"/>
              <w:widowControl w:val="0"/>
              <w:kinsoku/>
              <w:wordWrap/>
              <w:overflowPunct/>
              <w:topLinePunct w:val="0"/>
              <w:autoSpaceDE w:val="0"/>
              <w:autoSpaceDN w:val="0"/>
              <w:bidi w:val="0"/>
              <w:adjustRightInd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按投标人商务和技术得分由高到低排序，选择前</w:t>
            </w:r>
            <w:r>
              <w:rPr>
                <w:rFonts w:hint="eastAsia" w:ascii="宋体" w:hAnsi="宋体" w:eastAsia="宋体" w:cs="宋体"/>
                <w:color w:val="auto"/>
                <w:sz w:val="21"/>
                <w:szCs w:val="21"/>
                <w:highlight w:val="none"/>
                <w:u w:val="single"/>
              </w:rPr>
              <w:t xml:space="preserve"> </w:t>
            </w:r>
            <w:r>
              <w:rPr>
                <w:rFonts w:hint="eastAsia" w:ascii="宋体" w:hAnsi="宋体" w:eastAsia="宋体" w:cs="宋体"/>
                <w:b/>
                <w:color w:val="auto"/>
                <w:sz w:val="21"/>
                <w:szCs w:val="21"/>
                <w:highlight w:val="none"/>
                <w:u w:val="single"/>
              </w:rPr>
              <w:t xml:space="preserve">3 </w:t>
            </w:r>
            <w:r>
              <w:rPr>
                <w:rFonts w:hint="eastAsia" w:ascii="宋体" w:hAnsi="宋体" w:eastAsia="宋体" w:cs="宋体"/>
                <w:color w:val="auto"/>
                <w:sz w:val="21"/>
                <w:szCs w:val="21"/>
                <w:highlight w:val="none"/>
              </w:rPr>
              <w:t>名通过详细评审。</w:t>
            </w:r>
          </w:p>
          <w:p w14:paraId="5011FF12">
            <w:pPr>
              <w:keepNext w:val="0"/>
              <w:keepLines w:val="0"/>
              <w:pageBreakBefore w:val="0"/>
              <w:widowControl w:val="0"/>
              <w:kinsoku/>
              <w:wordWrap/>
              <w:overflowPunct/>
              <w:topLinePunct w:val="0"/>
              <w:bidi w:val="0"/>
              <w:adjustRightInd w:val="0"/>
              <w:snapToGrid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如同一标段出现多名投标人的第一信封（商务及技术文件）综合评分相等时，则按照以下所列</w:t>
            </w:r>
            <w:r>
              <w:rPr>
                <w:rFonts w:hint="eastAsia" w:ascii="宋体" w:hAnsi="宋体" w:eastAsia="宋体" w:cs="宋体"/>
                <w:color w:val="auto"/>
                <w:sz w:val="21"/>
                <w:szCs w:val="21"/>
                <w:highlight w:val="none"/>
                <w:lang w:val="en-US" w:eastAsia="zh-CN"/>
              </w:rPr>
              <w:t>顺序</w:t>
            </w:r>
            <w:r>
              <w:rPr>
                <w:rFonts w:hint="eastAsia" w:ascii="宋体" w:hAnsi="宋体" w:eastAsia="宋体" w:cs="宋体"/>
                <w:color w:val="auto"/>
                <w:sz w:val="21"/>
                <w:szCs w:val="21"/>
                <w:highlight w:val="none"/>
              </w:rPr>
              <w:t>在前的优先：</w:t>
            </w:r>
          </w:p>
          <w:p w14:paraId="74CCD384">
            <w:pPr>
              <w:keepNext w:val="0"/>
              <w:keepLines w:val="0"/>
              <w:pageBreakBefore w:val="0"/>
              <w:widowControl w:val="0"/>
              <w:kinsoku/>
              <w:wordWrap/>
              <w:overflowPunct/>
              <w:topLinePunct w:val="0"/>
              <w:bidi w:val="0"/>
              <w:adjustRightInd w:val="0"/>
              <w:snapToGrid w:val="0"/>
              <w:spacing w:line="360" w:lineRule="exact"/>
              <w:ind w:firstLine="422" w:firstLineChars="201"/>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a.信用评价得分较高者；</w:t>
            </w:r>
          </w:p>
          <w:p w14:paraId="6B9F8435">
            <w:pPr>
              <w:keepNext w:val="0"/>
              <w:keepLines w:val="0"/>
              <w:pageBreakBefore w:val="0"/>
              <w:widowControl w:val="0"/>
              <w:kinsoku/>
              <w:wordWrap/>
              <w:overflowPunct/>
              <w:topLinePunct w:val="0"/>
              <w:bidi w:val="0"/>
              <w:adjustRightInd w:val="0"/>
              <w:snapToGrid w:val="0"/>
              <w:spacing w:line="360" w:lineRule="exact"/>
              <w:ind w:firstLine="422" w:firstLineChars="201"/>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b.主要人员得分较高者；</w:t>
            </w:r>
          </w:p>
          <w:p w14:paraId="0D3D6847">
            <w:pPr>
              <w:keepNext w:val="0"/>
              <w:keepLines w:val="0"/>
              <w:pageBreakBefore w:val="0"/>
              <w:widowControl w:val="0"/>
              <w:kinsoku/>
              <w:wordWrap/>
              <w:overflowPunct/>
              <w:topLinePunct w:val="0"/>
              <w:bidi w:val="0"/>
              <w:adjustRightInd w:val="0"/>
              <w:snapToGrid w:val="0"/>
              <w:spacing w:line="360" w:lineRule="exact"/>
              <w:ind w:firstLine="422" w:firstLineChars="201"/>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c.施工组织设计得分较高者；</w:t>
            </w:r>
          </w:p>
          <w:p w14:paraId="6CE90AF4">
            <w:pPr>
              <w:keepNext w:val="0"/>
              <w:keepLines w:val="0"/>
              <w:pageBreakBefore w:val="0"/>
              <w:widowControl w:val="0"/>
              <w:kinsoku/>
              <w:wordWrap/>
              <w:overflowPunct/>
              <w:topLinePunct w:val="0"/>
              <w:autoSpaceDE w:val="0"/>
              <w:autoSpaceDN w:val="0"/>
              <w:bidi w:val="0"/>
              <w:adjustRightInd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若以上各项评分因素得分都相等，则通过评委会投票表决，推荐票数多的投标人评分排序在先。</w:t>
            </w:r>
          </w:p>
        </w:tc>
      </w:tr>
    </w:tbl>
    <w:p w14:paraId="7FEBE688">
      <w:pPr>
        <w:keepLines w:val="0"/>
        <w:kinsoku/>
        <w:wordWrap/>
        <w:overflowPunct/>
        <w:topLinePunct w:val="0"/>
        <w:bidi w:val="0"/>
        <w:spacing w:line="360" w:lineRule="exact"/>
        <w:textAlignment w:val="auto"/>
        <w:rPr>
          <w:rFonts w:hint="eastAsia" w:ascii="宋体" w:hAnsi="宋体" w:eastAsia="宋体" w:cs="宋体"/>
          <w:color w:val="auto"/>
          <w:sz w:val="21"/>
          <w:szCs w:val="21"/>
          <w:highlight w:val="none"/>
        </w:rPr>
      </w:pPr>
    </w:p>
    <w:tbl>
      <w:tblPr>
        <w:tblStyle w:val="11"/>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28" w:type="dxa"/>
          <w:bottom w:w="0" w:type="dxa"/>
          <w:right w:w="28" w:type="dxa"/>
        </w:tblCellMar>
      </w:tblPr>
      <w:tblGrid>
        <w:gridCol w:w="914"/>
        <w:gridCol w:w="675"/>
        <w:gridCol w:w="945"/>
        <w:gridCol w:w="1845"/>
        <w:gridCol w:w="855"/>
        <w:gridCol w:w="4303"/>
      </w:tblGrid>
      <w:tr w14:paraId="0C9A273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tblHeader/>
          <w:jc w:val="center"/>
        </w:trPr>
        <w:tc>
          <w:tcPr>
            <w:tcW w:w="5234" w:type="dxa"/>
            <w:gridSpan w:val="5"/>
            <w:tcBorders>
              <w:tl2br w:val="nil"/>
              <w:tr2bl w:val="nil"/>
            </w:tcBorders>
            <w:vAlign w:val="center"/>
          </w:tcPr>
          <w:p w14:paraId="6534D9D7">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评分因素与权重分值</w:t>
            </w:r>
            <w:r>
              <w:rPr>
                <w:rFonts w:hint="eastAsia" w:ascii="宋体" w:hAnsi="宋体" w:eastAsia="宋体" w:cs="宋体"/>
                <w:b/>
                <w:bCs/>
                <w:color w:val="auto"/>
                <w:sz w:val="21"/>
                <w:szCs w:val="21"/>
                <w:highlight w:val="none"/>
                <w:vertAlign w:val="superscript"/>
              </w:rPr>
              <w:footnoteReference w:id="4"/>
            </w:r>
          </w:p>
        </w:tc>
        <w:tc>
          <w:tcPr>
            <w:tcW w:w="4303" w:type="dxa"/>
            <w:vMerge w:val="restart"/>
            <w:tcBorders>
              <w:tl2br w:val="nil"/>
              <w:tr2bl w:val="nil"/>
            </w:tcBorders>
            <w:vAlign w:val="center"/>
          </w:tcPr>
          <w:p w14:paraId="0C3A04B5">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评分标准</w:t>
            </w:r>
          </w:p>
        </w:tc>
      </w:tr>
      <w:tr w14:paraId="7BC40B7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tblHeader/>
          <w:jc w:val="center"/>
        </w:trPr>
        <w:tc>
          <w:tcPr>
            <w:tcW w:w="914" w:type="dxa"/>
            <w:tcBorders>
              <w:tl2br w:val="nil"/>
              <w:tr2bl w:val="nil"/>
            </w:tcBorders>
            <w:vAlign w:val="center"/>
          </w:tcPr>
          <w:p w14:paraId="076911DF">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条款号</w:t>
            </w:r>
          </w:p>
        </w:tc>
        <w:tc>
          <w:tcPr>
            <w:tcW w:w="675" w:type="dxa"/>
            <w:tcBorders>
              <w:tl2br w:val="nil"/>
              <w:tr2bl w:val="nil"/>
            </w:tcBorders>
            <w:vAlign w:val="center"/>
          </w:tcPr>
          <w:p w14:paraId="565247DB">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评分</w:t>
            </w:r>
            <w:r>
              <w:rPr>
                <w:rFonts w:hint="eastAsia" w:ascii="宋体" w:hAnsi="宋体" w:eastAsia="宋体" w:cs="宋体"/>
                <w:b/>
                <w:bCs/>
                <w:color w:val="auto"/>
                <w:sz w:val="21"/>
                <w:szCs w:val="21"/>
                <w:highlight w:val="none"/>
              </w:rPr>
              <w:br w:type="textWrapping"/>
            </w:r>
            <w:r>
              <w:rPr>
                <w:rFonts w:hint="eastAsia" w:ascii="宋体" w:hAnsi="宋体" w:eastAsia="宋体" w:cs="宋体"/>
                <w:b/>
                <w:bCs/>
                <w:color w:val="auto"/>
                <w:sz w:val="21"/>
                <w:szCs w:val="21"/>
                <w:highlight w:val="none"/>
              </w:rPr>
              <w:t>因素</w:t>
            </w:r>
          </w:p>
        </w:tc>
        <w:tc>
          <w:tcPr>
            <w:tcW w:w="945" w:type="dxa"/>
            <w:tcBorders>
              <w:tl2br w:val="nil"/>
              <w:tr2bl w:val="nil"/>
            </w:tcBorders>
            <w:vAlign w:val="center"/>
          </w:tcPr>
          <w:p w14:paraId="4F64DEBC">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评分因素</w:t>
            </w:r>
            <w:r>
              <w:rPr>
                <w:rFonts w:hint="eastAsia" w:ascii="宋体" w:hAnsi="宋体" w:eastAsia="宋体" w:cs="宋体"/>
                <w:b/>
                <w:bCs/>
                <w:color w:val="auto"/>
                <w:sz w:val="21"/>
                <w:szCs w:val="21"/>
                <w:highlight w:val="none"/>
              </w:rPr>
              <w:br w:type="textWrapping"/>
            </w:r>
            <w:r>
              <w:rPr>
                <w:rFonts w:hint="eastAsia" w:ascii="宋体" w:hAnsi="宋体" w:eastAsia="宋体" w:cs="宋体"/>
                <w:b/>
                <w:bCs/>
                <w:color w:val="auto"/>
                <w:sz w:val="21"/>
                <w:szCs w:val="21"/>
                <w:highlight w:val="none"/>
              </w:rPr>
              <w:t>权重分值</w:t>
            </w:r>
          </w:p>
        </w:tc>
        <w:tc>
          <w:tcPr>
            <w:tcW w:w="1845" w:type="dxa"/>
            <w:tcBorders>
              <w:tl2br w:val="nil"/>
              <w:tr2bl w:val="nil"/>
            </w:tcBorders>
            <w:vAlign w:val="center"/>
          </w:tcPr>
          <w:p w14:paraId="04848567">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各评分因素细分项</w:t>
            </w:r>
          </w:p>
        </w:tc>
        <w:tc>
          <w:tcPr>
            <w:tcW w:w="855" w:type="dxa"/>
            <w:tcBorders>
              <w:tl2br w:val="nil"/>
              <w:tr2bl w:val="nil"/>
            </w:tcBorders>
            <w:vAlign w:val="center"/>
          </w:tcPr>
          <w:p w14:paraId="04E63EEB">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分值</w:t>
            </w:r>
          </w:p>
        </w:tc>
        <w:tc>
          <w:tcPr>
            <w:tcW w:w="4303" w:type="dxa"/>
            <w:vMerge w:val="continue"/>
            <w:tcBorders>
              <w:tl2br w:val="nil"/>
              <w:tr2bl w:val="nil"/>
            </w:tcBorders>
            <w:vAlign w:val="center"/>
          </w:tcPr>
          <w:p w14:paraId="13D9FBA4">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b/>
                <w:color w:val="auto"/>
                <w:sz w:val="21"/>
                <w:szCs w:val="21"/>
                <w:highlight w:val="none"/>
              </w:rPr>
            </w:pPr>
          </w:p>
        </w:tc>
      </w:tr>
      <w:tr w14:paraId="5F2B0CE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914" w:type="dxa"/>
            <w:vMerge w:val="restart"/>
            <w:tcBorders>
              <w:tl2br w:val="nil"/>
              <w:tr2bl w:val="nil"/>
            </w:tcBorders>
            <w:vAlign w:val="center"/>
          </w:tcPr>
          <w:p w14:paraId="59EABF23">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2.2.2（1）</w:t>
            </w:r>
          </w:p>
        </w:tc>
        <w:tc>
          <w:tcPr>
            <w:tcW w:w="675" w:type="dxa"/>
            <w:vMerge w:val="restart"/>
            <w:tcBorders>
              <w:tl2br w:val="nil"/>
              <w:tr2bl w:val="nil"/>
            </w:tcBorders>
            <w:vAlign w:val="center"/>
          </w:tcPr>
          <w:p w14:paraId="60B036B1">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施工组织设计</w:t>
            </w:r>
          </w:p>
        </w:tc>
        <w:tc>
          <w:tcPr>
            <w:tcW w:w="945" w:type="dxa"/>
            <w:vMerge w:val="restart"/>
            <w:tcBorders>
              <w:tl2br w:val="nil"/>
              <w:tr2bl w:val="nil"/>
            </w:tcBorders>
            <w:vAlign w:val="center"/>
          </w:tcPr>
          <w:p w14:paraId="5A9D4886">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40分</w:t>
            </w:r>
          </w:p>
        </w:tc>
        <w:tc>
          <w:tcPr>
            <w:tcW w:w="1845" w:type="dxa"/>
            <w:tcBorders>
              <w:tl2br w:val="nil"/>
              <w:tr2bl w:val="nil"/>
            </w:tcBorders>
            <w:vAlign w:val="center"/>
          </w:tcPr>
          <w:p w14:paraId="19010873">
            <w:pPr>
              <w:keepNext w:val="0"/>
              <w:keepLines w:val="0"/>
              <w:pageBreakBefore w:val="0"/>
              <w:kinsoku/>
              <w:wordWrap/>
              <w:overflowPunct/>
              <w:topLinePunct w:val="0"/>
              <w:autoSpaceDE/>
              <w:autoSpaceDN/>
              <w:bidi w:val="0"/>
              <w:adjustRightInd w:val="0"/>
              <w:snapToGrid w:val="0"/>
              <w:spacing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总体施工组织布置及规划</w:t>
            </w:r>
          </w:p>
        </w:tc>
        <w:tc>
          <w:tcPr>
            <w:tcW w:w="855" w:type="dxa"/>
            <w:tcBorders>
              <w:tl2br w:val="nil"/>
              <w:tr2bl w:val="nil"/>
            </w:tcBorders>
            <w:vAlign w:val="center"/>
          </w:tcPr>
          <w:p w14:paraId="12EDF178">
            <w:pPr>
              <w:keepNext w:val="0"/>
              <w:keepLines w:val="0"/>
              <w:pageBreakBefore w:val="0"/>
              <w:kinsoku/>
              <w:wordWrap/>
              <w:overflowPunct/>
              <w:topLinePunct w:val="0"/>
              <w:autoSpaceDE/>
              <w:autoSpaceDN/>
              <w:bidi w:val="0"/>
              <w:snapToGrid w:val="0"/>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10分</w:t>
            </w:r>
          </w:p>
        </w:tc>
        <w:tc>
          <w:tcPr>
            <w:tcW w:w="4303" w:type="dxa"/>
            <w:tcBorders>
              <w:tl2br w:val="nil"/>
              <w:tr2bl w:val="nil"/>
            </w:tcBorders>
            <w:vAlign w:val="center"/>
          </w:tcPr>
          <w:p w14:paraId="7572B53B">
            <w:pPr>
              <w:keepLines w:val="0"/>
              <w:widowControl/>
              <w:kinsoku/>
              <w:wordWrap/>
              <w:overflowPunct/>
              <w:topLinePunct w:val="0"/>
              <w:bidi w:val="0"/>
              <w:spacing w:line="36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000000"/>
                <w:sz w:val="21"/>
                <w:szCs w:val="21"/>
                <w:shd w:val="clear" w:color="auto" w:fill="FFFFFF"/>
              </w:rPr>
              <w:t>按招标文件要求编制总体布置及规划</w:t>
            </w:r>
            <w:r>
              <w:rPr>
                <w:rFonts w:hint="eastAsia" w:ascii="宋体" w:hAnsi="宋体" w:eastAsia="宋体" w:cs="宋体"/>
                <w:kern w:val="0"/>
                <w:sz w:val="21"/>
                <w:szCs w:val="21"/>
              </w:rPr>
              <w:t>得6.0分，</w:t>
            </w:r>
            <w:r>
              <w:rPr>
                <w:rFonts w:hint="eastAsia" w:ascii="宋体" w:hAnsi="宋体" w:eastAsia="宋体" w:cs="宋体"/>
                <w:color w:val="000000"/>
                <w:sz w:val="21"/>
                <w:szCs w:val="21"/>
                <w:shd w:val="clear" w:color="auto" w:fill="FFFFFF"/>
              </w:rPr>
              <w:t>内容全面、科学合理、可操作性强</w:t>
            </w:r>
            <w:r>
              <w:rPr>
                <w:rFonts w:hint="eastAsia" w:ascii="宋体" w:hAnsi="宋体" w:eastAsia="宋体" w:cs="宋体"/>
                <w:sz w:val="21"/>
                <w:szCs w:val="21"/>
              </w:rPr>
              <w:t>，</w:t>
            </w:r>
            <w:r>
              <w:rPr>
                <w:rFonts w:hint="eastAsia" w:ascii="宋体" w:hAnsi="宋体" w:eastAsia="宋体" w:cs="宋体"/>
                <w:kern w:val="0"/>
                <w:sz w:val="21"/>
                <w:szCs w:val="21"/>
              </w:rPr>
              <w:t>酌情加分，最高加4.0分。</w:t>
            </w:r>
          </w:p>
        </w:tc>
      </w:tr>
      <w:tr w14:paraId="4131A42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914" w:type="dxa"/>
            <w:vMerge w:val="continue"/>
            <w:tcBorders>
              <w:tl2br w:val="nil"/>
              <w:tr2bl w:val="nil"/>
            </w:tcBorders>
            <w:vAlign w:val="center"/>
          </w:tcPr>
          <w:p w14:paraId="720F5908">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color w:val="auto"/>
                <w:sz w:val="21"/>
                <w:szCs w:val="21"/>
                <w:highlight w:val="none"/>
              </w:rPr>
            </w:pPr>
          </w:p>
        </w:tc>
        <w:tc>
          <w:tcPr>
            <w:tcW w:w="675" w:type="dxa"/>
            <w:vMerge w:val="continue"/>
            <w:tcBorders>
              <w:tl2br w:val="nil"/>
              <w:tr2bl w:val="nil"/>
            </w:tcBorders>
            <w:vAlign w:val="center"/>
          </w:tcPr>
          <w:p w14:paraId="3EB7D959">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color w:val="auto"/>
                <w:sz w:val="21"/>
                <w:szCs w:val="21"/>
                <w:highlight w:val="none"/>
              </w:rPr>
            </w:pPr>
          </w:p>
        </w:tc>
        <w:tc>
          <w:tcPr>
            <w:tcW w:w="945" w:type="dxa"/>
            <w:vMerge w:val="continue"/>
            <w:tcBorders>
              <w:tl2br w:val="nil"/>
              <w:tr2bl w:val="nil"/>
            </w:tcBorders>
            <w:vAlign w:val="center"/>
          </w:tcPr>
          <w:p w14:paraId="7575E9D3">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color w:val="auto"/>
                <w:sz w:val="21"/>
                <w:szCs w:val="21"/>
                <w:highlight w:val="none"/>
              </w:rPr>
            </w:pPr>
          </w:p>
        </w:tc>
        <w:tc>
          <w:tcPr>
            <w:tcW w:w="1845" w:type="dxa"/>
            <w:tcBorders>
              <w:tl2br w:val="nil"/>
              <w:tr2bl w:val="nil"/>
            </w:tcBorders>
            <w:vAlign w:val="center"/>
          </w:tcPr>
          <w:p w14:paraId="237EF9DD">
            <w:pPr>
              <w:keepNext w:val="0"/>
              <w:keepLines w:val="0"/>
              <w:pageBreakBefore w:val="0"/>
              <w:kinsoku/>
              <w:wordWrap/>
              <w:overflowPunct/>
              <w:topLinePunct w:val="0"/>
              <w:autoSpaceDE/>
              <w:autoSpaceDN/>
              <w:bidi w:val="0"/>
              <w:adjustRightInd w:val="0"/>
              <w:snapToGrid w:val="0"/>
              <w:spacing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val="zh-CN"/>
              </w:rPr>
              <w:t>主要工程项目的施工方案、方法与技术措施</w:t>
            </w:r>
          </w:p>
        </w:tc>
        <w:tc>
          <w:tcPr>
            <w:tcW w:w="855" w:type="dxa"/>
            <w:tcBorders>
              <w:tl2br w:val="nil"/>
              <w:tr2bl w:val="nil"/>
            </w:tcBorders>
            <w:vAlign w:val="center"/>
          </w:tcPr>
          <w:p w14:paraId="077AB9EB">
            <w:pPr>
              <w:keepNext w:val="0"/>
              <w:keepLines w:val="0"/>
              <w:pageBreakBefore w:val="0"/>
              <w:kinsoku/>
              <w:wordWrap/>
              <w:overflowPunct/>
              <w:topLinePunct w:val="0"/>
              <w:autoSpaceDE/>
              <w:autoSpaceDN/>
              <w:bidi w:val="0"/>
              <w:snapToGrid w:val="0"/>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15分</w:t>
            </w:r>
          </w:p>
        </w:tc>
        <w:tc>
          <w:tcPr>
            <w:tcW w:w="4303" w:type="dxa"/>
            <w:tcBorders>
              <w:tl2br w:val="nil"/>
              <w:tr2bl w:val="nil"/>
            </w:tcBorders>
            <w:vAlign w:val="center"/>
          </w:tcPr>
          <w:p w14:paraId="2589CA5A">
            <w:pPr>
              <w:keepLines w:val="0"/>
              <w:widowControl/>
              <w:kinsoku/>
              <w:wordWrap/>
              <w:overflowPunct/>
              <w:topLinePunct w:val="0"/>
              <w:bidi w:val="0"/>
              <w:spacing w:line="36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000000"/>
                <w:sz w:val="21"/>
                <w:szCs w:val="21"/>
                <w:shd w:val="clear" w:color="auto" w:fill="FFFFFF"/>
              </w:rPr>
              <w:t>按招标文件要求编制主要工程项目的施工方案、方法与技术措施</w:t>
            </w:r>
            <w:r>
              <w:rPr>
                <w:rFonts w:hint="eastAsia" w:ascii="宋体" w:hAnsi="宋体" w:eastAsia="宋体" w:cs="宋体"/>
                <w:kern w:val="0"/>
                <w:sz w:val="21"/>
                <w:szCs w:val="21"/>
              </w:rPr>
              <w:t>得9.0分，</w:t>
            </w:r>
            <w:r>
              <w:rPr>
                <w:rFonts w:hint="eastAsia" w:ascii="宋体" w:hAnsi="宋体" w:eastAsia="宋体" w:cs="宋体"/>
                <w:color w:val="000000"/>
                <w:sz w:val="21"/>
                <w:szCs w:val="21"/>
                <w:shd w:val="clear" w:color="auto" w:fill="FFFFFF"/>
              </w:rPr>
              <w:t>内容全面、科学合理、可操作性强</w:t>
            </w:r>
            <w:r>
              <w:rPr>
                <w:rFonts w:hint="eastAsia" w:ascii="宋体" w:hAnsi="宋体" w:eastAsia="宋体" w:cs="宋体"/>
                <w:sz w:val="21"/>
                <w:szCs w:val="21"/>
              </w:rPr>
              <w:t>，</w:t>
            </w:r>
            <w:r>
              <w:rPr>
                <w:rFonts w:hint="eastAsia" w:ascii="宋体" w:hAnsi="宋体" w:eastAsia="宋体" w:cs="宋体"/>
                <w:kern w:val="0"/>
                <w:sz w:val="21"/>
                <w:szCs w:val="21"/>
              </w:rPr>
              <w:t>酌情加分，最高加6.0分。</w:t>
            </w:r>
          </w:p>
        </w:tc>
      </w:tr>
      <w:tr w14:paraId="0E096E5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914" w:type="dxa"/>
            <w:vMerge w:val="continue"/>
            <w:tcBorders>
              <w:tl2br w:val="nil"/>
              <w:tr2bl w:val="nil"/>
            </w:tcBorders>
            <w:vAlign w:val="center"/>
          </w:tcPr>
          <w:p w14:paraId="3095A39B">
            <w:pPr>
              <w:keepNext w:val="0"/>
              <w:keepLines w:val="0"/>
              <w:pageBreakBefore w:val="0"/>
              <w:kinsoku/>
              <w:wordWrap/>
              <w:overflowPunct/>
              <w:topLinePunct w:val="0"/>
              <w:autoSpaceDE/>
              <w:autoSpaceDN/>
              <w:bidi w:val="0"/>
              <w:adjustRightInd w:val="0"/>
              <w:snapToGrid w:val="0"/>
              <w:spacing w:line="360" w:lineRule="exact"/>
              <w:jc w:val="right"/>
              <w:textAlignment w:val="auto"/>
              <w:rPr>
                <w:rFonts w:hint="eastAsia" w:ascii="宋体" w:hAnsi="宋体" w:eastAsia="宋体" w:cs="宋体"/>
                <w:color w:val="auto"/>
                <w:sz w:val="21"/>
                <w:szCs w:val="21"/>
                <w:highlight w:val="none"/>
              </w:rPr>
            </w:pPr>
          </w:p>
        </w:tc>
        <w:tc>
          <w:tcPr>
            <w:tcW w:w="675" w:type="dxa"/>
            <w:vMerge w:val="continue"/>
            <w:tcBorders>
              <w:tl2br w:val="nil"/>
              <w:tr2bl w:val="nil"/>
            </w:tcBorders>
            <w:vAlign w:val="center"/>
          </w:tcPr>
          <w:p w14:paraId="5AE11CE6">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color w:val="auto"/>
                <w:sz w:val="21"/>
                <w:szCs w:val="21"/>
                <w:highlight w:val="none"/>
              </w:rPr>
            </w:pPr>
          </w:p>
        </w:tc>
        <w:tc>
          <w:tcPr>
            <w:tcW w:w="945" w:type="dxa"/>
            <w:vMerge w:val="continue"/>
            <w:tcBorders>
              <w:tl2br w:val="nil"/>
              <w:tr2bl w:val="nil"/>
            </w:tcBorders>
            <w:vAlign w:val="center"/>
          </w:tcPr>
          <w:p w14:paraId="4D6E0484">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color w:val="auto"/>
                <w:sz w:val="21"/>
                <w:szCs w:val="21"/>
                <w:highlight w:val="none"/>
              </w:rPr>
            </w:pPr>
          </w:p>
        </w:tc>
        <w:tc>
          <w:tcPr>
            <w:tcW w:w="1845" w:type="dxa"/>
            <w:tcBorders>
              <w:tl2br w:val="nil"/>
              <w:tr2bl w:val="nil"/>
            </w:tcBorders>
            <w:vAlign w:val="center"/>
          </w:tcPr>
          <w:p w14:paraId="07A8BB76">
            <w:pPr>
              <w:keepNext w:val="0"/>
              <w:keepLines w:val="0"/>
              <w:pageBreakBefore w:val="0"/>
              <w:kinsoku/>
              <w:wordWrap/>
              <w:overflowPunct/>
              <w:topLinePunct w:val="0"/>
              <w:autoSpaceDE/>
              <w:autoSpaceDN/>
              <w:bidi w:val="0"/>
              <w:adjustRightInd w:val="0"/>
              <w:snapToGrid w:val="0"/>
              <w:spacing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各类</w:t>
            </w:r>
            <w:r>
              <w:rPr>
                <w:rFonts w:hint="eastAsia" w:ascii="宋体" w:hAnsi="宋体" w:eastAsia="宋体" w:cs="宋体"/>
                <w:bCs/>
                <w:color w:val="auto"/>
                <w:sz w:val="21"/>
                <w:szCs w:val="21"/>
                <w:highlight w:val="none"/>
                <w:lang w:val="zh-CN"/>
              </w:rPr>
              <w:t>保证体系及保证措施</w:t>
            </w:r>
          </w:p>
        </w:tc>
        <w:tc>
          <w:tcPr>
            <w:tcW w:w="855" w:type="dxa"/>
            <w:tcBorders>
              <w:tl2br w:val="nil"/>
              <w:tr2bl w:val="nil"/>
            </w:tcBorders>
            <w:vAlign w:val="center"/>
          </w:tcPr>
          <w:p w14:paraId="3027C325">
            <w:pPr>
              <w:keepNext w:val="0"/>
              <w:keepLines w:val="0"/>
              <w:pageBreakBefore w:val="0"/>
              <w:kinsoku/>
              <w:wordWrap/>
              <w:overflowPunct/>
              <w:topLinePunct w:val="0"/>
              <w:autoSpaceDE/>
              <w:autoSpaceDN/>
              <w:bidi w:val="0"/>
              <w:snapToGrid w:val="0"/>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10分</w:t>
            </w:r>
          </w:p>
        </w:tc>
        <w:tc>
          <w:tcPr>
            <w:tcW w:w="4303" w:type="dxa"/>
            <w:tcBorders>
              <w:tl2br w:val="nil"/>
              <w:tr2bl w:val="nil"/>
            </w:tcBorders>
            <w:vAlign w:val="center"/>
          </w:tcPr>
          <w:p w14:paraId="2F983EFA">
            <w:pPr>
              <w:keepLines w:val="0"/>
              <w:widowControl/>
              <w:kinsoku/>
              <w:wordWrap/>
              <w:overflowPunct/>
              <w:topLinePunct w:val="0"/>
              <w:bidi w:val="0"/>
              <w:spacing w:line="36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000000"/>
                <w:sz w:val="21"/>
                <w:szCs w:val="21"/>
                <w:shd w:val="clear" w:color="auto" w:fill="FFFFFF"/>
              </w:rPr>
              <w:t>按招标文件要求编制工期、质量、安全生产、文明施工等保证体系及措施</w:t>
            </w:r>
            <w:r>
              <w:rPr>
                <w:rFonts w:hint="eastAsia" w:ascii="宋体" w:hAnsi="宋体" w:eastAsia="宋体" w:cs="宋体"/>
                <w:kern w:val="0"/>
                <w:sz w:val="21"/>
                <w:szCs w:val="21"/>
              </w:rPr>
              <w:t>得6.0分，</w:t>
            </w:r>
            <w:r>
              <w:rPr>
                <w:rFonts w:hint="eastAsia" w:ascii="宋体" w:hAnsi="宋体" w:eastAsia="宋体" w:cs="宋体"/>
                <w:color w:val="000000"/>
                <w:sz w:val="21"/>
                <w:szCs w:val="21"/>
                <w:shd w:val="clear" w:color="auto" w:fill="FFFFFF"/>
              </w:rPr>
              <w:t>内容全面、科学合理、可操作性强</w:t>
            </w:r>
            <w:r>
              <w:rPr>
                <w:rFonts w:hint="eastAsia" w:ascii="宋体" w:hAnsi="宋体" w:eastAsia="宋体" w:cs="宋体"/>
                <w:sz w:val="21"/>
                <w:szCs w:val="21"/>
              </w:rPr>
              <w:t>，</w:t>
            </w:r>
            <w:r>
              <w:rPr>
                <w:rFonts w:hint="eastAsia" w:ascii="宋体" w:hAnsi="宋体" w:eastAsia="宋体" w:cs="宋体"/>
                <w:kern w:val="0"/>
                <w:sz w:val="21"/>
                <w:szCs w:val="21"/>
              </w:rPr>
              <w:t>酌情加分，最高加4.0分。</w:t>
            </w:r>
          </w:p>
        </w:tc>
      </w:tr>
      <w:tr w14:paraId="135FF2A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914" w:type="dxa"/>
            <w:vMerge w:val="continue"/>
            <w:tcBorders>
              <w:tl2br w:val="nil"/>
              <w:tr2bl w:val="nil"/>
            </w:tcBorders>
            <w:vAlign w:val="center"/>
          </w:tcPr>
          <w:p w14:paraId="514C2563">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color w:val="auto"/>
                <w:sz w:val="21"/>
                <w:szCs w:val="21"/>
                <w:highlight w:val="none"/>
              </w:rPr>
            </w:pPr>
          </w:p>
        </w:tc>
        <w:tc>
          <w:tcPr>
            <w:tcW w:w="675" w:type="dxa"/>
            <w:vMerge w:val="continue"/>
            <w:tcBorders>
              <w:tl2br w:val="nil"/>
              <w:tr2bl w:val="nil"/>
            </w:tcBorders>
            <w:vAlign w:val="center"/>
          </w:tcPr>
          <w:p w14:paraId="20345A00">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color w:val="auto"/>
                <w:sz w:val="21"/>
                <w:szCs w:val="21"/>
                <w:highlight w:val="none"/>
              </w:rPr>
            </w:pPr>
          </w:p>
        </w:tc>
        <w:tc>
          <w:tcPr>
            <w:tcW w:w="945" w:type="dxa"/>
            <w:vMerge w:val="continue"/>
            <w:tcBorders>
              <w:tl2br w:val="nil"/>
              <w:tr2bl w:val="nil"/>
            </w:tcBorders>
            <w:vAlign w:val="center"/>
          </w:tcPr>
          <w:p w14:paraId="3C4122E5">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color w:val="auto"/>
                <w:sz w:val="21"/>
                <w:szCs w:val="21"/>
                <w:highlight w:val="none"/>
              </w:rPr>
            </w:pPr>
          </w:p>
        </w:tc>
        <w:tc>
          <w:tcPr>
            <w:tcW w:w="1845" w:type="dxa"/>
            <w:tcBorders>
              <w:tl2br w:val="nil"/>
              <w:tr2bl w:val="nil"/>
            </w:tcBorders>
            <w:vAlign w:val="center"/>
          </w:tcPr>
          <w:p w14:paraId="4D4FFEF6">
            <w:pPr>
              <w:keepNext w:val="0"/>
              <w:keepLines w:val="0"/>
              <w:pageBreakBefore w:val="0"/>
              <w:kinsoku/>
              <w:wordWrap/>
              <w:overflowPunct/>
              <w:topLinePunct w:val="0"/>
              <w:autoSpaceDE/>
              <w:autoSpaceDN/>
              <w:bidi w:val="0"/>
              <w:adjustRightInd w:val="0"/>
              <w:snapToGrid w:val="0"/>
              <w:spacing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val="zh-CN"/>
              </w:rPr>
              <w:t>项目风险预测与防范，事故应急预案</w:t>
            </w:r>
          </w:p>
        </w:tc>
        <w:tc>
          <w:tcPr>
            <w:tcW w:w="855" w:type="dxa"/>
            <w:tcBorders>
              <w:tl2br w:val="nil"/>
              <w:tr2bl w:val="nil"/>
            </w:tcBorders>
            <w:vAlign w:val="center"/>
          </w:tcPr>
          <w:p w14:paraId="30022112">
            <w:pPr>
              <w:keepNext w:val="0"/>
              <w:keepLines w:val="0"/>
              <w:pageBreakBefore w:val="0"/>
              <w:kinsoku/>
              <w:wordWrap/>
              <w:overflowPunct/>
              <w:topLinePunct w:val="0"/>
              <w:autoSpaceDE/>
              <w:autoSpaceDN/>
              <w:bidi w:val="0"/>
              <w:snapToGrid w:val="0"/>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5分</w:t>
            </w:r>
          </w:p>
        </w:tc>
        <w:tc>
          <w:tcPr>
            <w:tcW w:w="4303" w:type="dxa"/>
            <w:tcBorders>
              <w:tl2br w:val="nil"/>
              <w:tr2bl w:val="nil"/>
            </w:tcBorders>
            <w:vAlign w:val="top"/>
          </w:tcPr>
          <w:p w14:paraId="2E3BBE8A">
            <w:pPr>
              <w:keepLines w:val="0"/>
              <w:kinsoku/>
              <w:wordWrap/>
              <w:overflowPunct/>
              <w:topLinePunct w:val="0"/>
              <w:bidi w:val="0"/>
              <w:spacing w:line="3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000000"/>
                <w:sz w:val="21"/>
                <w:szCs w:val="21"/>
                <w:shd w:val="clear" w:color="auto" w:fill="FFFFFF"/>
              </w:rPr>
              <w:t>按招标文件要求编制事故应急预案</w:t>
            </w:r>
            <w:r>
              <w:rPr>
                <w:rFonts w:hint="eastAsia" w:ascii="宋体" w:hAnsi="宋体" w:eastAsia="宋体" w:cs="宋体"/>
                <w:kern w:val="0"/>
                <w:sz w:val="21"/>
                <w:szCs w:val="21"/>
              </w:rPr>
              <w:t>得3.0分，</w:t>
            </w:r>
            <w:r>
              <w:rPr>
                <w:rFonts w:hint="eastAsia" w:ascii="宋体" w:hAnsi="宋体" w:eastAsia="宋体" w:cs="宋体"/>
                <w:color w:val="000000"/>
                <w:sz w:val="21"/>
                <w:szCs w:val="21"/>
                <w:shd w:val="clear" w:color="auto" w:fill="FFFFFF"/>
              </w:rPr>
              <w:t>内容全面、科学合理、可操作性强</w:t>
            </w:r>
            <w:r>
              <w:rPr>
                <w:rFonts w:hint="eastAsia" w:ascii="宋体" w:hAnsi="宋体" w:eastAsia="宋体" w:cs="宋体"/>
                <w:sz w:val="21"/>
                <w:szCs w:val="21"/>
              </w:rPr>
              <w:t>，</w:t>
            </w:r>
            <w:r>
              <w:rPr>
                <w:rFonts w:hint="eastAsia" w:ascii="宋体" w:hAnsi="宋体" w:eastAsia="宋体" w:cs="宋体"/>
                <w:kern w:val="0"/>
                <w:sz w:val="21"/>
                <w:szCs w:val="21"/>
              </w:rPr>
              <w:t>酌情加分，最高加2.0分。</w:t>
            </w:r>
          </w:p>
        </w:tc>
      </w:tr>
      <w:tr w14:paraId="1019236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914" w:type="dxa"/>
            <w:vMerge w:val="restart"/>
            <w:tcBorders>
              <w:tl2br w:val="nil"/>
              <w:tr2bl w:val="nil"/>
            </w:tcBorders>
            <w:vAlign w:val="center"/>
          </w:tcPr>
          <w:p w14:paraId="567B9C28">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2.2.2（2）</w:t>
            </w:r>
          </w:p>
        </w:tc>
        <w:tc>
          <w:tcPr>
            <w:tcW w:w="675" w:type="dxa"/>
            <w:vMerge w:val="restart"/>
            <w:tcBorders>
              <w:tl2br w:val="nil"/>
              <w:tr2bl w:val="nil"/>
            </w:tcBorders>
            <w:vAlign w:val="center"/>
          </w:tcPr>
          <w:p w14:paraId="6CAC6501">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主要</w:t>
            </w:r>
          </w:p>
          <w:p w14:paraId="5461015D">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人员</w:t>
            </w:r>
          </w:p>
        </w:tc>
        <w:tc>
          <w:tcPr>
            <w:tcW w:w="945" w:type="dxa"/>
            <w:vMerge w:val="restart"/>
            <w:tcBorders>
              <w:tl2br w:val="nil"/>
              <w:tr2bl w:val="nil"/>
            </w:tcBorders>
            <w:vAlign w:val="center"/>
          </w:tcPr>
          <w:p w14:paraId="01AA12C7">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25分</w:t>
            </w:r>
          </w:p>
        </w:tc>
        <w:tc>
          <w:tcPr>
            <w:tcW w:w="1845" w:type="dxa"/>
            <w:tcBorders>
              <w:tl2br w:val="nil"/>
              <w:tr2bl w:val="nil"/>
            </w:tcBorders>
            <w:vAlign w:val="center"/>
          </w:tcPr>
          <w:p w14:paraId="77A2A970">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项目经理</w:t>
            </w:r>
          </w:p>
          <w:p w14:paraId="36999CD4">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任职资格与业绩</w:t>
            </w:r>
          </w:p>
        </w:tc>
        <w:tc>
          <w:tcPr>
            <w:tcW w:w="855" w:type="dxa"/>
            <w:tcBorders>
              <w:tl2br w:val="nil"/>
              <w:tr2bl w:val="nil"/>
            </w:tcBorders>
            <w:vAlign w:val="center"/>
          </w:tcPr>
          <w:p w14:paraId="2F63ADFC">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15分</w:t>
            </w:r>
          </w:p>
        </w:tc>
        <w:tc>
          <w:tcPr>
            <w:tcW w:w="4303" w:type="dxa"/>
            <w:tcBorders>
              <w:tl2br w:val="nil"/>
              <w:tr2bl w:val="nil"/>
            </w:tcBorders>
            <w:vAlign w:val="center"/>
          </w:tcPr>
          <w:p w14:paraId="279415CF">
            <w:pPr>
              <w:keepNext w:val="0"/>
              <w:keepLines w:val="0"/>
              <w:pageBreakBefore w:val="0"/>
              <w:kinsoku/>
              <w:wordWrap/>
              <w:overflowPunct/>
              <w:topLinePunct w:val="0"/>
              <w:autoSpaceDE/>
              <w:autoSpaceDN/>
              <w:bidi w:val="0"/>
              <w:adjustRightInd w:val="0"/>
              <w:snapToGrid w:val="0"/>
              <w:spacing w:line="360" w:lineRule="exact"/>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满足最低资格审查条件要求，得9分。</w:t>
            </w:r>
          </w:p>
          <w:p w14:paraId="3D14AD7C">
            <w:pPr>
              <w:keepNext w:val="0"/>
              <w:keepLines w:val="0"/>
              <w:pageBreakBefore w:val="0"/>
              <w:kinsoku/>
              <w:wordWrap/>
              <w:overflowPunct/>
              <w:topLinePunct w:val="0"/>
              <w:autoSpaceDE/>
              <w:autoSpaceDN/>
              <w:bidi w:val="0"/>
              <w:adjustRightInd w:val="0"/>
              <w:snapToGrid w:val="0"/>
              <w:spacing w:line="360" w:lineRule="exact"/>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rPr>
              <w:t>在满足最低要求的基础上，每提供</w:t>
            </w:r>
            <w:r>
              <w:rPr>
                <w:rFonts w:hint="eastAsia" w:ascii="宋体" w:hAnsi="宋体" w:eastAsia="宋体" w:cs="宋体"/>
                <w:kern w:val="0"/>
                <w:sz w:val="21"/>
                <w:szCs w:val="21"/>
                <w:highlight w:val="none"/>
              </w:rPr>
              <w:t>1</w:t>
            </w:r>
            <w:r>
              <w:rPr>
                <w:rFonts w:hint="eastAsia" w:ascii="宋体" w:hAnsi="宋体" w:eastAsia="宋体" w:cs="宋体"/>
                <w:sz w:val="21"/>
                <w:szCs w:val="21"/>
                <w:highlight w:val="none"/>
              </w:rPr>
              <w:t>项二级（含）以上公路沥青混凝土路面</w:t>
            </w:r>
            <w:r>
              <w:rPr>
                <w:rFonts w:hint="eastAsia" w:ascii="宋体" w:hAnsi="宋体" w:eastAsia="宋体" w:cs="宋体"/>
                <w:color w:val="auto"/>
                <w:sz w:val="21"/>
                <w:szCs w:val="21"/>
                <w:highlight w:val="none"/>
                <w:shd w:val="clear" w:color="auto" w:fill="FFFFFF"/>
                <w:lang w:val="en-US" w:eastAsia="zh-CN"/>
              </w:rPr>
              <w:t>修复</w:t>
            </w:r>
            <w:r>
              <w:rPr>
                <w:rFonts w:hint="eastAsia" w:ascii="宋体" w:hAnsi="宋体" w:eastAsia="宋体" w:cs="宋体"/>
                <w:color w:val="auto"/>
                <w:sz w:val="21"/>
                <w:szCs w:val="21"/>
                <w:highlight w:val="none"/>
              </w:rPr>
              <w:t>养护工程</w:t>
            </w:r>
            <w:r>
              <w:rPr>
                <w:rFonts w:hint="eastAsia" w:ascii="宋体" w:hAnsi="宋体" w:eastAsia="宋体" w:cs="宋体"/>
                <w:color w:val="auto"/>
                <w:sz w:val="21"/>
                <w:szCs w:val="21"/>
                <w:highlight w:val="none"/>
                <w:shd w:val="clear" w:color="auto" w:fill="FFFFFF"/>
              </w:rPr>
              <w:t>（</w:t>
            </w:r>
            <w:r>
              <w:rPr>
                <w:rFonts w:hint="eastAsia" w:ascii="宋体" w:hAnsi="宋体" w:eastAsia="宋体" w:cs="宋体"/>
                <w:color w:val="auto"/>
                <w:sz w:val="21"/>
                <w:szCs w:val="21"/>
                <w:highlight w:val="none"/>
              </w:rPr>
              <w:t>指</w:t>
            </w:r>
            <w:r>
              <w:rPr>
                <w:rFonts w:hint="eastAsia" w:ascii="宋体" w:hAnsi="宋体" w:eastAsia="宋体" w:cs="宋体"/>
                <w:color w:val="auto"/>
                <w:sz w:val="21"/>
                <w:szCs w:val="21"/>
                <w:highlight w:val="none"/>
                <w:lang w:val="en-US" w:eastAsia="zh-CN"/>
              </w:rPr>
              <w:t>原大中修工程、路面改造</w:t>
            </w:r>
            <w:r>
              <w:rPr>
                <w:rFonts w:hint="eastAsia" w:ascii="宋体" w:hAnsi="宋体" w:eastAsia="宋体" w:cs="宋体"/>
                <w:color w:val="auto"/>
                <w:sz w:val="21"/>
                <w:szCs w:val="21"/>
                <w:highlight w:val="none"/>
              </w:rPr>
              <w:t>工程或路面提质工程</w:t>
            </w:r>
            <w:r>
              <w:rPr>
                <w:rFonts w:hint="eastAsia" w:ascii="宋体" w:hAnsi="宋体" w:eastAsia="宋体" w:cs="宋体"/>
                <w:color w:val="auto"/>
                <w:sz w:val="21"/>
                <w:szCs w:val="21"/>
                <w:highlight w:val="none"/>
                <w:shd w:val="clear" w:color="auto" w:fill="FFFFFF"/>
              </w:rPr>
              <w:t>)</w:t>
            </w:r>
            <w:r>
              <w:rPr>
                <w:rFonts w:hint="eastAsia" w:ascii="宋体" w:hAnsi="宋体" w:eastAsia="宋体" w:cs="宋体"/>
                <w:sz w:val="21"/>
                <w:szCs w:val="21"/>
                <w:highlight w:val="none"/>
              </w:rPr>
              <w:t>施工的项目经理业绩加6分，最多加6分。</w:t>
            </w:r>
          </w:p>
        </w:tc>
      </w:tr>
      <w:tr w14:paraId="6A06687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914" w:type="dxa"/>
            <w:vMerge w:val="continue"/>
            <w:tcBorders>
              <w:tl2br w:val="nil"/>
              <w:tr2bl w:val="nil"/>
            </w:tcBorders>
            <w:vAlign w:val="center"/>
          </w:tcPr>
          <w:p w14:paraId="44DE3F82">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color w:val="auto"/>
                <w:sz w:val="21"/>
                <w:szCs w:val="21"/>
                <w:highlight w:val="none"/>
              </w:rPr>
            </w:pPr>
          </w:p>
        </w:tc>
        <w:tc>
          <w:tcPr>
            <w:tcW w:w="675" w:type="dxa"/>
            <w:vMerge w:val="continue"/>
            <w:tcBorders>
              <w:tl2br w:val="nil"/>
              <w:tr2bl w:val="nil"/>
            </w:tcBorders>
            <w:vAlign w:val="center"/>
          </w:tcPr>
          <w:p w14:paraId="2A254676">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color w:val="auto"/>
                <w:sz w:val="21"/>
                <w:szCs w:val="21"/>
                <w:highlight w:val="none"/>
              </w:rPr>
            </w:pPr>
          </w:p>
        </w:tc>
        <w:tc>
          <w:tcPr>
            <w:tcW w:w="945" w:type="dxa"/>
            <w:vMerge w:val="continue"/>
            <w:tcBorders>
              <w:tl2br w:val="nil"/>
              <w:tr2bl w:val="nil"/>
            </w:tcBorders>
            <w:vAlign w:val="center"/>
          </w:tcPr>
          <w:p w14:paraId="72314444">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color w:val="auto"/>
                <w:sz w:val="21"/>
                <w:szCs w:val="21"/>
                <w:highlight w:val="none"/>
              </w:rPr>
            </w:pPr>
          </w:p>
        </w:tc>
        <w:tc>
          <w:tcPr>
            <w:tcW w:w="1845" w:type="dxa"/>
            <w:tcBorders>
              <w:tl2br w:val="nil"/>
              <w:tr2bl w:val="nil"/>
            </w:tcBorders>
            <w:vAlign w:val="center"/>
          </w:tcPr>
          <w:p w14:paraId="561B68D4">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项目总工</w:t>
            </w:r>
          </w:p>
          <w:p w14:paraId="66C4B134">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任职资格与业绩</w:t>
            </w:r>
          </w:p>
        </w:tc>
        <w:tc>
          <w:tcPr>
            <w:tcW w:w="855" w:type="dxa"/>
            <w:tcBorders>
              <w:tl2br w:val="nil"/>
              <w:tr2bl w:val="nil"/>
            </w:tcBorders>
            <w:vAlign w:val="center"/>
          </w:tcPr>
          <w:p w14:paraId="690CA093">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10分</w:t>
            </w:r>
          </w:p>
        </w:tc>
        <w:tc>
          <w:tcPr>
            <w:tcW w:w="4303" w:type="dxa"/>
            <w:tcBorders>
              <w:tl2br w:val="nil"/>
              <w:tr2bl w:val="nil"/>
            </w:tcBorders>
            <w:vAlign w:val="center"/>
          </w:tcPr>
          <w:p w14:paraId="6C85720E">
            <w:pPr>
              <w:keepNext w:val="0"/>
              <w:keepLines w:val="0"/>
              <w:pageBreakBefore w:val="0"/>
              <w:kinsoku/>
              <w:wordWrap/>
              <w:overflowPunct/>
              <w:topLinePunct w:val="0"/>
              <w:autoSpaceDE/>
              <w:autoSpaceDN/>
              <w:bidi w:val="0"/>
              <w:adjustRightInd w:val="0"/>
              <w:snapToGrid w:val="0"/>
              <w:spacing w:line="360" w:lineRule="exact"/>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满足最低资格审查条件要求，得6分。</w:t>
            </w:r>
          </w:p>
          <w:p w14:paraId="002930D4">
            <w:pPr>
              <w:keepNext w:val="0"/>
              <w:keepLines w:val="0"/>
              <w:pageBreakBefore w:val="0"/>
              <w:kinsoku/>
              <w:wordWrap/>
              <w:overflowPunct/>
              <w:topLinePunct w:val="0"/>
              <w:autoSpaceDE/>
              <w:autoSpaceDN/>
              <w:bidi w:val="0"/>
              <w:adjustRightInd w:val="0"/>
              <w:snapToGrid w:val="0"/>
              <w:spacing w:line="360" w:lineRule="exact"/>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在满足最低要求的基础上，每提供</w:t>
            </w:r>
            <w:r>
              <w:rPr>
                <w:rFonts w:hint="eastAsia" w:ascii="宋体" w:hAnsi="宋体" w:eastAsia="宋体" w:cs="宋体"/>
                <w:kern w:val="0"/>
                <w:sz w:val="21"/>
                <w:szCs w:val="21"/>
                <w:highlight w:val="none"/>
              </w:rPr>
              <w:t>1</w:t>
            </w:r>
            <w:r>
              <w:rPr>
                <w:rFonts w:hint="eastAsia" w:ascii="宋体" w:hAnsi="宋体" w:eastAsia="宋体" w:cs="宋体"/>
                <w:sz w:val="21"/>
                <w:szCs w:val="21"/>
                <w:highlight w:val="none"/>
              </w:rPr>
              <w:t>项二级（含）以上公路沥青混凝土路面</w:t>
            </w:r>
            <w:r>
              <w:rPr>
                <w:rFonts w:hint="eastAsia" w:ascii="宋体" w:hAnsi="宋体" w:eastAsia="宋体" w:cs="宋体"/>
                <w:color w:val="auto"/>
                <w:sz w:val="21"/>
                <w:szCs w:val="21"/>
                <w:highlight w:val="none"/>
                <w:shd w:val="clear" w:color="auto" w:fill="FFFFFF"/>
                <w:lang w:val="en-US" w:eastAsia="zh-CN"/>
              </w:rPr>
              <w:t>修复</w:t>
            </w:r>
            <w:r>
              <w:rPr>
                <w:rFonts w:hint="eastAsia" w:ascii="宋体" w:hAnsi="宋体" w:eastAsia="宋体" w:cs="宋体"/>
                <w:color w:val="auto"/>
                <w:sz w:val="21"/>
                <w:szCs w:val="21"/>
                <w:highlight w:val="none"/>
              </w:rPr>
              <w:t>养护工程</w:t>
            </w:r>
            <w:r>
              <w:rPr>
                <w:rFonts w:hint="eastAsia" w:ascii="宋体" w:hAnsi="宋体" w:eastAsia="宋体" w:cs="宋体"/>
                <w:color w:val="auto"/>
                <w:sz w:val="21"/>
                <w:szCs w:val="21"/>
                <w:highlight w:val="none"/>
                <w:shd w:val="clear" w:color="auto" w:fill="FFFFFF"/>
              </w:rPr>
              <w:t>（</w:t>
            </w:r>
            <w:r>
              <w:rPr>
                <w:rFonts w:hint="eastAsia" w:ascii="宋体" w:hAnsi="宋体" w:eastAsia="宋体" w:cs="宋体"/>
                <w:color w:val="auto"/>
                <w:sz w:val="21"/>
                <w:szCs w:val="21"/>
                <w:highlight w:val="none"/>
              </w:rPr>
              <w:t>指</w:t>
            </w:r>
            <w:r>
              <w:rPr>
                <w:rFonts w:hint="eastAsia" w:ascii="宋体" w:hAnsi="宋体" w:eastAsia="宋体" w:cs="宋体"/>
                <w:color w:val="auto"/>
                <w:sz w:val="21"/>
                <w:szCs w:val="21"/>
                <w:highlight w:val="none"/>
                <w:lang w:val="en-US" w:eastAsia="zh-CN"/>
              </w:rPr>
              <w:t>原大中修工程、路面改造</w:t>
            </w:r>
            <w:r>
              <w:rPr>
                <w:rFonts w:hint="eastAsia" w:ascii="宋体" w:hAnsi="宋体" w:eastAsia="宋体" w:cs="宋体"/>
                <w:color w:val="auto"/>
                <w:sz w:val="21"/>
                <w:szCs w:val="21"/>
                <w:highlight w:val="none"/>
              </w:rPr>
              <w:t>工程或路面提质工程</w:t>
            </w:r>
            <w:r>
              <w:rPr>
                <w:rFonts w:hint="eastAsia" w:ascii="宋体" w:hAnsi="宋体" w:eastAsia="宋体" w:cs="宋体"/>
                <w:color w:val="auto"/>
                <w:sz w:val="21"/>
                <w:szCs w:val="21"/>
                <w:highlight w:val="none"/>
                <w:shd w:val="clear" w:color="auto" w:fill="FFFFFF"/>
              </w:rPr>
              <w:t>)</w:t>
            </w:r>
            <w:r>
              <w:rPr>
                <w:rFonts w:hint="eastAsia" w:ascii="宋体" w:hAnsi="宋体" w:eastAsia="宋体" w:cs="宋体"/>
                <w:sz w:val="21"/>
                <w:szCs w:val="21"/>
                <w:highlight w:val="none"/>
              </w:rPr>
              <w:t>施工的项目总工业绩加4分，最多加4分。</w:t>
            </w:r>
          </w:p>
        </w:tc>
      </w:tr>
      <w:tr w14:paraId="51EDD18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914" w:type="dxa"/>
            <w:vMerge w:val="restart"/>
            <w:tcBorders>
              <w:tl2br w:val="nil"/>
              <w:tr2bl w:val="nil"/>
            </w:tcBorders>
            <w:vAlign w:val="center"/>
          </w:tcPr>
          <w:p w14:paraId="00861871">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2.2.2(3)</w:t>
            </w:r>
          </w:p>
        </w:tc>
        <w:tc>
          <w:tcPr>
            <w:tcW w:w="675" w:type="dxa"/>
            <w:vMerge w:val="restart"/>
            <w:tcBorders>
              <w:tl2br w:val="nil"/>
              <w:tr2bl w:val="nil"/>
            </w:tcBorders>
            <w:vAlign w:val="center"/>
          </w:tcPr>
          <w:p w14:paraId="0E8146CA">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其他因素</w:t>
            </w:r>
          </w:p>
        </w:tc>
        <w:tc>
          <w:tcPr>
            <w:tcW w:w="945" w:type="dxa"/>
            <w:vMerge w:val="restart"/>
            <w:tcBorders>
              <w:tl2br w:val="nil"/>
              <w:tr2bl w:val="nil"/>
            </w:tcBorders>
            <w:vAlign w:val="center"/>
          </w:tcPr>
          <w:p w14:paraId="4A726950">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35分</w:t>
            </w:r>
          </w:p>
        </w:tc>
        <w:tc>
          <w:tcPr>
            <w:tcW w:w="1845" w:type="dxa"/>
            <w:vMerge w:val="restart"/>
            <w:tcBorders>
              <w:tl2br w:val="nil"/>
              <w:tr2bl w:val="nil"/>
            </w:tcBorders>
            <w:vAlign w:val="center"/>
          </w:tcPr>
          <w:p w14:paraId="2C8A5CC0">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企业业绩</w:t>
            </w:r>
          </w:p>
        </w:tc>
        <w:tc>
          <w:tcPr>
            <w:tcW w:w="855" w:type="dxa"/>
            <w:vMerge w:val="restart"/>
            <w:tcBorders>
              <w:tl2br w:val="nil"/>
              <w:tr2bl w:val="nil"/>
            </w:tcBorders>
            <w:vAlign w:val="center"/>
          </w:tcPr>
          <w:p w14:paraId="2DD72F7A">
            <w:pPr>
              <w:keepNext w:val="0"/>
              <w:keepLines w:val="0"/>
              <w:pageBreakBefore w:val="0"/>
              <w:kinsoku/>
              <w:wordWrap/>
              <w:overflowPunct/>
              <w:topLinePunct w:val="0"/>
              <w:autoSpaceDE/>
              <w:autoSpaceDN/>
              <w:bidi w:val="0"/>
              <w:snapToGrid w:val="0"/>
              <w:spacing w:line="360" w:lineRule="exact"/>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20分</w:t>
            </w:r>
          </w:p>
        </w:tc>
        <w:tc>
          <w:tcPr>
            <w:tcW w:w="4303" w:type="dxa"/>
            <w:tcBorders>
              <w:tl2br w:val="nil"/>
              <w:tr2bl w:val="nil"/>
            </w:tcBorders>
            <w:vAlign w:val="center"/>
          </w:tcPr>
          <w:p w14:paraId="02AB6B14">
            <w:pPr>
              <w:keepNext w:val="0"/>
              <w:keepLines w:val="0"/>
              <w:pageBreakBefore w:val="0"/>
              <w:widowControl/>
              <w:kinsoku/>
              <w:wordWrap/>
              <w:overflowPunct/>
              <w:topLinePunct w:val="0"/>
              <w:autoSpaceDE/>
              <w:autoSpaceDN/>
              <w:bidi w:val="0"/>
              <w:spacing w:line="3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投标人通过初步评审得12分。</w:t>
            </w:r>
          </w:p>
        </w:tc>
      </w:tr>
      <w:tr w14:paraId="07BAF82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94" w:hRule="atLeast"/>
          <w:jc w:val="center"/>
        </w:trPr>
        <w:tc>
          <w:tcPr>
            <w:tcW w:w="914" w:type="dxa"/>
            <w:vMerge w:val="continue"/>
            <w:tcBorders>
              <w:tl2br w:val="nil"/>
              <w:tr2bl w:val="nil"/>
            </w:tcBorders>
            <w:vAlign w:val="center"/>
          </w:tcPr>
          <w:p w14:paraId="6769C719">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color w:val="auto"/>
                <w:sz w:val="21"/>
                <w:szCs w:val="21"/>
                <w:highlight w:val="none"/>
              </w:rPr>
            </w:pPr>
          </w:p>
        </w:tc>
        <w:tc>
          <w:tcPr>
            <w:tcW w:w="675" w:type="dxa"/>
            <w:vMerge w:val="continue"/>
            <w:tcBorders>
              <w:tl2br w:val="nil"/>
              <w:tr2bl w:val="nil"/>
            </w:tcBorders>
            <w:vAlign w:val="center"/>
          </w:tcPr>
          <w:p w14:paraId="7EA678A1">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color w:val="auto"/>
                <w:sz w:val="21"/>
                <w:szCs w:val="21"/>
                <w:highlight w:val="none"/>
              </w:rPr>
            </w:pPr>
          </w:p>
        </w:tc>
        <w:tc>
          <w:tcPr>
            <w:tcW w:w="945" w:type="dxa"/>
            <w:vMerge w:val="continue"/>
            <w:tcBorders>
              <w:tl2br w:val="nil"/>
              <w:tr2bl w:val="nil"/>
            </w:tcBorders>
            <w:vAlign w:val="center"/>
          </w:tcPr>
          <w:p w14:paraId="3F3D0F29">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color w:val="auto"/>
                <w:sz w:val="21"/>
                <w:szCs w:val="21"/>
                <w:highlight w:val="none"/>
              </w:rPr>
            </w:pPr>
          </w:p>
        </w:tc>
        <w:tc>
          <w:tcPr>
            <w:tcW w:w="1845" w:type="dxa"/>
            <w:vMerge w:val="continue"/>
            <w:tcBorders>
              <w:tl2br w:val="nil"/>
              <w:tr2bl w:val="nil"/>
            </w:tcBorders>
            <w:shd w:val="clear" w:color="auto" w:fill="auto"/>
            <w:vAlign w:val="center"/>
          </w:tcPr>
          <w:p w14:paraId="73284F73">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color w:val="auto"/>
                <w:kern w:val="2"/>
                <w:sz w:val="21"/>
                <w:szCs w:val="21"/>
                <w:highlight w:val="none"/>
                <w:lang w:val="en-US" w:eastAsia="zh-CN" w:bidi="ar-SA"/>
              </w:rPr>
            </w:pPr>
          </w:p>
        </w:tc>
        <w:tc>
          <w:tcPr>
            <w:tcW w:w="855" w:type="dxa"/>
            <w:vMerge w:val="continue"/>
            <w:tcBorders>
              <w:tl2br w:val="nil"/>
              <w:tr2bl w:val="nil"/>
            </w:tcBorders>
            <w:shd w:val="clear" w:color="auto" w:fill="auto"/>
            <w:vAlign w:val="center"/>
          </w:tcPr>
          <w:p w14:paraId="3A4DD939">
            <w:pPr>
              <w:keepNext w:val="0"/>
              <w:keepLines w:val="0"/>
              <w:pageBreakBefore w:val="0"/>
              <w:kinsoku/>
              <w:wordWrap/>
              <w:overflowPunct/>
              <w:topLinePunct w:val="0"/>
              <w:autoSpaceDE/>
              <w:autoSpaceDN/>
              <w:bidi w:val="0"/>
              <w:snapToGrid w:val="0"/>
              <w:spacing w:line="360" w:lineRule="exact"/>
              <w:jc w:val="center"/>
              <w:textAlignment w:val="auto"/>
              <w:rPr>
                <w:rFonts w:hint="eastAsia" w:ascii="宋体" w:hAnsi="宋体" w:eastAsia="宋体" w:cs="宋体"/>
                <w:color w:val="auto"/>
                <w:kern w:val="2"/>
                <w:sz w:val="21"/>
                <w:szCs w:val="21"/>
                <w:highlight w:val="none"/>
                <w:lang w:val="en-US" w:eastAsia="zh-CN" w:bidi="ar-SA"/>
              </w:rPr>
            </w:pPr>
          </w:p>
        </w:tc>
        <w:tc>
          <w:tcPr>
            <w:tcW w:w="4303" w:type="dxa"/>
            <w:tcBorders>
              <w:tl2br w:val="nil"/>
              <w:tr2bl w:val="nil"/>
            </w:tcBorders>
            <w:shd w:val="clear" w:color="auto" w:fill="auto"/>
            <w:vAlign w:val="center"/>
          </w:tcPr>
          <w:p w14:paraId="75C070C7">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近五年内（指202</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年1月1日至投标截止时间，两阶段验收工程以交工时间为准，一阶段验收工程以竣工时间为准</w:t>
            </w:r>
            <w:r>
              <w:rPr>
                <w:rFonts w:hint="eastAsia" w:ascii="宋体" w:hAnsi="宋体" w:eastAsia="宋体" w:cs="宋体"/>
                <w:color w:val="auto"/>
                <w:kern w:val="0"/>
                <w:sz w:val="21"/>
                <w:szCs w:val="21"/>
                <w:highlight w:val="none"/>
              </w:rPr>
              <w:t>）</w:t>
            </w:r>
            <w:r>
              <w:rPr>
                <w:rFonts w:hint="eastAsia" w:ascii="宋体" w:hAnsi="宋体" w:eastAsia="宋体" w:cs="宋体"/>
                <w:color w:val="auto"/>
                <w:sz w:val="21"/>
                <w:szCs w:val="21"/>
                <w:highlight w:val="none"/>
              </w:rPr>
              <w:t>累计</w:t>
            </w:r>
            <w:r>
              <w:rPr>
                <w:rFonts w:hint="eastAsia" w:ascii="宋体" w:hAnsi="宋体" w:eastAsia="宋体" w:cs="宋体"/>
                <w:color w:val="auto"/>
                <w:sz w:val="21"/>
                <w:szCs w:val="21"/>
                <w:highlight w:val="none"/>
                <w:shd w:val="clear" w:color="auto" w:fill="FFFFFF"/>
              </w:rPr>
              <w:t>完成过</w:t>
            </w:r>
            <w:r>
              <w:rPr>
                <w:rFonts w:hint="eastAsia" w:ascii="宋体" w:hAnsi="宋体" w:eastAsia="宋体" w:cs="宋体"/>
                <w:color w:val="auto"/>
                <w:sz w:val="21"/>
                <w:szCs w:val="21"/>
                <w:highlight w:val="none"/>
                <w:shd w:val="clear" w:color="auto" w:fill="FFFFFF"/>
                <w:lang w:val="en-US" w:eastAsia="zh-CN"/>
              </w:rPr>
              <w:t>15</w:t>
            </w:r>
            <w:r>
              <w:rPr>
                <w:rFonts w:hint="eastAsia" w:ascii="宋体" w:hAnsi="宋体" w:eastAsia="宋体" w:cs="宋体"/>
                <w:color w:val="auto"/>
                <w:sz w:val="21"/>
                <w:szCs w:val="21"/>
                <w:highlight w:val="none"/>
                <w:shd w:val="clear" w:color="auto" w:fill="FFFFFF"/>
              </w:rPr>
              <w:t>公里</w:t>
            </w:r>
            <w:r>
              <w:rPr>
                <w:rFonts w:hint="eastAsia" w:ascii="宋体" w:hAnsi="宋体" w:eastAsia="宋体" w:cs="宋体"/>
                <w:color w:val="auto"/>
                <w:sz w:val="21"/>
                <w:szCs w:val="21"/>
                <w:highlight w:val="none"/>
              </w:rPr>
              <w:t>二级（含）以上</w:t>
            </w:r>
            <w:r>
              <w:rPr>
                <w:rFonts w:hint="eastAsia" w:ascii="宋体" w:hAnsi="宋体" w:eastAsia="宋体" w:cs="宋体"/>
                <w:color w:val="auto"/>
                <w:sz w:val="21"/>
                <w:szCs w:val="21"/>
                <w:highlight w:val="none"/>
                <w:shd w:val="clear" w:color="auto" w:fill="FFFFFF"/>
              </w:rPr>
              <w:t>公路沥青混凝土路面</w:t>
            </w:r>
            <w:r>
              <w:rPr>
                <w:rFonts w:hint="eastAsia" w:ascii="宋体" w:hAnsi="宋体" w:eastAsia="宋体" w:cs="宋体"/>
                <w:color w:val="auto"/>
                <w:sz w:val="21"/>
                <w:szCs w:val="21"/>
                <w:highlight w:val="none"/>
                <w:shd w:val="clear" w:color="auto" w:fill="FFFFFF"/>
                <w:lang w:val="en-US" w:eastAsia="zh-CN"/>
              </w:rPr>
              <w:t>修复</w:t>
            </w:r>
            <w:r>
              <w:rPr>
                <w:rFonts w:hint="eastAsia" w:ascii="宋体" w:hAnsi="宋体" w:eastAsia="宋体" w:cs="宋体"/>
                <w:color w:val="auto"/>
                <w:sz w:val="21"/>
                <w:szCs w:val="21"/>
                <w:highlight w:val="none"/>
              </w:rPr>
              <w:t>养护工程</w:t>
            </w:r>
            <w:r>
              <w:rPr>
                <w:rFonts w:hint="eastAsia" w:ascii="宋体" w:hAnsi="宋体" w:eastAsia="宋体" w:cs="宋体"/>
                <w:color w:val="auto"/>
                <w:sz w:val="21"/>
                <w:szCs w:val="21"/>
                <w:highlight w:val="none"/>
                <w:shd w:val="clear" w:color="auto" w:fill="FFFFFF"/>
              </w:rPr>
              <w:t>（</w:t>
            </w:r>
            <w:r>
              <w:rPr>
                <w:rFonts w:hint="eastAsia" w:ascii="宋体" w:hAnsi="宋体" w:eastAsia="宋体" w:cs="宋体"/>
                <w:color w:val="auto"/>
                <w:sz w:val="21"/>
                <w:szCs w:val="21"/>
                <w:highlight w:val="none"/>
              </w:rPr>
              <w:t>指</w:t>
            </w:r>
            <w:r>
              <w:rPr>
                <w:rFonts w:hint="eastAsia" w:ascii="宋体" w:hAnsi="宋体" w:eastAsia="宋体" w:cs="宋体"/>
                <w:color w:val="auto"/>
                <w:sz w:val="21"/>
                <w:szCs w:val="21"/>
                <w:highlight w:val="none"/>
                <w:lang w:val="en-US" w:eastAsia="zh-CN"/>
              </w:rPr>
              <w:t>原大中修工程、路面改造</w:t>
            </w:r>
            <w:r>
              <w:rPr>
                <w:rFonts w:hint="eastAsia" w:ascii="宋体" w:hAnsi="宋体" w:eastAsia="宋体" w:cs="宋体"/>
                <w:color w:val="auto"/>
                <w:sz w:val="21"/>
                <w:szCs w:val="21"/>
                <w:highlight w:val="none"/>
              </w:rPr>
              <w:t>工程或路面提质工程</w:t>
            </w:r>
            <w:r>
              <w:rPr>
                <w:rFonts w:hint="eastAsia" w:ascii="宋体" w:hAnsi="宋体" w:eastAsia="宋体" w:cs="宋体"/>
                <w:color w:val="auto"/>
                <w:sz w:val="21"/>
                <w:szCs w:val="21"/>
                <w:highlight w:val="none"/>
                <w:shd w:val="clear" w:color="auto" w:fill="FFFFFF"/>
              </w:rPr>
              <w:t>)的施工业绩（高速公路、一级公路全幅按2倍长度计算，半幅按1倍长度计算）</w:t>
            </w:r>
            <w:r>
              <w:rPr>
                <w:rFonts w:hint="eastAsia" w:ascii="宋体" w:hAnsi="宋体" w:eastAsia="宋体" w:cs="宋体"/>
                <w:color w:val="auto"/>
                <w:sz w:val="21"/>
                <w:szCs w:val="21"/>
                <w:highlight w:val="none"/>
                <w:shd w:val="clear" w:color="auto" w:fill="FFFFFF"/>
                <w:lang w:val="en-US" w:eastAsia="zh-CN"/>
              </w:rPr>
              <w:t>加8</w:t>
            </w:r>
            <w:r>
              <w:rPr>
                <w:rFonts w:hint="eastAsia" w:ascii="宋体" w:hAnsi="宋体" w:eastAsia="宋体" w:cs="宋体"/>
                <w:color w:val="auto"/>
                <w:sz w:val="21"/>
                <w:szCs w:val="21"/>
                <w:highlight w:val="none"/>
              </w:rPr>
              <w:t>分，</w:t>
            </w:r>
            <w:r>
              <w:rPr>
                <w:rFonts w:hint="eastAsia" w:ascii="宋体" w:hAnsi="宋体" w:eastAsia="宋体" w:cs="宋体"/>
                <w:color w:val="auto"/>
                <w:sz w:val="21"/>
                <w:szCs w:val="21"/>
                <w:highlight w:val="none"/>
                <w:lang w:val="en-US" w:eastAsia="zh-CN"/>
              </w:rPr>
              <w:t>0</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15公里得分按照0</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8分之间</w:t>
            </w:r>
            <w:r>
              <w:rPr>
                <w:rFonts w:hint="eastAsia" w:ascii="宋体" w:hAnsi="宋体" w:eastAsia="宋体" w:cs="宋体"/>
                <w:color w:val="auto"/>
                <w:sz w:val="21"/>
                <w:szCs w:val="21"/>
                <w:highlight w:val="none"/>
              </w:rPr>
              <w:t>内插计算（保留两位小数）。</w:t>
            </w:r>
          </w:p>
          <w:p w14:paraId="1BB1361F">
            <w:pPr>
              <w:keepNext w:val="0"/>
              <w:keepLines w:val="0"/>
              <w:pageBreakBefore w:val="0"/>
              <w:kinsoku/>
              <w:wordWrap/>
              <w:overflowPunct/>
              <w:topLinePunct w:val="0"/>
              <w:autoSpaceDE/>
              <w:autoSpaceDN/>
              <w:bidi w:val="0"/>
              <w:adjustRightInd w:val="0"/>
              <w:snapToGrid w:val="0"/>
              <w:spacing w:line="360" w:lineRule="exact"/>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注：联合体投标的，按照联合体牵头人的业绩数量计算。</w:t>
            </w:r>
          </w:p>
        </w:tc>
      </w:tr>
      <w:tr w14:paraId="19B165D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914" w:type="dxa"/>
            <w:vMerge w:val="continue"/>
            <w:tcBorders>
              <w:tl2br w:val="nil"/>
              <w:tr2bl w:val="nil"/>
            </w:tcBorders>
            <w:vAlign w:val="center"/>
          </w:tcPr>
          <w:p w14:paraId="165005F7">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color w:val="auto"/>
                <w:sz w:val="21"/>
                <w:szCs w:val="21"/>
                <w:highlight w:val="none"/>
              </w:rPr>
            </w:pPr>
          </w:p>
        </w:tc>
        <w:tc>
          <w:tcPr>
            <w:tcW w:w="675" w:type="dxa"/>
            <w:vMerge w:val="continue"/>
            <w:tcBorders>
              <w:tl2br w:val="nil"/>
              <w:tr2bl w:val="nil"/>
            </w:tcBorders>
            <w:vAlign w:val="center"/>
          </w:tcPr>
          <w:p w14:paraId="54E9D3E0">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color w:val="auto"/>
                <w:sz w:val="21"/>
                <w:szCs w:val="21"/>
                <w:highlight w:val="none"/>
              </w:rPr>
            </w:pPr>
          </w:p>
        </w:tc>
        <w:tc>
          <w:tcPr>
            <w:tcW w:w="945" w:type="dxa"/>
            <w:vMerge w:val="continue"/>
            <w:tcBorders>
              <w:tl2br w:val="nil"/>
              <w:tr2bl w:val="nil"/>
            </w:tcBorders>
            <w:vAlign w:val="center"/>
          </w:tcPr>
          <w:p w14:paraId="58BC14D5">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color w:val="auto"/>
                <w:sz w:val="21"/>
                <w:szCs w:val="21"/>
                <w:highlight w:val="none"/>
              </w:rPr>
            </w:pPr>
          </w:p>
        </w:tc>
        <w:tc>
          <w:tcPr>
            <w:tcW w:w="1845" w:type="dxa"/>
            <w:vMerge w:val="restart"/>
            <w:tcBorders>
              <w:tl2br w:val="nil"/>
              <w:tr2bl w:val="nil"/>
            </w:tcBorders>
            <w:vAlign w:val="center"/>
          </w:tcPr>
          <w:p w14:paraId="3394E4F5">
            <w:pPr>
              <w:keepNext w:val="0"/>
              <w:keepLines w:val="0"/>
              <w:pageBreakBefore w:val="0"/>
              <w:widowControl/>
              <w:shd w:val="clear" w:color="auto" w:fill="FFFFFF"/>
              <w:kinsoku/>
              <w:wordWrap/>
              <w:overflowPunct/>
              <w:topLinePunct w:val="0"/>
              <w:autoSpaceDE/>
              <w:autoSpaceDN/>
              <w:bidi w:val="0"/>
              <w:spacing w:line="3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信用评价</w:t>
            </w:r>
          </w:p>
        </w:tc>
        <w:tc>
          <w:tcPr>
            <w:tcW w:w="855" w:type="dxa"/>
            <w:tcBorders>
              <w:tl2br w:val="nil"/>
              <w:tr2bl w:val="nil"/>
            </w:tcBorders>
            <w:vAlign w:val="center"/>
          </w:tcPr>
          <w:p w14:paraId="050FA35D">
            <w:pPr>
              <w:keepNext w:val="0"/>
              <w:keepLines w:val="0"/>
              <w:pageBreakBefore w:val="0"/>
              <w:kinsoku/>
              <w:wordWrap/>
              <w:overflowPunct/>
              <w:topLinePunct w:val="0"/>
              <w:autoSpaceDE/>
              <w:autoSpaceDN/>
              <w:bidi w:val="0"/>
              <w:snapToGrid w:val="0"/>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15分</w:t>
            </w:r>
          </w:p>
        </w:tc>
        <w:tc>
          <w:tcPr>
            <w:tcW w:w="4303" w:type="dxa"/>
            <w:tcBorders>
              <w:tl2br w:val="nil"/>
              <w:tr2bl w:val="nil"/>
            </w:tcBorders>
            <w:vAlign w:val="center"/>
          </w:tcPr>
          <w:p w14:paraId="549D7559">
            <w:pPr>
              <w:keepNext w:val="0"/>
              <w:keepLines w:val="0"/>
              <w:pageBreakBefore w:val="0"/>
              <w:kinsoku/>
              <w:wordWrap/>
              <w:overflowPunct/>
              <w:topLinePunct w:val="0"/>
              <w:autoSpaceDE/>
              <w:autoSpaceDN/>
              <w:bidi w:val="0"/>
              <w:snapToGrid w:val="0"/>
              <w:spacing w:line="3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shd w:val="clear" w:color="auto" w:fill="FFFFFF"/>
              </w:rPr>
              <w:t>信用评价AA级，得15分。</w:t>
            </w:r>
          </w:p>
        </w:tc>
      </w:tr>
      <w:tr w14:paraId="4542373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914" w:type="dxa"/>
            <w:vMerge w:val="continue"/>
            <w:tcBorders>
              <w:tl2br w:val="nil"/>
              <w:tr2bl w:val="nil"/>
            </w:tcBorders>
            <w:vAlign w:val="center"/>
          </w:tcPr>
          <w:p w14:paraId="7C0B2DD0">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color w:val="auto"/>
                <w:sz w:val="21"/>
                <w:szCs w:val="21"/>
                <w:highlight w:val="none"/>
              </w:rPr>
            </w:pPr>
          </w:p>
        </w:tc>
        <w:tc>
          <w:tcPr>
            <w:tcW w:w="675" w:type="dxa"/>
            <w:vMerge w:val="continue"/>
            <w:tcBorders>
              <w:tl2br w:val="nil"/>
              <w:tr2bl w:val="nil"/>
            </w:tcBorders>
            <w:vAlign w:val="center"/>
          </w:tcPr>
          <w:p w14:paraId="4099D8A8">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color w:val="auto"/>
                <w:sz w:val="21"/>
                <w:szCs w:val="21"/>
                <w:highlight w:val="none"/>
              </w:rPr>
            </w:pPr>
          </w:p>
        </w:tc>
        <w:tc>
          <w:tcPr>
            <w:tcW w:w="945" w:type="dxa"/>
            <w:vMerge w:val="continue"/>
            <w:tcBorders>
              <w:tl2br w:val="nil"/>
              <w:tr2bl w:val="nil"/>
            </w:tcBorders>
            <w:vAlign w:val="center"/>
          </w:tcPr>
          <w:p w14:paraId="440D1D7C">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color w:val="auto"/>
                <w:sz w:val="21"/>
                <w:szCs w:val="21"/>
                <w:highlight w:val="none"/>
              </w:rPr>
            </w:pPr>
          </w:p>
        </w:tc>
        <w:tc>
          <w:tcPr>
            <w:tcW w:w="1845" w:type="dxa"/>
            <w:vMerge w:val="continue"/>
            <w:tcBorders>
              <w:tl2br w:val="nil"/>
              <w:tr2bl w:val="nil"/>
            </w:tcBorders>
            <w:vAlign w:val="center"/>
          </w:tcPr>
          <w:p w14:paraId="0C62A9AE">
            <w:pPr>
              <w:keepNext w:val="0"/>
              <w:keepLines w:val="0"/>
              <w:pageBreakBefore w:val="0"/>
              <w:widowControl/>
              <w:shd w:val="clear" w:color="auto" w:fill="FFFFFF"/>
              <w:kinsoku/>
              <w:wordWrap/>
              <w:overflowPunct/>
              <w:topLinePunct w:val="0"/>
              <w:autoSpaceDE/>
              <w:autoSpaceDN/>
              <w:bidi w:val="0"/>
              <w:spacing w:line="360" w:lineRule="exact"/>
              <w:jc w:val="center"/>
              <w:textAlignment w:val="auto"/>
              <w:rPr>
                <w:rFonts w:hint="eastAsia" w:ascii="宋体" w:hAnsi="宋体" w:eastAsia="宋体" w:cs="宋体"/>
                <w:color w:val="auto"/>
                <w:kern w:val="0"/>
                <w:sz w:val="21"/>
                <w:szCs w:val="21"/>
                <w:highlight w:val="none"/>
              </w:rPr>
            </w:pPr>
          </w:p>
        </w:tc>
        <w:tc>
          <w:tcPr>
            <w:tcW w:w="855" w:type="dxa"/>
            <w:tcBorders>
              <w:tl2br w:val="nil"/>
              <w:tr2bl w:val="nil"/>
            </w:tcBorders>
            <w:vAlign w:val="center"/>
          </w:tcPr>
          <w:p w14:paraId="2602324D">
            <w:pPr>
              <w:keepNext w:val="0"/>
              <w:keepLines w:val="0"/>
              <w:pageBreakBefore w:val="0"/>
              <w:kinsoku/>
              <w:wordWrap/>
              <w:overflowPunct/>
              <w:topLinePunct w:val="0"/>
              <w:autoSpaceDE/>
              <w:autoSpaceDN/>
              <w:bidi w:val="0"/>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12分</w:t>
            </w:r>
          </w:p>
        </w:tc>
        <w:tc>
          <w:tcPr>
            <w:tcW w:w="4303" w:type="dxa"/>
            <w:tcBorders>
              <w:tl2br w:val="nil"/>
              <w:tr2bl w:val="nil"/>
            </w:tcBorders>
            <w:vAlign w:val="center"/>
          </w:tcPr>
          <w:p w14:paraId="0F915FBC">
            <w:pPr>
              <w:keepNext w:val="0"/>
              <w:keepLines w:val="0"/>
              <w:pageBreakBefore w:val="0"/>
              <w:kinsoku/>
              <w:wordWrap/>
              <w:overflowPunct/>
              <w:topLinePunct w:val="0"/>
              <w:autoSpaceDE/>
              <w:autoSpaceDN/>
              <w:bidi w:val="0"/>
              <w:spacing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信用评价A级，得12分。</w:t>
            </w:r>
          </w:p>
        </w:tc>
      </w:tr>
      <w:tr w14:paraId="7384190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914" w:type="dxa"/>
            <w:vMerge w:val="continue"/>
            <w:tcBorders>
              <w:tl2br w:val="nil"/>
              <w:tr2bl w:val="nil"/>
            </w:tcBorders>
            <w:vAlign w:val="center"/>
          </w:tcPr>
          <w:p w14:paraId="0B3FD9B7">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color w:val="auto"/>
                <w:sz w:val="21"/>
                <w:szCs w:val="21"/>
                <w:highlight w:val="none"/>
              </w:rPr>
            </w:pPr>
          </w:p>
        </w:tc>
        <w:tc>
          <w:tcPr>
            <w:tcW w:w="675" w:type="dxa"/>
            <w:vMerge w:val="continue"/>
            <w:tcBorders>
              <w:tl2br w:val="nil"/>
              <w:tr2bl w:val="nil"/>
            </w:tcBorders>
            <w:vAlign w:val="center"/>
          </w:tcPr>
          <w:p w14:paraId="20794119">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color w:val="auto"/>
                <w:sz w:val="21"/>
                <w:szCs w:val="21"/>
                <w:highlight w:val="none"/>
              </w:rPr>
            </w:pPr>
          </w:p>
        </w:tc>
        <w:tc>
          <w:tcPr>
            <w:tcW w:w="945" w:type="dxa"/>
            <w:vMerge w:val="continue"/>
            <w:tcBorders>
              <w:tl2br w:val="nil"/>
              <w:tr2bl w:val="nil"/>
            </w:tcBorders>
            <w:vAlign w:val="center"/>
          </w:tcPr>
          <w:p w14:paraId="6E77EEBE">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color w:val="auto"/>
                <w:sz w:val="21"/>
                <w:szCs w:val="21"/>
                <w:highlight w:val="none"/>
              </w:rPr>
            </w:pPr>
          </w:p>
        </w:tc>
        <w:tc>
          <w:tcPr>
            <w:tcW w:w="1845" w:type="dxa"/>
            <w:vMerge w:val="continue"/>
            <w:tcBorders>
              <w:tl2br w:val="nil"/>
              <w:tr2bl w:val="nil"/>
            </w:tcBorders>
            <w:vAlign w:val="center"/>
          </w:tcPr>
          <w:p w14:paraId="01536AC1">
            <w:pPr>
              <w:keepNext w:val="0"/>
              <w:keepLines w:val="0"/>
              <w:pageBreakBefore w:val="0"/>
              <w:widowControl/>
              <w:shd w:val="clear" w:color="auto" w:fill="FFFFFF"/>
              <w:kinsoku/>
              <w:wordWrap/>
              <w:overflowPunct/>
              <w:topLinePunct w:val="0"/>
              <w:autoSpaceDE/>
              <w:autoSpaceDN/>
              <w:bidi w:val="0"/>
              <w:spacing w:line="360" w:lineRule="exact"/>
              <w:jc w:val="center"/>
              <w:textAlignment w:val="auto"/>
              <w:rPr>
                <w:rFonts w:hint="eastAsia" w:ascii="宋体" w:hAnsi="宋体" w:eastAsia="宋体" w:cs="宋体"/>
                <w:color w:val="auto"/>
                <w:kern w:val="0"/>
                <w:sz w:val="21"/>
                <w:szCs w:val="21"/>
                <w:highlight w:val="none"/>
              </w:rPr>
            </w:pPr>
          </w:p>
        </w:tc>
        <w:tc>
          <w:tcPr>
            <w:tcW w:w="855" w:type="dxa"/>
            <w:tcBorders>
              <w:tl2br w:val="nil"/>
              <w:tr2bl w:val="nil"/>
            </w:tcBorders>
            <w:vAlign w:val="center"/>
          </w:tcPr>
          <w:p w14:paraId="3A21BD1F">
            <w:pPr>
              <w:keepNext w:val="0"/>
              <w:keepLines w:val="0"/>
              <w:pageBreakBefore w:val="0"/>
              <w:kinsoku/>
              <w:wordWrap/>
              <w:overflowPunct/>
              <w:topLinePunct w:val="0"/>
              <w:autoSpaceDE/>
              <w:autoSpaceDN/>
              <w:bidi w:val="0"/>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9分</w:t>
            </w:r>
          </w:p>
        </w:tc>
        <w:tc>
          <w:tcPr>
            <w:tcW w:w="4303" w:type="dxa"/>
            <w:tcBorders>
              <w:tl2br w:val="nil"/>
              <w:tr2bl w:val="nil"/>
            </w:tcBorders>
            <w:vAlign w:val="center"/>
          </w:tcPr>
          <w:p w14:paraId="4659DE55">
            <w:pPr>
              <w:keepNext w:val="0"/>
              <w:keepLines w:val="0"/>
              <w:pageBreakBefore w:val="0"/>
              <w:kinsoku/>
              <w:wordWrap/>
              <w:overflowPunct/>
              <w:topLinePunct w:val="0"/>
              <w:autoSpaceDE/>
              <w:autoSpaceDN/>
              <w:bidi w:val="0"/>
              <w:spacing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信用评价B级，得9分。</w:t>
            </w:r>
          </w:p>
        </w:tc>
      </w:tr>
      <w:tr w14:paraId="11244F6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914" w:type="dxa"/>
            <w:vMerge w:val="continue"/>
            <w:tcBorders>
              <w:tl2br w:val="nil"/>
              <w:tr2bl w:val="nil"/>
            </w:tcBorders>
            <w:vAlign w:val="center"/>
          </w:tcPr>
          <w:p w14:paraId="345FD44A">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color w:val="auto"/>
                <w:sz w:val="21"/>
                <w:szCs w:val="21"/>
                <w:highlight w:val="none"/>
              </w:rPr>
            </w:pPr>
          </w:p>
        </w:tc>
        <w:tc>
          <w:tcPr>
            <w:tcW w:w="675" w:type="dxa"/>
            <w:vMerge w:val="continue"/>
            <w:tcBorders>
              <w:tl2br w:val="nil"/>
              <w:tr2bl w:val="nil"/>
            </w:tcBorders>
            <w:vAlign w:val="center"/>
          </w:tcPr>
          <w:p w14:paraId="5EC85304">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color w:val="auto"/>
                <w:sz w:val="21"/>
                <w:szCs w:val="21"/>
                <w:highlight w:val="none"/>
              </w:rPr>
            </w:pPr>
          </w:p>
        </w:tc>
        <w:tc>
          <w:tcPr>
            <w:tcW w:w="945" w:type="dxa"/>
            <w:vMerge w:val="continue"/>
            <w:tcBorders>
              <w:tl2br w:val="nil"/>
              <w:tr2bl w:val="nil"/>
            </w:tcBorders>
            <w:vAlign w:val="center"/>
          </w:tcPr>
          <w:p w14:paraId="7CDBBC75">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color w:val="auto"/>
                <w:sz w:val="21"/>
                <w:szCs w:val="21"/>
                <w:highlight w:val="none"/>
              </w:rPr>
            </w:pPr>
          </w:p>
        </w:tc>
        <w:tc>
          <w:tcPr>
            <w:tcW w:w="1845" w:type="dxa"/>
            <w:vMerge w:val="continue"/>
            <w:tcBorders>
              <w:tl2br w:val="nil"/>
              <w:tr2bl w:val="nil"/>
            </w:tcBorders>
            <w:vAlign w:val="center"/>
          </w:tcPr>
          <w:p w14:paraId="5FAE5E51">
            <w:pPr>
              <w:keepNext w:val="0"/>
              <w:keepLines w:val="0"/>
              <w:pageBreakBefore w:val="0"/>
              <w:widowControl/>
              <w:shd w:val="clear" w:color="auto" w:fill="FFFFFF"/>
              <w:kinsoku/>
              <w:wordWrap/>
              <w:overflowPunct/>
              <w:topLinePunct w:val="0"/>
              <w:autoSpaceDE/>
              <w:autoSpaceDN/>
              <w:bidi w:val="0"/>
              <w:spacing w:line="360" w:lineRule="exact"/>
              <w:jc w:val="center"/>
              <w:textAlignment w:val="auto"/>
              <w:rPr>
                <w:rFonts w:hint="eastAsia" w:ascii="宋体" w:hAnsi="宋体" w:eastAsia="宋体" w:cs="宋体"/>
                <w:color w:val="auto"/>
                <w:kern w:val="0"/>
                <w:sz w:val="21"/>
                <w:szCs w:val="21"/>
                <w:highlight w:val="none"/>
              </w:rPr>
            </w:pPr>
          </w:p>
        </w:tc>
        <w:tc>
          <w:tcPr>
            <w:tcW w:w="855" w:type="dxa"/>
            <w:tcBorders>
              <w:tl2br w:val="nil"/>
              <w:tr2bl w:val="nil"/>
            </w:tcBorders>
            <w:vAlign w:val="center"/>
          </w:tcPr>
          <w:p w14:paraId="1C5AFA51">
            <w:pPr>
              <w:keepNext w:val="0"/>
              <w:keepLines w:val="0"/>
              <w:pageBreakBefore w:val="0"/>
              <w:kinsoku/>
              <w:wordWrap/>
              <w:overflowPunct/>
              <w:topLinePunct w:val="0"/>
              <w:autoSpaceDE/>
              <w:autoSpaceDN/>
              <w:bidi w:val="0"/>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6分</w:t>
            </w:r>
          </w:p>
        </w:tc>
        <w:tc>
          <w:tcPr>
            <w:tcW w:w="4303" w:type="dxa"/>
            <w:tcBorders>
              <w:tl2br w:val="nil"/>
              <w:tr2bl w:val="nil"/>
            </w:tcBorders>
            <w:vAlign w:val="center"/>
          </w:tcPr>
          <w:p w14:paraId="64E7B8CC">
            <w:pPr>
              <w:keepNext w:val="0"/>
              <w:keepLines w:val="0"/>
              <w:pageBreakBefore w:val="0"/>
              <w:kinsoku/>
              <w:wordWrap/>
              <w:overflowPunct/>
              <w:topLinePunct w:val="0"/>
              <w:autoSpaceDE/>
              <w:autoSpaceDN/>
              <w:bidi w:val="0"/>
              <w:spacing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信用评价C级，得6分。</w:t>
            </w:r>
          </w:p>
        </w:tc>
      </w:tr>
      <w:tr w14:paraId="5034A35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914" w:type="dxa"/>
            <w:vMerge w:val="continue"/>
            <w:tcBorders>
              <w:tl2br w:val="nil"/>
              <w:tr2bl w:val="nil"/>
            </w:tcBorders>
            <w:vAlign w:val="center"/>
          </w:tcPr>
          <w:p w14:paraId="0D884ECE">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color w:val="auto"/>
                <w:sz w:val="21"/>
                <w:szCs w:val="21"/>
                <w:highlight w:val="none"/>
              </w:rPr>
            </w:pPr>
          </w:p>
        </w:tc>
        <w:tc>
          <w:tcPr>
            <w:tcW w:w="675" w:type="dxa"/>
            <w:vMerge w:val="continue"/>
            <w:tcBorders>
              <w:tl2br w:val="nil"/>
              <w:tr2bl w:val="nil"/>
            </w:tcBorders>
            <w:vAlign w:val="center"/>
          </w:tcPr>
          <w:p w14:paraId="0161809D">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color w:val="auto"/>
                <w:sz w:val="21"/>
                <w:szCs w:val="21"/>
                <w:highlight w:val="none"/>
              </w:rPr>
            </w:pPr>
          </w:p>
        </w:tc>
        <w:tc>
          <w:tcPr>
            <w:tcW w:w="945" w:type="dxa"/>
            <w:vMerge w:val="continue"/>
            <w:tcBorders>
              <w:tl2br w:val="nil"/>
              <w:tr2bl w:val="nil"/>
            </w:tcBorders>
            <w:vAlign w:val="center"/>
          </w:tcPr>
          <w:p w14:paraId="161900C0">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color w:val="auto"/>
                <w:sz w:val="21"/>
                <w:szCs w:val="21"/>
                <w:highlight w:val="none"/>
              </w:rPr>
            </w:pPr>
          </w:p>
        </w:tc>
        <w:tc>
          <w:tcPr>
            <w:tcW w:w="1845" w:type="dxa"/>
            <w:vMerge w:val="continue"/>
            <w:tcBorders>
              <w:tl2br w:val="nil"/>
              <w:tr2bl w:val="nil"/>
            </w:tcBorders>
            <w:vAlign w:val="center"/>
          </w:tcPr>
          <w:p w14:paraId="0B81763C">
            <w:pPr>
              <w:keepNext w:val="0"/>
              <w:keepLines w:val="0"/>
              <w:pageBreakBefore w:val="0"/>
              <w:widowControl/>
              <w:shd w:val="clear" w:color="auto" w:fill="FFFFFF"/>
              <w:kinsoku/>
              <w:wordWrap/>
              <w:overflowPunct/>
              <w:topLinePunct w:val="0"/>
              <w:autoSpaceDE/>
              <w:autoSpaceDN/>
              <w:bidi w:val="0"/>
              <w:spacing w:line="360" w:lineRule="exact"/>
              <w:jc w:val="center"/>
              <w:textAlignment w:val="auto"/>
              <w:rPr>
                <w:rFonts w:hint="eastAsia" w:ascii="宋体" w:hAnsi="宋体" w:eastAsia="宋体" w:cs="宋体"/>
                <w:color w:val="auto"/>
                <w:kern w:val="0"/>
                <w:sz w:val="21"/>
                <w:szCs w:val="21"/>
                <w:highlight w:val="none"/>
              </w:rPr>
            </w:pPr>
          </w:p>
        </w:tc>
        <w:tc>
          <w:tcPr>
            <w:tcW w:w="855" w:type="dxa"/>
            <w:tcBorders>
              <w:tl2br w:val="nil"/>
              <w:tr2bl w:val="nil"/>
            </w:tcBorders>
            <w:vAlign w:val="center"/>
          </w:tcPr>
          <w:p w14:paraId="59A91F8B">
            <w:pPr>
              <w:keepNext w:val="0"/>
              <w:keepLines w:val="0"/>
              <w:pageBreakBefore w:val="0"/>
              <w:kinsoku/>
              <w:wordWrap/>
              <w:overflowPunct/>
              <w:topLinePunct w:val="0"/>
              <w:autoSpaceDE/>
              <w:autoSpaceDN/>
              <w:bidi w:val="0"/>
              <w:spacing w:line="36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0分</w:t>
            </w:r>
          </w:p>
        </w:tc>
        <w:tc>
          <w:tcPr>
            <w:tcW w:w="4303" w:type="dxa"/>
            <w:tcBorders>
              <w:tl2br w:val="nil"/>
              <w:tr2bl w:val="nil"/>
            </w:tcBorders>
            <w:vAlign w:val="center"/>
          </w:tcPr>
          <w:p w14:paraId="2CB2E987">
            <w:pPr>
              <w:keepNext w:val="0"/>
              <w:keepLines w:val="0"/>
              <w:pageBreakBefore w:val="0"/>
              <w:kinsoku/>
              <w:wordWrap/>
              <w:overflowPunct/>
              <w:topLinePunct w:val="0"/>
              <w:autoSpaceDE/>
              <w:autoSpaceDN/>
              <w:bidi w:val="0"/>
              <w:spacing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信用评价</w:t>
            </w:r>
            <w:r>
              <w:rPr>
                <w:rFonts w:hint="eastAsia" w:ascii="宋体" w:hAnsi="宋体" w:eastAsia="宋体" w:cs="宋体"/>
                <w:color w:val="auto"/>
                <w:sz w:val="21"/>
                <w:szCs w:val="21"/>
                <w:highlight w:val="none"/>
                <w:lang w:val="en-US" w:eastAsia="zh-CN"/>
              </w:rPr>
              <w:t>D</w:t>
            </w:r>
            <w:r>
              <w:rPr>
                <w:rFonts w:hint="eastAsia" w:ascii="宋体" w:hAnsi="宋体" w:eastAsia="宋体" w:cs="宋体"/>
                <w:color w:val="auto"/>
                <w:sz w:val="21"/>
                <w:szCs w:val="21"/>
                <w:highlight w:val="none"/>
              </w:rPr>
              <w:t>级，得</w:t>
            </w:r>
            <w:r>
              <w:rPr>
                <w:rFonts w:hint="eastAsia" w:ascii="宋体" w:hAnsi="宋体" w:eastAsia="宋体" w:cs="宋体"/>
                <w:color w:val="auto"/>
                <w:sz w:val="21"/>
                <w:szCs w:val="21"/>
                <w:highlight w:val="none"/>
                <w:lang w:val="en-US" w:eastAsia="zh-CN"/>
              </w:rPr>
              <w:t>0</w:t>
            </w:r>
            <w:r>
              <w:rPr>
                <w:rFonts w:hint="eastAsia" w:ascii="宋体" w:hAnsi="宋体" w:eastAsia="宋体" w:cs="宋体"/>
                <w:color w:val="auto"/>
                <w:sz w:val="21"/>
                <w:szCs w:val="21"/>
                <w:highlight w:val="none"/>
              </w:rPr>
              <w:t>分。</w:t>
            </w:r>
          </w:p>
        </w:tc>
      </w:tr>
      <w:tr w14:paraId="335377E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914" w:type="dxa"/>
            <w:vMerge w:val="continue"/>
            <w:tcBorders>
              <w:tl2br w:val="nil"/>
              <w:tr2bl w:val="nil"/>
            </w:tcBorders>
            <w:vAlign w:val="center"/>
          </w:tcPr>
          <w:p w14:paraId="36636D88">
            <w:pPr>
              <w:keepNext w:val="0"/>
              <w:keepLines w:val="0"/>
              <w:pageBreakBefore w:val="0"/>
              <w:kinsoku/>
              <w:wordWrap/>
              <w:overflowPunct/>
              <w:topLinePunct w:val="0"/>
              <w:autoSpaceDE/>
              <w:autoSpaceDN/>
              <w:bidi w:val="0"/>
              <w:adjustRightInd w:val="0"/>
              <w:snapToGrid w:val="0"/>
              <w:spacing w:line="360" w:lineRule="exact"/>
              <w:ind w:firstLine="422" w:firstLineChars="201"/>
              <w:textAlignment w:val="auto"/>
              <w:rPr>
                <w:rFonts w:hint="eastAsia" w:ascii="宋体" w:hAnsi="宋体" w:eastAsia="宋体" w:cs="宋体"/>
                <w:color w:val="auto"/>
                <w:sz w:val="21"/>
                <w:szCs w:val="21"/>
                <w:highlight w:val="none"/>
              </w:rPr>
            </w:pPr>
          </w:p>
        </w:tc>
        <w:tc>
          <w:tcPr>
            <w:tcW w:w="675" w:type="dxa"/>
            <w:vMerge w:val="continue"/>
            <w:tcBorders>
              <w:tl2br w:val="nil"/>
              <w:tr2bl w:val="nil"/>
            </w:tcBorders>
            <w:vAlign w:val="center"/>
          </w:tcPr>
          <w:p w14:paraId="11D7904A">
            <w:pPr>
              <w:keepNext w:val="0"/>
              <w:keepLines w:val="0"/>
              <w:pageBreakBefore w:val="0"/>
              <w:kinsoku/>
              <w:wordWrap/>
              <w:overflowPunct/>
              <w:topLinePunct w:val="0"/>
              <w:autoSpaceDE/>
              <w:autoSpaceDN/>
              <w:bidi w:val="0"/>
              <w:adjustRightInd w:val="0"/>
              <w:snapToGrid w:val="0"/>
              <w:spacing w:line="360" w:lineRule="exact"/>
              <w:ind w:firstLine="422" w:firstLineChars="201"/>
              <w:textAlignment w:val="auto"/>
              <w:rPr>
                <w:rFonts w:hint="eastAsia" w:ascii="宋体" w:hAnsi="宋体" w:eastAsia="宋体" w:cs="宋体"/>
                <w:color w:val="auto"/>
                <w:sz w:val="21"/>
                <w:szCs w:val="21"/>
                <w:highlight w:val="none"/>
              </w:rPr>
            </w:pPr>
          </w:p>
        </w:tc>
        <w:tc>
          <w:tcPr>
            <w:tcW w:w="945" w:type="dxa"/>
            <w:vMerge w:val="continue"/>
            <w:tcBorders>
              <w:tl2br w:val="nil"/>
              <w:tr2bl w:val="nil"/>
            </w:tcBorders>
            <w:vAlign w:val="center"/>
          </w:tcPr>
          <w:p w14:paraId="2841C074">
            <w:pPr>
              <w:keepNext w:val="0"/>
              <w:keepLines w:val="0"/>
              <w:pageBreakBefore w:val="0"/>
              <w:kinsoku/>
              <w:wordWrap/>
              <w:overflowPunct/>
              <w:topLinePunct w:val="0"/>
              <w:autoSpaceDE/>
              <w:autoSpaceDN/>
              <w:bidi w:val="0"/>
              <w:adjustRightInd w:val="0"/>
              <w:snapToGrid w:val="0"/>
              <w:spacing w:line="360" w:lineRule="exact"/>
              <w:ind w:firstLine="422" w:firstLineChars="201"/>
              <w:textAlignment w:val="auto"/>
              <w:rPr>
                <w:rFonts w:hint="eastAsia" w:ascii="宋体" w:hAnsi="宋体" w:eastAsia="宋体" w:cs="宋体"/>
                <w:color w:val="auto"/>
                <w:sz w:val="21"/>
                <w:szCs w:val="21"/>
                <w:highlight w:val="none"/>
              </w:rPr>
            </w:pPr>
          </w:p>
        </w:tc>
        <w:tc>
          <w:tcPr>
            <w:tcW w:w="7003" w:type="dxa"/>
            <w:gridSpan w:val="3"/>
            <w:tcBorders>
              <w:tl2br w:val="nil"/>
              <w:tr2bl w:val="nil"/>
            </w:tcBorders>
            <w:vAlign w:val="center"/>
          </w:tcPr>
          <w:p w14:paraId="70C750F2">
            <w:pPr>
              <w:keepNext w:val="0"/>
              <w:keepLines w:val="0"/>
              <w:pageBreakBefore w:val="0"/>
              <w:kinsoku/>
              <w:wordWrap/>
              <w:overflowPunct/>
              <w:topLinePunct w:val="0"/>
              <w:autoSpaceDE/>
              <w:autoSpaceDN/>
              <w:bidi w:val="0"/>
              <w:adjustRightInd w:val="0"/>
              <w:snapToGrid w:val="0"/>
              <w:spacing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注：信用评价等级优先采用以下所列</w:t>
            </w:r>
            <w:r>
              <w:rPr>
                <w:rFonts w:hint="eastAsia" w:ascii="宋体" w:hAnsi="宋体" w:eastAsia="宋体" w:cs="宋体"/>
                <w:color w:val="auto"/>
                <w:sz w:val="21"/>
                <w:szCs w:val="21"/>
                <w:highlight w:val="none"/>
                <w:lang w:val="en-US" w:eastAsia="zh-CN"/>
              </w:rPr>
              <w:t>顺序</w:t>
            </w:r>
            <w:r>
              <w:rPr>
                <w:rFonts w:hint="eastAsia" w:ascii="宋体" w:hAnsi="宋体" w:eastAsia="宋体" w:cs="宋体"/>
                <w:color w:val="auto"/>
                <w:sz w:val="21"/>
                <w:szCs w:val="21"/>
                <w:highlight w:val="none"/>
              </w:rPr>
              <w:t>在前的企业信用等级：</w:t>
            </w:r>
          </w:p>
          <w:p w14:paraId="26DB3B62">
            <w:pPr>
              <w:keepNext w:val="0"/>
              <w:keepLines w:val="0"/>
              <w:pageBreakBefore w:val="0"/>
              <w:kinsoku/>
              <w:wordWrap/>
              <w:overflowPunct/>
              <w:topLinePunct w:val="0"/>
              <w:autoSpaceDE/>
              <w:autoSpaceDN/>
              <w:bidi w:val="0"/>
              <w:adjustRightInd w:val="0"/>
              <w:snapToGrid w:val="0"/>
              <w:spacing w:line="360" w:lineRule="exact"/>
              <w:ind w:firstLine="422" w:firstLineChars="201"/>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采用《吉林省公路管理局202</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年度普通干线公路养护工程企业信用评价公告》中的投标人信用等级</w:t>
            </w:r>
            <w:r>
              <w:rPr>
                <w:rFonts w:hint="eastAsia" w:ascii="宋体" w:hAnsi="宋体" w:eastAsia="宋体" w:cs="宋体"/>
                <w:color w:val="auto"/>
                <w:sz w:val="21"/>
                <w:szCs w:val="21"/>
                <w:highlight w:val="none"/>
                <w:lang w:eastAsia="zh-CN"/>
              </w:rPr>
              <w:t>；</w:t>
            </w:r>
          </w:p>
          <w:p w14:paraId="49BB1149">
            <w:pPr>
              <w:keepNext w:val="0"/>
              <w:keepLines w:val="0"/>
              <w:pageBreakBefore w:val="0"/>
              <w:kinsoku/>
              <w:wordWrap/>
              <w:overflowPunct/>
              <w:topLinePunct w:val="0"/>
              <w:autoSpaceDE/>
              <w:autoSpaceDN/>
              <w:bidi w:val="0"/>
              <w:adjustRightInd w:val="0"/>
              <w:snapToGrid w:val="0"/>
              <w:spacing w:line="360" w:lineRule="exact"/>
              <w:ind w:firstLine="422" w:firstLineChars="201"/>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采用《吉林省公路管理局202</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年度普通干线公路养护工程企业信用评价公告》</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含调整结果公告）</w:t>
            </w:r>
            <w:r>
              <w:rPr>
                <w:rFonts w:hint="eastAsia" w:ascii="宋体" w:hAnsi="宋体" w:eastAsia="宋体" w:cs="宋体"/>
                <w:color w:val="auto"/>
                <w:sz w:val="21"/>
                <w:szCs w:val="21"/>
                <w:highlight w:val="none"/>
              </w:rPr>
              <w:t>中的投标人信用等级</w:t>
            </w:r>
            <w:r>
              <w:rPr>
                <w:rFonts w:hint="eastAsia" w:ascii="宋体" w:hAnsi="宋体" w:eastAsia="宋体" w:cs="宋体"/>
                <w:color w:val="auto"/>
                <w:sz w:val="21"/>
                <w:szCs w:val="21"/>
                <w:highlight w:val="none"/>
                <w:lang w:eastAsia="zh-CN"/>
              </w:rPr>
              <w:t>；</w:t>
            </w:r>
          </w:p>
          <w:p w14:paraId="744B63C9">
            <w:pPr>
              <w:keepNext w:val="0"/>
              <w:keepLines w:val="0"/>
              <w:pageBreakBefore w:val="0"/>
              <w:kinsoku/>
              <w:wordWrap/>
              <w:overflowPunct/>
              <w:topLinePunct w:val="0"/>
              <w:autoSpaceDE/>
              <w:autoSpaceDN/>
              <w:bidi w:val="0"/>
              <w:adjustRightInd w:val="0"/>
              <w:snapToGrid w:val="0"/>
              <w:spacing w:line="360" w:lineRule="exact"/>
              <w:ind w:firstLine="422" w:firstLineChars="201"/>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采用交通运输部“全国公路建设市场监督管理系统/全国公路从业单位信用评价结果”中，投标人的2024年度“施工企业”信用等级；</w:t>
            </w:r>
          </w:p>
          <w:p w14:paraId="21DCF2C1">
            <w:pPr>
              <w:keepNext w:val="0"/>
              <w:keepLines w:val="0"/>
              <w:pageBreakBefore w:val="0"/>
              <w:kinsoku/>
              <w:wordWrap/>
              <w:overflowPunct/>
              <w:topLinePunct w:val="0"/>
              <w:autoSpaceDE/>
              <w:autoSpaceDN/>
              <w:bidi w:val="0"/>
              <w:adjustRightInd w:val="0"/>
              <w:snapToGrid w:val="0"/>
              <w:spacing w:line="360" w:lineRule="exact"/>
              <w:ind w:firstLine="422" w:firstLineChars="201"/>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企业无</w:t>
            </w:r>
            <w:r>
              <w:rPr>
                <w:rFonts w:hint="eastAsia" w:ascii="宋体" w:hAnsi="宋体" w:eastAsia="宋体" w:cs="宋体"/>
                <w:color w:val="auto"/>
                <w:sz w:val="21"/>
                <w:szCs w:val="21"/>
                <w:highlight w:val="none"/>
                <w:lang w:val="en-US" w:eastAsia="zh-CN"/>
              </w:rPr>
              <w:t>上述信用评价的，若未列入交通运输部“全国公路建设市场监督管理系统”中“不良信用记录”的，按A级对待，否则视其严重程度按B级或以下等级对待。</w:t>
            </w:r>
          </w:p>
          <w:p w14:paraId="46E91E0C">
            <w:pPr>
              <w:keepNext w:val="0"/>
              <w:keepLines w:val="0"/>
              <w:pageBreakBefore w:val="0"/>
              <w:kinsoku/>
              <w:wordWrap/>
              <w:overflowPunct/>
              <w:topLinePunct w:val="0"/>
              <w:autoSpaceDE/>
              <w:autoSpaceDN/>
              <w:bidi w:val="0"/>
              <w:adjustRightInd w:val="0"/>
              <w:snapToGrid w:val="0"/>
              <w:spacing w:line="360" w:lineRule="exact"/>
              <w:ind w:firstLine="422" w:firstLineChars="201"/>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（5）联合体参与投标的，其信用等级按照联合体中最低等级方认定。</w:t>
            </w:r>
          </w:p>
        </w:tc>
      </w:tr>
      <w:tr w14:paraId="06286EE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9537" w:type="dxa"/>
            <w:gridSpan w:val="6"/>
            <w:tcBorders>
              <w:tl2br w:val="nil"/>
              <w:tr2bl w:val="nil"/>
            </w:tcBorders>
            <w:vAlign w:val="center"/>
          </w:tcPr>
          <w:p w14:paraId="3DD55BB8">
            <w:pPr>
              <w:keepLines w:val="0"/>
              <w:widowControl/>
              <w:shd w:val="clear" w:color="auto" w:fill="FFFFFF"/>
              <w:kinsoku/>
              <w:wordWrap/>
              <w:overflowPunct/>
              <w:topLinePunct w:val="0"/>
              <w:bidi w:val="0"/>
              <w:spacing w:line="36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需要补充的其他内容：</w:t>
            </w:r>
          </w:p>
          <w:p w14:paraId="3B562AE3">
            <w:pPr>
              <w:keepLines w:val="0"/>
              <w:widowControl/>
              <w:shd w:val="clear" w:color="auto" w:fill="FFFFFF"/>
              <w:kinsoku/>
              <w:wordWrap/>
              <w:overflowPunct/>
              <w:topLinePunct w:val="0"/>
              <w:bidi w:val="0"/>
              <w:spacing w:line="36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r>
              <w:rPr>
                <w:rFonts w:hint="eastAsia" w:ascii="宋体" w:hAnsi="宋体" w:eastAsia="宋体" w:cs="宋体"/>
                <w:sz w:val="21"/>
                <w:szCs w:val="21"/>
              </w:rPr>
              <w:t>各评分因素（评标价和履约信誉评分项除外）得分均不应低于其权重分值的60%，且各评分因素得分应以评标委员会各成员的打分平均值确定，评标委员会成员总数为七人以上时，该平均值以去掉一个最高分和一个最低分后计算。评标委员会成员对某一项评分因素的评分低于权重分值60%的，应在评标报告中作出说明。</w:t>
            </w:r>
          </w:p>
          <w:p w14:paraId="6250059D">
            <w:pPr>
              <w:keepNext w:val="0"/>
              <w:keepLines w:val="0"/>
              <w:pageBreakBefore w:val="0"/>
              <w:kinsoku/>
              <w:wordWrap/>
              <w:overflowPunct/>
              <w:topLinePunct w:val="0"/>
              <w:autoSpaceDE/>
              <w:autoSpaceDN/>
              <w:bidi w:val="0"/>
              <w:adjustRightInd w:val="0"/>
              <w:snapToGrid w:val="0"/>
              <w:spacing w:line="360" w:lineRule="exact"/>
              <w:ind w:firstLine="422" w:firstLineChars="201"/>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 w:val="0"/>
                <w:bCs w:val="0"/>
                <w:sz w:val="21"/>
                <w:szCs w:val="21"/>
                <w:highlight w:val="none"/>
                <w:lang w:eastAsia="zh-CN"/>
              </w:rPr>
              <w:t>（</w:t>
            </w:r>
            <w:r>
              <w:rPr>
                <w:rFonts w:hint="eastAsia" w:ascii="宋体" w:hAnsi="宋体" w:eastAsia="宋体" w:cs="宋体"/>
                <w:b w:val="0"/>
                <w:bCs w:val="0"/>
                <w:sz w:val="21"/>
                <w:szCs w:val="21"/>
                <w:highlight w:val="none"/>
                <w:lang w:val="en-US" w:eastAsia="zh-CN"/>
              </w:rPr>
              <w:t>2</w:t>
            </w:r>
            <w:r>
              <w:rPr>
                <w:rFonts w:hint="eastAsia" w:ascii="宋体" w:hAnsi="宋体" w:eastAsia="宋体" w:cs="宋体"/>
                <w:b w:val="0"/>
                <w:bCs w:val="0"/>
                <w:sz w:val="21"/>
                <w:szCs w:val="21"/>
                <w:highlight w:val="none"/>
                <w:lang w:eastAsia="zh-CN"/>
              </w:rPr>
              <w:t>）</w:t>
            </w:r>
            <w:r>
              <w:rPr>
                <w:rFonts w:hint="eastAsia" w:ascii="宋体" w:hAnsi="宋体" w:eastAsia="宋体" w:cs="宋体"/>
                <w:b w:val="0"/>
                <w:bCs w:val="0"/>
                <w:sz w:val="21"/>
                <w:szCs w:val="21"/>
                <w:highlight w:val="none"/>
              </w:rPr>
              <w:t>投标文件的</w:t>
            </w:r>
            <w:r>
              <w:rPr>
                <w:rFonts w:hint="eastAsia" w:ascii="宋体" w:hAnsi="宋体" w:eastAsia="宋体" w:cs="宋体"/>
                <w:b w:val="0"/>
                <w:bCs w:val="0"/>
                <w:sz w:val="21"/>
                <w:szCs w:val="21"/>
                <w:highlight w:val="none"/>
                <w:lang w:val="en-US" w:eastAsia="zh-CN"/>
              </w:rPr>
              <w:t>施工组织设计</w:t>
            </w:r>
            <w:r>
              <w:rPr>
                <w:rFonts w:hint="eastAsia" w:ascii="宋体" w:hAnsi="宋体" w:eastAsia="宋体" w:cs="宋体"/>
                <w:b w:val="0"/>
                <w:bCs w:val="0"/>
                <w:sz w:val="21"/>
                <w:szCs w:val="21"/>
              </w:rPr>
              <w:t>采用</w:t>
            </w:r>
            <w:r>
              <w:rPr>
                <w:rFonts w:hint="eastAsia" w:ascii="宋体" w:hAnsi="宋体" w:eastAsia="宋体" w:cs="宋体"/>
                <w:sz w:val="21"/>
                <w:szCs w:val="21"/>
              </w:rPr>
              <w:t>“暗标”评</w:t>
            </w:r>
            <w:r>
              <w:rPr>
                <w:rFonts w:hint="eastAsia" w:ascii="宋体" w:hAnsi="宋体" w:eastAsia="宋体" w:cs="宋体"/>
                <w:b w:val="0"/>
                <w:bCs w:val="0"/>
                <w:sz w:val="21"/>
                <w:szCs w:val="21"/>
                <w:highlight w:val="none"/>
              </w:rPr>
              <w:t>审，</w:t>
            </w:r>
            <w:r>
              <w:rPr>
                <w:rFonts w:hint="eastAsia" w:ascii="宋体" w:hAnsi="宋体" w:eastAsia="宋体" w:cs="宋体"/>
                <w:sz w:val="21"/>
                <w:szCs w:val="21"/>
              </w:rPr>
              <w:t>如果某投标人的</w:t>
            </w:r>
            <w:r>
              <w:rPr>
                <w:rFonts w:hint="eastAsia" w:ascii="宋体" w:hAnsi="宋体" w:eastAsia="宋体" w:cs="宋体"/>
                <w:b w:val="0"/>
                <w:bCs w:val="0"/>
                <w:sz w:val="21"/>
                <w:szCs w:val="21"/>
                <w:highlight w:val="none"/>
                <w:lang w:val="en-US" w:eastAsia="zh-CN"/>
              </w:rPr>
              <w:t>施工组织设计</w:t>
            </w:r>
            <w:r>
              <w:rPr>
                <w:rFonts w:hint="eastAsia" w:ascii="宋体" w:hAnsi="宋体" w:eastAsia="宋体" w:cs="宋体"/>
                <w:sz w:val="21"/>
                <w:szCs w:val="21"/>
              </w:rPr>
              <w:t>没有按照招标文件规定的</w:t>
            </w:r>
            <w:r>
              <w:rPr>
                <w:rFonts w:hint="eastAsia" w:ascii="宋体" w:hAnsi="宋体" w:eastAsia="宋体" w:cs="宋体"/>
                <w:sz w:val="21"/>
                <w:szCs w:val="21"/>
                <w:lang w:val="en-US" w:eastAsia="zh-CN"/>
              </w:rPr>
              <w:t>要求</w:t>
            </w:r>
            <w:r>
              <w:rPr>
                <w:rFonts w:hint="eastAsia" w:ascii="宋体" w:hAnsi="宋体" w:eastAsia="宋体" w:cs="宋体"/>
                <w:sz w:val="21"/>
                <w:szCs w:val="21"/>
              </w:rPr>
              <w:t>编制，</w:t>
            </w:r>
            <w:r>
              <w:rPr>
                <w:rFonts w:hint="eastAsia" w:ascii="宋体" w:hAnsi="宋体" w:eastAsia="宋体" w:cs="宋体"/>
                <w:sz w:val="21"/>
                <w:szCs w:val="21"/>
                <w:lang w:val="en-US" w:eastAsia="zh-CN"/>
              </w:rPr>
              <w:t>但</w:t>
            </w:r>
            <w:r>
              <w:rPr>
                <w:rFonts w:hint="eastAsia" w:ascii="宋体" w:hAnsi="宋体" w:eastAsia="宋体" w:cs="宋体"/>
                <w:b w:val="0"/>
                <w:bCs w:val="0"/>
                <w:sz w:val="21"/>
                <w:szCs w:val="21"/>
                <w:highlight w:val="none"/>
                <w:lang w:val="en-US" w:eastAsia="zh-CN"/>
              </w:rPr>
              <w:t>施工组织设计没有</w:t>
            </w:r>
            <w:r>
              <w:rPr>
                <w:rFonts w:hint="eastAsia" w:ascii="宋体" w:hAnsi="宋体" w:eastAsia="宋体" w:cs="宋体"/>
                <w:b w:val="0"/>
                <w:bCs w:val="0"/>
                <w:sz w:val="21"/>
                <w:szCs w:val="21"/>
                <w:highlight w:val="none"/>
              </w:rPr>
              <w:t>出现能识别投标人的内容，</w:t>
            </w:r>
            <w:r>
              <w:rPr>
                <w:rFonts w:hint="eastAsia" w:ascii="宋体" w:hAnsi="宋体" w:eastAsia="宋体" w:cs="宋体"/>
                <w:b w:val="0"/>
                <w:bCs w:val="0"/>
                <w:sz w:val="21"/>
                <w:szCs w:val="21"/>
                <w:highlight w:val="none"/>
                <w:lang w:val="en-US" w:eastAsia="zh-CN"/>
              </w:rPr>
              <w:t>评标委员会可以在相应的评分因素中酌情扣分，最多可扣至0分；</w:t>
            </w:r>
            <w:r>
              <w:rPr>
                <w:rFonts w:hint="eastAsia" w:ascii="宋体" w:hAnsi="宋体" w:eastAsia="宋体" w:cs="宋体"/>
                <w:b w:val="0"/>
                <w:bCs w:val="0"/>
                <w:sz w:val="21"/>
                <w:szCs w:val="21"/>
                <w:highlight w:val="none"/>
              </w:rPr>
              <w:t>如果</w:t>
            </w:r>
            <w:r>
              <w:rPr>
                <w:rFonts w:hint="eastAsia" w:ascii="宋体" w:hAnsi="宋体" w:eastAsia="宋体" w:cs="宋体"/>
                <w:b w:val="0"/>
                <w:bCs w:val="0"/>
                <w:sz w:val="21"/>
                <w:szCs w:val="21"/>
                <w:highlight w:val="none"/>
                <w:lang w:val="en-US" w:eastAsia="zh-CN"/>
              </w:rPr>
              <w:t>施工组织设计</w:t>
            </w:r>
            <w:r>
              <w:rPr>
                <w:rFonts w:hint="eastAsia" w:ascii="宋体" w:hAnsi="宋体" w:eastAsia="宋体" w:cs="宋体"/>
                <w:b w:val="0"/>
                <w:bCs w:val="0"/>
                <w:sz w:val="21"/>
                <w:szCs w:val="21"/>
                <w:highlight w:val="none"/>
              </w:rPr>
              <w:t>出现能识别投标人的内容，经评标委员会</w:t>
            </w:r>
            <w:r>
              <w:rPr>
                <w:rFonts w:hint="eastAsia" w:ascii="宋体" w:hAnsi="宋体" w:eastAsia="宋体" w:cs="宋体"/>
                <w:b w:val="0"/>
                <w:bCs w:val="0"/>
                <w:sz w:val="21"/>
                <w:szCs w:val="21"/>
                <w:highlight w:val="none"/>
                <w:lang w:val="en-US" w:eastAsia="zh-CN"/>
              </w:rPr>
              <w:t>认定</w:t>
            </w:r>
            <w:r>
              <w:rPr>
                <w:rFonts w:hint="eastAsia" w:ascii="宋体" w:hAnsi="宋体" w:eastAsia="宋体" w:cs="宋体"/>
                <w:b w:val="0"/>
                <w:bCs w:val="0"/>
                <w:sz w:val="21"/>
                <w:szCs w:val="21"/>
                <w:highlight w:val="none"/>
              </w:rPr>
              <w:t>后，评标委员会应在详细评审中</w:t>
            </w:r>
            <w:r>
              <w:rPr>
                <w:rFonts w:hint="eastAsia" w:ascii="宋体" w:hAnsi="宋体" w:eastAsia="宋体" w:cs="宋体"/>
                <w:b w:val="0"/>
                <w:bCs w:val="0"/>
                <w:sz w:val="21"/>
                <w:szCs w:val="21"/>
                <w:highlight w:val="none"/>
                <w:lang w:val="en-US" w:eastAsia="zh-CN"/>
              </w:rPr>
              <w:t>否决其投标</w:t>
            </w:r>
            <w:r>
              <w:rPr>
                <w:rFonts w:hint="eastAsia" w:ascii="宋体" w:hAnsi="宋体" w:eastAsia="宋体" w:cs="宋体"/>
                <w:sz w:val="21"/>
                <w:szCs w:val="21"/>
              </w:rPr>
              <w:t>，并在评标报告中作出详细说明。</w:t>
            </w:r>
            <w:r>
              <w:rPr>
                <w:rFonts w:hint="eastAsia" w:ascii="宋体" w:hAnsi="宋体" w:eastAsia="宋体" w:cs="宋体"/>
                <w:b/>
                <w:bCs/>
                <w:sz w:val="21"/>
                <w:szCs w:val="21"/>
                <w:lang w:val="en-US" w:eastAsia="zh-CN"/>
              </w:rPr>
              <w:t>除能识别投标人情形外</w:t>
            </w:r>
            <w:r>
              <w:rPr>
                <w:rFonts w:hint="eastAsia" w:ascii="宋体" w:hAnsi="宋体" w:eastAsia="宋体" w:cs="宋体"/>
                <w:b/>
                <w:bCs/>
                <w:sz w:val="21"/>
                <w:szCs w:val="21"/>
              </w:rPr>
              <w:t>，不得因暗标格式问题</w:t>
            </w:r>
            <w:r>
              <w:rPr>
                <w:rFonts w:hint="eastAsia" w:ascii="宋体" w:hAnsi="宋体" w:eastAsia="宋体" w:cs="宋体"/>
                <w:b/>
                <w:bCs/>
                <w:sz w:val="21"/>
                <w:szCs w:val="21"/>
                <w:lang w:val="en-US" w:eastAsia="zh-CN"/>
              </w:rPr>
              <w:t>否决其投标</w:t>
            </w:r>
            <w:r>
              <w:rPr>
                <w:rFonts w:hint="eastAsia" w:ascii="宋体" w:hAnsi="宋体" w:eastAsia="宋体" w:cs="宋体"/>
                <w:b/>
                <w:bCs/>
                <w:sz w:val="21"/>
                <w:szCs w:val="21"/>
              </w:rPr>
              <w:t>。</w:t>
            </w:r>
          </w:p>
        </w:tc>
      </w:tr>
    </w:tbl>
    <w:p w14:paraId="02977438">
      <w:pPr>
        <w:keepLines w:val="0"/>
        <w:kinsoku/>
        <w:wordWrap/>
        <w:overflowPunct/>
        <w:topLinePunct w:val="0"/>
        <w:bidi w:val="0"/>
        <w:spacing w:line="360" w:lineRule="exact"/>
        <w:ind w:right="420"/>
        <w:jc w:val="left"/>
        <w:textAlignment w:val="auto"/>
        <w:rPr>
          <w:rFonts w:hint="eastAsia" w:ascii="宋体" w:hAnsi="宋体" w:eastAsia="宋体" w:cs="宋体"/>
          <w:b/>
          <w:sz w:val="21"/>
          <w:szCs w:val="21"/>
        </w:rPr>
      </w:pPr>
    </w:p>
    <w:p w14:paraId="4360F9F3">
      <w:pPr>
        <w:keepNext w:val="0"/>
        <w:keepLines w:val="0"/>
        <w:pageBreakBefore w:val="0"/>
        <w:widowControl w:val="0"/>
        <w:kinsoku/>
        <w:wordWrap/>
        <w:overflowPunct/>
        <w:topLinePunct w:val="0"/>
        <w:autoSpaceDE/>
        <w:autoSpaceDN/>
        <w:bidi w:val="0"/>
        <w:adjustRightInd/>
        <w:snapToGrid/>
        <w:spacing w:line="360" w:lineRule="exact"/>
        <w:ind w:right="420"/>
        <w:jc w:val="left"/>
        <w:textAlignment w:val="auto"/>
        <w:rPr>
          <w:rFonts w:hint="eastAsia" w:ascii="宋体" w:hAnsi="宋体" w:eastAsia="宋体" w:cs="宋体"/>
          <w:b/>
          <w:sz w:val="21"/>
          <w:szCs w:val="21"/>
        </w:rPr>
      </w:pPr>
      <w:r>
        <w:rPr>
          <w:rFonts w:hint="eastAsia" w:ascii="宋体" w:hAnsi="宋体" w:eastAsia="宋体" w:cs="宋体"/>
          <w:b/>
          <w:sz w:val="21"/>
          <w:szCs w:val="21"/>
        </w:rPr>
        <w:t>四、联系方式</w:t>
      </w:r>
    </w:p>
    <w:p w14:paraId="0846365C">
      <w:pPr>
        <w:keepLines w:val="0"/>
        <w:kinsoku/>
        <w:wordWrap/>
        <w:overflowPunct/>
        <w:topLinePunct w:val="0"/>
        <w:bidi w:val="0"/>
        <w:spacing w:line="360" w:lineRule="exact"/>
        <w:ind w:firstLine="420" w:firstLineChars="200"/>
        <w:textAlignment w:val="auto"/>
        <w:rPr>
          <w:rFonts w:hint="eastAsia" w:ascii="宋体" w:hAnsi="宋体" w:eastAsia="宋体" w:cs="宋体"/>
          <w:sz w:val="21"/>
          <w:szCs w:val="21"/>
          <w:lang w:val="en-US"/>
        </w:rPr>
      </w:pPr>
      <w:r>
        <w:rPr>
          <w:rFonts w:hint="eastAsia" w:ascii="宋体" w:hAnsi="宋体" w:eastAsia="宋体" w:cs="宋体"/>
          <w:sz w:val="21"/>
          <w:szCs w:val="21"/>
          <w:lang w:val="zh-CN"/>
        </w:rPr>
        <w:t>招标人：</w:t>
      </w:r>
      <w:r>
        <w:rPr>
          <w:rFonts w:hint="eastAsia" w:ascii="宋体" w:hAnsi="宋体" w:eastAsia="宋体" w:cs="宋体"/>
          <w:sz w:val="21"/>
          <w:szCs w:val="21"/>
          <w:lang w:val="en-US"/>
        </w:rPr>
        <w:t>白山市公路管理处</w:t>
      </w:r>
    </w:p>
    <w:p w14:paraId="3210DF1D">
      <w:pPr>
        <w:keepLines w:val="0"/>
        <w:kinsoku/>
        <w:wordWrap/>
        <w:overflowPunct/>
        <w:topLinePunct w:val="0"/>
        <w:bidi w:val="0"/>
        <w:spacing w:line="360" w:lineRule="exact"/>
        <w:ind w:firstLine="420" w:firstLineChars="200"/>
        <w:textAlignment w:val="auto"/>
        <w:rPr>
          <w:rFonts w:hint="eastAsia" w:ascii="宋体" w:hAnsi="宋体" w:eastAsia="宋体" w:cs="宋体"/>
          <w:sz w:val="21"/>
          <w:szCs w:val="21"/>
          <w:lang w:val="en-US"/>
        </w:rPr>
      </w:pPr>
      <w:r>
        <w:rPr>
          <w:rFonts w:hint="eastAsia" w:ascii="宋体" w:hAnsi="宋体" w:eastAsia="宋体" w:cs="宋体"/>
          <w:sz w:val="21"/>
          <w:szCs w:val="21"/>
          <w:lang w:val="zh-CN"/>
        </w:rPr>
        <w:t>地</w:t>
      </w:r>
      <w:r>
        <w:rPr>
          <w:rFonts w:hint="eastAsia" w:ascii="宋体" w:hAnsi="宋体" w:eastAsia="宋体" w:cs="宋体"/>
          <w:sz w:val="21"/>
          <w:szCs w:val="21"/>
          <w:lang w:val="en-US"/>
        </w:rPr>
        <w:t xml:space="preserve">  </w:t>
      </w:r>
      <w:r>
        <w:rPr>
          <w:rFonts w:hint="eastAsia" w:ascii="宋体" w:hAnsi="宋体" w:eastAsia="宋体" w:cs="宋体"/>
          <w:sz w:val="21"/>
          <w:szCs w:val="21"/>
          <w:lang w:val="zh-CN"/>
        </w:rPr>
        <w:t>址：</w:t>
      </w:r>
      <w:r>
        <w:rPr>
          <w:rFonts w:hint="eastAsia" w:ascii="宋体" w:hAnsi="宋体" w:eastAsia="宋体" w:cs="宋体"/>
          <w:sz w:val="21"/>
          <w:szCs w:val="21"/>
          <w:lang w:val="en-US"/>
        </w:rPr>
        <w:t>吉林省白山市浑江大街</w:t>
      </w:r>
      <w:r>
        <w:rPr>
          <w:rFonts w:hint="eastAsia" w:ascii="宋体" w:hAnsi="宋体" w:eastAsia="宋体" w:cs="宋体"/>
          <w:sz w:val="21"/>
          <w:szCs w:val="21"/>
          <w:lang w:val="en-US" w:eastAsia="zh-CN"/>
        </w:rPr>
        <w:t>1008</w:t>
      </w:r>
      <w:r>
        <w:rPr>
          <w:rFonts w:hint="eastAsia" w:ascii="宋体" w:hAnsi="宋体" w:eastAsia="宋体" w:cs="宋体"/>
          <w:sz w:val="21"/>
          <w:szCs w:val="21"/>
          <w:lang w:val="en-US"/>
        </w:rPr>
        <w:t>号</w:t>
      </w:r>
    </w:p>
    <w:p w14:paraId="00BC0B33">
      <w:pPr>
        <w:keepLines w:val="0"/>
        <w:kinsoku/>
        <w:wordWrap/>
        <w:overflowPunct/>
        <w:topLinePunct w:val="0"/>
        <w:bidi w:val="0"/>
        <w:spacing w:line="360" w:lineRule="exact"/>
        <w:ind w:firstLine="420" w:firstLineChars="200"/>
        <w:textAlignment w:val="auto"/>
        <w:rPr>
          <w:rFonts w:hint="eastAsia" w:ascii="宋体" w:hAnsi="宋体" w:eastAsia="宋体" w:cs="宋体"/>
          <w:sz w:val="21"/>
          <w:szCs w:val="21"/>
          <w:lang w:val="zh-CN"/>
        </w:rPr>
      </w:pPr>
      <w:r>
        <w:rPr>
          <w:rFonts w:hint="eastAsia" w:ascii="宋体" w:hAnsi="宋体" w:eastAsia="宋体" w:cs="宋体"/>
          <w:sz w:val="21"/>
          <w:szCs w:val="21"/>
          <w:lang w:val="zh-CN"/>
        </w:rPr>
        <w:t>联系人：</w:t>
      </w:r>
      <w:r>
        <w:rPr>
          <w:rFonts w:hint="eastAsia" w:ascii="宋体" w:hAnsi="宋体" w:eastAsia="宋体" w:cs="宋体"/>
          <w:sz w:val="21"/>
          <w:szCs w:val="21"/>
          <w:lang w:val="en-US"/>
        </w:rPr>
        <w:t>张喆湧</w:t>
      </w:r>
    </w:p>
    <w:p w14:paraId="219A7D4F">
      <w:pPr>
        <w:keepLines w:val="0"/>
        <w:kinsoku/>
        <w:wordWrap/>
        <w:overflowPunct/>
        <w:topLinePunct w:val="0"/>
        <w:bidi w:val="0"/>
        <w:spacing w:line="360" w:lineRule="exact"/>
        <w:ind w:firstLine="420" w:firstLineChars="200"/>
        <w:textAlignment w:val="auto"/>
        <w:rPr>
          <w:rFonts w:hint="eastAsia" w:ascii="宋体" w:hAnsi="宋体" w:eastAsia="宋体" w:cs="宋体"/>
          <w:sz w:val="21"/>
          <w:szCs w:val="21"/>
          <w:lang w:val="en-US"/>
        </w:rPr>
      </w:pPr>
      <w:r>
        <w:rPr>
          <w:rFonts w:hint="eastAsia" w:ascii="宋体" w:hAnsi="宋体" w:eastAsia="宋体" w:cs="宋体"/>
          <w:sz w:val="21"/>
          <w:szCs w:val="21"/>
          <w:lang w:val="zh-CN"/>
        </w:rPr>
        <w:t>电</w:t>
      </w:r>
      <w:r>
        <w:rPr>
          <w:rFonts w:hint="eastAsia" w:ascii="宋体" w:hAnsi="宋体" w:eastAsia="宋体" w:cs="宋体"/>
          <w:sz w:val="21"/>
          <w:szCs w:val="21"/>
          <w:lang w:val="en-US"/>
        </w:rPr>
        <w:t xml:space="preserve">  </w:t>
      </w:r>
      <w:r>
        <w:rPr>
          <w:rFonts w:hint="eastAsia" w:ascii="宋体" w:hAnsi="宋体" w:eastAsia="宋体" w:cs="宋体"/>
          <w:sz w:val="21"/>
          <w:szCs w:val="21"/>
          <w:lang w:val="zh-CN"/>
        </w:rPr>
        <w:t>话：</w:t>
      </w:r>
      <w:r>
        <w:rPr>
          <w:rFonts w:hint="eastAsia" w:ascii="宋体" w:hAnsi="宋体" w:eastAsia="宋体" w:cs="宋体"/>
          <w:sz w:val="21"/>
          <w:szCs w:val="21"/>
          <w:lang w:val="en-US"/>
        </w:rPr>
        <w:t>0439-3350525</w:t>
      </w:r>
    </w:p>
    <w:p w14:paraId="34D9324E">
      <w:pPr>
        <w:keepLines w:val="0"/>
        <w:tabs>
          <w:tab w:val="left" w:leader="underscore" w:pos="3942"/>
          <w:tab w:val="left" w:leader="underscore" w:pos="7066"/>
        </w:tabs>
        <w:kinsoku/>
        <w:wordWrap/>
        <w:overflowPunct/>
        <w:topLinePunct w:val="0"/>
        <w:bidi w:val="0"/>
        <w:spacing w:line="360" w:lineRule="exact"/>
        <w:ind w:firstLine="426"/>
        <w:textAlignment w:val="auto"/>
        <w:rPr>
          <w:rFonts w:hint="eastAsia" w:ascii="宋体" w:hAnsi="宋体" w:eastAsia="宋体" w:cs="宋体"/>
          <w:sz w:val="21"/>
          <w:szCs w:val="21"/>
        </w:rPr>
      </w:pPr>
      <w:bookmarkStart w:id="18" w:name="_GoBack"/>
      <w:bookmarkEnd w:id="18"/>
    </w:p>
    <w:sectPr>
      <w:footnotePr>
        <w:numFmt w:val="decimalEnclosedCircleChinese"/>
        <w:numRestart w:val="eachPage"/>
      </w:footnotePr>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ngLiU">
    <w:altName w:val="PMingLiU-ExtB"/>
    <w:panose1 w:val="02010609000101010101"/>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PMingLiU">
    <w:altName w:val="Microsoft JhengHei UI"/>
    <w:panose1 w:val="02010601000101010101"/>
    <w:charset w:val="88"/>
    <w:family w:val="roman"/>
    <w:pitch w:val="default"/>
    <w:sig w:usb0="00000000" w:usb1="00000000" w:usb2="00000016" w:usb3="00000000" w:csb0="00100001" w:csb1="00000000"/>
  </w:font>
  <w:font w:name="Microsoft JhengHei UI">
    <w:panose1 w:val="020B0604030504040204"/>
    <w:charset w:val="88"/>
    <w:family w:val="auto"/>
    <w:pitch w:val="default"/>
    <w:sig w:usb0="000002A7" w:usb1="28CF4400" w:usb2="00000016" w:usb3="00000000" w:csb0="00100009" w:csb1="00000000"/>
  </w:font>
  <w:font w:name="BatangChe">
    <w:altName w:val="Malgun Gothic"/>
    <w:panose1 w:val="00000000000000000000"/>
    <w:charset w:val="81"/>
    <w:family w:val="modern"/>
    <w:pitch w:val="default"/>
    <w:sig w:usb0="00000000" w:usb1="00000000" w:usb2="00000030" w:usb3="00000000" w:csb0="0008009F" w:csb1="00000000"/>
  </w:font>
  <w:font w:name="Malgun Gothic">
    <w:panose1 w:val="020B0503020000020004"/>
    <w:charset w:val="81"/>
    <w:family w:val="auto"/>
    <w:pitch w:val="default"/>
    <w:sig w:usb0="9000002F" w:usb1="29D77CFB" w:usb2="00000012" w:usb3="00000000" w:csb0="00080001" w:csb1="00000000"/>
  </w:font>
  <w:font w:name="方正超粗黑简体">
    <w:altName w:val="黑体"/>
    <w:panose1 w:val="03000509000000000000"/>
    <w:charset w:val="86"/>
    <w:family w:val="script"/>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0">
    <w:p>
      <w:r>
        <w:separator/>
      </w:r>
    </w:p>
  </w:footnote>
  <w:footnote w:type="continuationSeparator" w:id="11">
    <w:p>
      <w:r>
        <w:continuationSeparator/>
      </w:r>
    </w:p>
  </w:footnote>
  <w:footnote w:id="0">
    <w:p w14:paraId="460B1A95">
      <w:pPr>
        <w:pStyle w:val="9"/>
      </w:pPr>
      <w:r>
        <w:rPr>
          <w:rStyle w:val="13"/>
        </w:rPr>
        <w:footnoteRef/>
      </w:r>
      <w:r>
        <w:rPr>
          <w:rFonts w:hint="eastAsia"/>
        </w:rPr>
        <w:t>本款规定仅适用于根据《关于发布公路工程从业企业资质名录的通知》（厅公路字[2011]114号）要求，招标人应通过名录对投标人资质条件进行审核的公路施工企业。</w:t>
      </w:r>
    </w:p>
  </w:footnote>
  <w:footnote w:id="1">
    <w:p w14:paraId="0F7AAF14">
      <w:pPr>
        <w:rPr>
          <w:sz w:val="18"/>
          <w:szCs w:val="18"/>
        </w:rPr>
      </w:pPr>
      <w:r>
        <w:rPr>
          <w:rStyle w:val="13"/>
        </w:rPr>
        <w:footnoteRef/>
      </w:r>
      <w:r>
        <w:rPr>
          <w:rFonts w:hint="eastAsia" w:ascii="宋体" w:hAnsi="宋体" w:cs="宋体"/>
          <w:kern w:val="0"/>
          <w:sz w:val="18"/>
          <w:szCs w:val="18"/>
          <w:lang w:val="zh-CN"/>
        </w:rPr>
        <w:t>本表所列人员不得互相兼职。</w:t>
      </w:r>
    </w:p>
  </w:footnote>
  <w:footnote w:id="2">
    <w:p w14:paraId="7C245873">
      <w:pPr>
        <w:pStyle w:val="9"/>
      </w:pPr>
      <w:r>
        <w:rPr>
          <w:rStyle w:val="13"/>
        </w:rPr>
        <w:footnoteRef/>
      </w:r>
      <w:r>
        <w:rPr>
          <w:rFonts w:hint="eastAsia" w:ascii="BatangChe" w:hAnsi="BatangChe"/>
          <w:b w:val="0"/>
          <w:bCs/>
        </w:rPr>
        <w:t>“</w:t>
      </w:r>
      <w:r>
        <w:rPr>
          <w:rFonts w:hint="eastAsia" w:ascii="BatangChe" w:hAnsi="BatangChe"/>
          <w:b w:val="0"/>
          <w:bCs/>
          <w:spacing w:val="-6"/>
        </w:rPr>
        <w:t>投标人自有人员”</w:t>
      </w:r>
      <w:r>
        <w:rPr>
          <w:rFonts w:hint="eastAsia" w:ascii="BatangChe" w:hAnsi="BatangChe"/>
          <w:spacing w:val="-6"/>
        </w:rPr>
        <w:t>指</w:t>
      </w:r>
      <w:r>
        <w:t>社保缴费证明中</w:t>
      </w:r>
      <w:r>
        <w:rPr>
          <w:rFonts w:hint="eastAsia" w:ascii="宋体" w:hAnsi="宋体"/>
        </w:rPr>
        <w:t>缴费单位与投标人名称一致</w:t>
      </w:r>
      <w:r>
        <w:rPr>
          <w:rFonts w:hint="eastAsia" w:ascii="宋体" w:hAnsi="宋体"/>
          <w:lang w:eastAsia="zh-CN"/>
        </w:rPr>
        <w:t>（</w:t>
      </w:r>
      <w:r>
        <w:rPr>
          <w:rFonts w:hint="eastAsia" w:ascii="宋体" w:hAnsi="宋体"/>
          <w:lang w:val="en-US" w:eastAsia="zh-CN"/>
        </w:rPr>
        <w:t>投标人的上级公司、子公司、人力资源服务机构等其他单位缴纳或个人缴纳社会保险均不予认定，分公司缴纳的社会保险可以予以认定</w:t>
      </w:r>
      <w:r>
        <w:rPr>
          <w:rFonts w:hint="eastAsia" w:ascii="宋体" w:hAnsi="宋体"/>
          <w:lang w:eastAsia="zh-CN"/>
        </w:rPr>
        <w:t>）</w:t>
      </w:r>
      <w:r>
        <w:rPr>
          <w:rFonts w:hint="eastAsia" w:ascii="BatangChe" w:hAnsi="BatangChe"/>
          <w:spacing w:val="-6"/>
        </w:rPr>
        <w:t>。</w:t>
      </w:r>
    </w:p>
  </w:footnote>
  <w:footnote w:id="3">
    <w:p w14:paraId="756EA1EF">
      <w:pPr>
        <w:pStyle w:val="9"/>
      </w:pPr>
      <w:r>
        <w:rPr>
          <w:rStyle w:val="13"/>
        </w:rPr>
        <w:footnoteRef/>
      </w:r>
      <w:r>
        <w:rPr>
          <w:rFonts w:hint="eastAsia" w:ascii="宋体" w:hAnsi="宋体" w:cs="宋体"/>
          <w:lang w:val="zh-CN"/>
        </w:rPr>
        <w:t>公路工程相关专业职称包括公路工程、桥梁工程、公路与桥梁工程、交通土建、隧道（地下结构）工程、交通工程等专业职称。如职称证上无专业，则以毕业证上的专业为准。</w:t>
      </w:r>
    </w:p>
  </w:footnote>
  <w:footnote w:id="4">
    <w:p w14:paraId="50A3A82B">
      <w:pPr>
        <w:pStyle w:val="9"/>
        <w:jc w:val="both"/>
        <w:rPr>
          <w:rFonts w:ascii="宋体" w:hAnsi="宋体"/>
        </w:rPr>
      </w:pPr>
      <w:r>
        <w:rPr>
          <w:rStyle w:val="13"/>
        </w:rPr>
        <w:footnoteRef/>
      </w:r>
      <w:r>
        <w:rPr>
          <w:rFonts w:hint="eastAsia" w:ascii="宋体" w:hAnsi="宋体"/>
        </w:rPr>
        <w:t>招标人应根据项目具体情况确定各评分因素及评分因素权重分值，并对各评分因素进行细分（如有）、确定各评分因素细分项的分值，各评分因素权重分值合计应为100分。各评分因素（评标价和</w:t>
      </w:r>
      <w:r>
        <w:rPr>
          <w:rFonts w:ascii="宋体" w:hAnsi="宋体"/>
        </w:rPr>
        <w:t>履约信誉评分项</w:t>
      </w:r>
      <w:r>
        <w:rPr>
          <w:rFonts w:hint="eastAsia" w:ascii="宋体" w:hAnsi="宋体"/>
        </w:rPr>
        <w:t>除外）得分均不应低于其权重分值的60%，且各评分因素得分应以评标委员会各成员的打分平均值确定，</w:t>
      </w:r>
      <w:r>
        <w:rPr>
          <w:rFonts w:ascii="宋体" w:hAnsi="宋体"/>
        </w:rPr>
        <w:t>评</w:t>
      </w:r>
      <w:r>
        <w:rPr>
          <w:rFonts w:hint="eastAsia" w:ascii="宋体" w:hAnsi="宋体"/>
        </w:rPr>
        <w:t>标</w:t>
      </w:r>
      <w:r>
        <w:rPr>
          <w:rFonts w:ascii="宋体" w:hAnsi="宋体"/>
        </w:rPr>
        <w:t>委员会成员总数为七人以上时，该平均值以去掉</w:t>
      </w:r>
      <w:r>
        <w:rPr>
          <w:rFonts w:hint="eastAsia" w:ascii="宋体" w:hAnsi="宋体"/>
        </w:rPr>
        <w:t>一</w:t>
      </w:r>
      <w:r>
        <w:rPr>
          <w:rFonts w:ascii="宋体" w:hAnsi="宋体"/>
        </w:rPr>
        <w:t>个最高分和一个</w:t>
      </w:r>
      <w:r>
        <w:rPr>
          <w:rFonts w:hint="eastAsia" w:ascii="宋体" w:hAnsi="宋体"/>
        </w:rPr>
        <w:t>最</w:t>
      </w:r>
      <w:r>
        <w:rPr>
          <w:rFonts w:ascii="宋体" w:hAnsi="宋体"/>
        </w:rPr>
        <w:t>低分后计</w:t>
      </w:r>
      <w:r>
        <w:rPr>
          <w:rFonts w:hint="eastAsia" w:ascii="宋体" w:hAnsi="宋体"/>
        </w:rPr>
        <w:t>算。评标</w:t>
      </w:r>
      <w:r>
        <w:rPr>
          <w:rFonts w:ascii="宋体" w:hAnsi="宋体"/>
        </w:rPr>
        <w:t>委员会成员对某一项评分因</w:t>
      </w:r>
      <w:r>
        <w:rPr>
          <w:rFonts w:hint="eastAsia" w:ascii="宋体" w:hAnsi="宋体"/>
        </w:rPr>
        <w:t>素</w:t>
      </w:r>
      <w:r>
        <w:rPr>
          <w:rFonts w:ascii="宋体" w:hAnsi="宋体"/>
        </w:rPr>
        <w:t>的评分低于权重分值</w:t>
      </w:r>
      <w:r>
        <w:rPr>
          <w:rFonts w:hint="eastAsia" w:ascii="宋体" w:hAnsi="宋体"/>
        </w:rPr>
        <w:t>60%的，应</w:t>
      </w:r>
      <w:r>
        <w:rPr>
          <w:rFonts w:ascii="宋体" w:hAnsi="宋体"/>
        </w:rPr>
        <w:t>在评</w:t>
      </w:r>
      <w:r>
        <w:rPr>
          <w:rFonts w:hint="eastAsia" w:ascii="宋体" w:hAnsi="宋体"/>
        </w:rPr>
        <w:t>标</w:t>
      </w:r>
      <w:r>
        <w:rPr>
          <w:rFonts w:ascii="宋体" w:hAnsi="宋体"/>
        </w:rPr>
        <w:t>报告中作出说明。</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footnotePr>
    <w:numFmt w:val="decimalEnclosedCircleChinese"/>
    <w:numRestart w:val="eachPage"/>
    <w:footnote w:id="10"/>
    <w:footnote w:id="11"/>
  </w:footnotePr>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TNlNmJhZWI0ZDJmODFjNDMwOTU5MGVmZDE2YzJmMjgifQ=="/>
  </w:docVars>
  <w:rsids>
    <w:rsidRoot w:val="00DE1914"/>
    <w:rsid w:val="00007D0D"/>
    <w:rsid w:val="000C7FFE"/>
    <w:rsid w:val="000D45D8"/>
    <w:rsid w:val="00150308"/>
    <w:rsid w:val="0016649D"/>
    <w:rsid w:val="001C5264"/>
    <w:rsid w:val="001F4B00"/>
    <w:rsid w:val="001F767C"/>
    <w:rsid w:val="00250688"/>
    <w:rsid w:val="002B6B2C"/>
    <w:rsid w:val="00316C16"/>
    <w:rsid w:val="003171A3"/>
    <w:rsid w:val="0037455E"/>
    <w:rsid w:val="003C3184"/>
    <w:rsid w:val="003E1571"/>
    <w:rsid w:val="00530DB1"/>
    <w:rsid w:val="00562C9D"/>
    <w:rsid w:val="005C0428"/>
    <w:rsid w:val="00643E44"/>
    <w:rsid w:val="006A39C9"/>
    <w:rsid w:val="006C28DA"/>
    <w:rsid w:val="0072686E"/>
    <w:rsid w:val="00786838"/>
    <w:rsid w:val="008715DB"/>
    <w:rsid w:val="00873F02"/>
    <w:rsid w:val="008E2951"/>
    <w:rsid w:val="008E6FE1"/>
    <w:rsid w:val="009A086D"/>
    <w:rsid w:val="009B01BC"/>
    <w:rsid w:val="009D3B6D"/>
    <w:rsid w:val="00A73217"/>
    <w:rsid w:val="00AB197A"/>
    <w:rsid w:val="00AB5898"/>
    <w:rsid w:val="00B77B1E"/>
    <w:rsid w:val="00BB6447"/>
    <w:rsid w:val="00BE0105"/>
    <w:rsid w:val="00BF0284"/>
    <w:rsid w:val="00C15CD1"/>
    <w:rsid w:val="00C40C09"/>
    <w:rsid w:val="00CA2765"/>
    <w:rsid w:val="00CA3A18"/>
    <w:rsid w:val="00CC109B"/>
    <w:rsid w:val="00D43D36"/>
    <w:rsid w:val="00D57E3A"/>
    <w:rsid w:val="00DC39DC"/>
    <w:rsid w:val="00DE1914"/>
    <w:rsid w:val="00DF2D8E"/>
    <w:rsid w:val="00E16787"/>
    <w:rsid w:val="00E7408A"/>
    <w:rsid w:val="00EA5385"/>
    <w:rsid w:val="00F641C5"/>
    <w:rsid w:val="00F76FA4"/>
    <w:rsid w:val="00FC5FAE"/>
    <w:rsid w:val="00FD038E"/>
    <w:rsid w:val="00FF554C"/>
    <w:rsid w:val="08470D95"/>
    <w:rsid w:val="0F3F55C1"/>
    <w:rsid w:val="16762FB3"/>
    <w:rsid w:val="2F865256"/>
    <w:rsid w:val="30C46B8E"/>
    <w:rsid w:val="44284300"/>
    <w:rsid w:val="4AF74789"/>
    <w:rsid w:val="613267FE"/>
    <w:rsid w:val="63304E2E"/>
    <w:rsid w:val="6623322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0" w:semiHidden="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qFormat="1"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qFormat/>
    <w:uiPriority w:val="99"/>
    <w:pPr>
      <w:keepNext/>
      <w:keepLines/>
      <w:spacing w:before="260" w:after="260" w:line="416" w:lineRule="auto"/>
      <w:outlineLvl w:val="2"/>
    </w:pPr>
    <w:rPr>
      <w:b/>
      <w:bCs/>
      <w:kern w:val="0"/>
      <w:sz w:val="32"/>
      <w:szCs w:val="32"/>
    </w:rPr>
  </w:style>
  <w:style w:type="character" w:default="1" w:styleId="12">
    <w:name w:val="Default Paragraph Font"/>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3">
    <w:name w:val="Body Text"/>
    <w:basedOn w:val="1"/>
    <w:qFormat/>
    <w:uiPriority w:val="99"/>
    <w:rPr>
      <w:sz w:val="28"/>
      <w:szCs w:val="24"/>
    </w:rPr>
  </w:style>
  <w:style w:type="paragraph" w:styleId="4">
    <w:name w:val="Body Text Indent"/>
    <w:basedOn w:val="1"/>
    <w:next w:val="5"/>
    <w:link w:val="28"/>
    <w:qFormat/>
    <w:uiPriority w:val="99"/>
    <w:pPr>
      <w:ind w:firstLine="1120" w:firstLineChars="400"/>
    </w:pPr>
    <w:rPr>
      <w:rFonts w:ascii="Times New Roman" w:hAnsi="Times New Roman" w:eastAsia="宋体" w:cs="Times New Roman"/>
      <w:sz w:val="28"/>
      <w:szCs w:val="24"/>
    </w:rPr>
  </w:style>
  <w:style w:type="paragraph" w:styleId="5">
    <w:name w:val="Body Text Indent 2"/>
    <w:basedOn w:val="1"/>
    <w:link w:val="29"/>
    <w:semiHidden/>
    <w:unhideWhenUsed/>
    <w:qFormat/>
    <w:uiPriority w:val="99"/>
    <w:pPr>
      <w:spacing w:after="120" w:line="480" w:lineRule="auto"/>
      <w:ind w:left="420" w:leftChars="200"/>
    </w:pPr>
  </w:style>
  <w:style w:type="paragraph" w:styleId="6">
    <w:name w:val="Plain Text"/>
    <w:basedOn w:val="1"/>
    <w:link w:val="30"/>
    <w:qFormat/>
    <w:uiPriority w:val="99"/>
    <w:rPr>
      <w:rFonts w:ascii="宋体" w:hAnsi="Courier New" w:eastAsia="宋体" w:cs="Times New Roman"/>
      <w:szCs w:val="21"/>
    </w:rPr>
  </w:style>
  <w:style w:type="paragraph" w:styleId="7">
    <w:name w:val="footer"/>
    <w:basedOn w:val="1"/>
    <w:link w:val="24"/>
    <w:autoRedefine/>
    <w:unhideWhenUsed/>
    <w:qFormat/>
    <w:uiPriority w:val="99"/>
    <w:pPr>
      <w:tabs>
        <w:tab w:val="center" w:pos="4153"/>
        <w:tab w:val="right" w:pos="8306"/>
      </w:tabs>
      <w:snapToGrid w:val="0"/>
      <w:jc w:val="left"/>
    </w:pPr>
    <w:rPr>
      <w:sz w:val="18"/>
      <w:szCs w:val="18"/>
    </w:rPr>
  </w:style>
  <w:style w:type="paragraph" w:styleId="8">
    <w:name w:val="header"/>
    <w:basedOn w:val="1"/>
    <w:link w:val="23"/>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footnote text"/>
    <w:basedOn w:val="1"/>
    <w:link w:val="16"/>
    <w:autoRedefine/>
    <w:unhideWhenUsed/>
    <w:qFormat/>
    <w:uiPriority w:val="0"/>
    <w:pPr>
      <w:snapToGrid w:val="0"/>
      <w:jc w:val="left"/>
    </w:pPr>
    <w:rPr>
      <w:rFonts w:ascii="Times New Roman" w:hAnsi="Times New Roman" w:eastAsia="宋体" w:cs="Times New Roman"/>
      <w:kern w:val="0"/>
      <w:sz w:val="18"/>
      <w:szCs w:val="18"/>
    </w:rPr>
  </w:style>
  <w:style w:type="paragraph" w:styleId="10">
    <w:name w:val="Body Text First Indent"/>
    <w:basedOn w:val="3"/>
    <w:qFormat/>
    <w:uiPriority w:val="0"/>
    <w:pPr>
      <w:spacing w:line="312" w:lineRule="auto"/>
      <w:ind w:firstLine="420"/>
    </w:pPr>
    <w:rPr>
      <w:rFonts w:ascii="Calibri" w:hAnsi="Calibri"/>
    </w:rPr>
  </w:style>
  <w:style w:type="character" w:styleId="13">
    <w:name w:val="footnote reference"/>
    <w:autoRedefine/>
    <w:qFormat/>
    <w:uiPriority w:val="0"/>
    <w:rPr>
      <w:vertAlign w:val="superscript"/>
    </w:rPr>
  </w:style>
  <w:style w:type="character" w:customStyle="1" w:styleId="14">
    <w:name w:val="其他_"/>
    <w:link w:val="15"/>
    <w:qFormat/>
    <w:uiPriority w:val="0"/>
    <w:rPr>
      <w:rFonts w:ascii="宋体" w:hAnsi="宋体" w:cs="宋体"/>
      <w:shd w:val="clear" w:color="auto" w:fill="FFFFFF"/>
      <w:lang w:val="zh-CN" w:bidi="zh-CN"/>
    </w:rPr>
  </w:style>
  <w:style w:type="paragraph" w:customStyle="1" w:styleId="15">
    <w:name w:val="其他"/>
    <w:basedOn w:val="1"/>
    <w:link w:val="14"/>
    <w:autoRedefine/>
    <w:qFormat/>
    <w:uiPriority w:val="0"/>
    <w:pPr>
      <w:shd w:val="clear" w:color="auto" w:fill="FFFFFF"/>
      <w:spacing w:line="430" w:lineRule="auto"/>
      <w:ind w:firstLine="400"/>
      <w:jc w:val="distribute"/>
    </w:pPr>
    <w:rPr>
      <w:rFonts w:ascii="宋体" w:hAnsi="宋体" w:cs="宋体"/>
      <w:lang w:val="zh-CN" w:bidi="zh-CN"/>
    </w:rPr>
  </w:style>
  <w:style w:type="character" w:customStyle="1" w:styleId="16">
    <w:name w:val="脚注文本 字符"/>
    <w:basedOn w:val="12"/>
    <w:link w:val="9"/>
    <w:qFormat/>
    <w:uiPriority w:val="0"/>
    <w:rPr>
      <w:rFonts w:ascii="Times New Roman" w:hAnsi="Times New Roman" w:eastAsia="宋体" w:cs="Times New Roman"/>
      <w:kern w:val="0"/>
      <w:sz w:val="18"/>
      <w:szCs w:val="18"/>
    </w:rPr>
  </w:style>
  <w:style w:type="character" w:customStyle="1" w:styleId="17">
    <w:name w:val="正文文本 (2)_"/>
    <w:link w:val="18"/>
    <w:autoRedefine/>
    <w:qFormat/>
    <w:uiPriority w:val="0"/>
    <w:rPr>
      <w:rFonts w:ascii="宋体" w:hAnsi="宋体" w:cs="宋体"/>
      <w:sz w:val="22"/>
      <w:shd w:val="clear" w:color="auto" w:fill="FFFFFF"/>
    </w:rPr>
  </w:style>
  <w:style w:type="paragraph" w:customStyle="1" w:styleId="18">
    <w:name w:val="正文文本 (2)"/>
    <w:basedOn w:val="1"/>
    <w:link w:val="17"/>
    <w:autoRedefine/>
    <w:qFormat/>
    <w:uiPriority w:val="0"/>
    <w:pPr>
      <w:shd w:val="clear" w:color="auto" w:fill="FFFFFF"/>
      <w:spacing w:before="300" w:line="439" w:lineRule="exact"/>
      <w:jc w:val="distribute"/>
    </w:pPr>
    <w:rPr>
      <w:rFonts w:ascii="宋体" w:hAnsi="宋体" w:cs="宋体"/>
      <w:sz w:val="22"/>
    </w:rPr>
  </w:style>
  <w:style w:type="paragraph" w:styleId="19">
    <w:name w:val="List Paragraph"/>
    <w:basedOn w:val="1"/>
    <w:qFormat/>
    <w:uiPriority w:val="34"/>
    <w:pPr>
      <w:ind w:firstLine="420" w:firstLineChars="200"/>
    </w:pPr>
    <w:rPr>
      <w:rFonts w:ascii="Times New Roman" w:hAnsi="Times New Roman" w:eastAsia="宋体" w:cs="Times New Roman"/>
    </w:rPr>
  </w:style>
  <w:style w:type="character" w:customStyle="1" w:styleId="20">
    <w:name w:val="正文文本 (2) + 9.5 pt"/>
    <w:qFormat/>
    <w:uiPriority w:val="0"/>
    <w:rPr>
      <w:rFonts w:ascii="MingLiU" w:hAnsi="MingLiU" w:eastAsia="MingLiU" w:cs="MingLiU"/>
      <w:color w:val="000000"/>
      <w:spacing w:val="0"/>
      <w:w w:val="100"/>
      <w:position w:val="0"/>
      <w:sz w:val="19"/>
      <w:szCs w:val="19"/>
      <w:shd w:val="clear" w:color="auto" w:fill="FFFFFF"/>
      <w:lang w:val="zh-TW" w:eastAsia="zh-TW" w:bidi="zh-TW"/>
    </w:rPr>
  </w:style>
  <w:style w:type="character" w:customStyle="1" w:styleId="21">
    <w:name w:val="正文文本 (2) + 10 pt"/>
    <w:autoRedefine/>
    <w:qFormat/>
    <w:uiPriority w:val="0"/>
    <w:rPr>
      <w:rFonts w:ascii="MingLiU" w:hAnsi="MingLiU" w:eastAsia="MingLiU" w:cs="MingLiU"/>
      <w:b/>
      <w:bCs/>
      <w:color w:val="000000"/>
      <w:spacing w:val="0"/>
      <w:w w:val="100"/>
      <w:position w:val="0"/>
      <w:sz w:val="20"/>
      <w:szCs w:val="20"/>
      <w:u w:val="none"/>
      <w:lang w:val="zh-TW" w:eastAsia="zh-TW" w:bidi="zh-TW"/>
    </w:rPr>
  </w:style>
  <w:style w:type="character" w:customStyle="1" w:styleId="22">
    <w:name w:val="正文文本 (2) + 9 pt"/>
    <w:autoRedefine/>
    <w:qFormat/>
    <w:uiPriority w:val="0"/>
    <w:rPr>
      <w:rFonts w:ascii="MingLiU" w:hAnsi="MingLiU" w:eastAsia="MingLiU" w:cs="MingLiU"/>
      <w:color w:val="000000"/>
      <w:spacing w:val="0"/>
      <w:w w:val="100"/>
      <w:position w:val="0"/>
      <w:sz w:val="18"/>
      <w:szCs w:val="18"/>
      <w:u w:val="none"/>
      <w:shd w:val="clear" w:color="auto" w:fill="FFFFFF"/>
      <w:lang w:val="en-US" w:eastAsia="en-US" w:bidi="en-US"/>
    </w:rPr>
  </w:style>
  <w:style w:type="character" w:customStyle="1" w:styleId="23">
    <w:name w:val="页眉 字符"/>
    <w:basedOn w:val="12"/>
    <w:link w:val="8"/>
    <w:qFormat/>
    <w:uiPriority w:val="99"/>
    <w:rPr>
      <w:sz w:val="18"/>
      <w:szCs w:val="18"/>
    </w:rPr>
  </w:style>
  <w:style w:type="character" w:customStyle="1" w:styleId="24">
    <w:name w:val="页脚 字符"/>
    <w:basedOn w:val="12"/>
    <w:link w:val="7"/>
    <w:autoRedefine/>
    <w:qFormat/>
    <w:uiPriority w:val="99"/>
    <w:rPr>
      <w:sz w:val="18"/>
      <w:szCs w:val="18"/>
    </w:rPr>
  </w:style>
  <w:style w:type="paragraph" w:customStyle="1" w:styleId="25">
    <w:name w:val="MSG_EN_FONT_STYLE_NAME_TEMPLATE_ROLE_NUMBER MSG_EN_FONT_STYLE_NAME_BY_ROLE_TEXT 131"/>
    <w:basedOn w:val="1"/>
    <w:link w:val="31"/>
    <w:autoRedefine/>
    <w:qFormat/>
    <w:uiPriority w:val="0"/>
    <w:pPr>
      <w:shd w:val="clear" w:color="auto" w:fill="FFFFFF"/>
      <w:spacing w:before="340" w:after="160" w:line="398" w:lineRule="exact"/>
      <w:jc w:val="distribute"/>
    </w:pPr>
    <w:rPr>
      <w:rFonts w:ascii="PMingLiU" w:hAnsi="PMingLiU" w:eastAsia="PMingLiU" w:cs="PMingLiU"/>
      <w:kern w:val="0"/>
      <w:sz w:val="20"/>
      <w:szCs w:val="20"/>
    </w:rPr>
  </w:style>
  <w:style w:type="character" w:customStyle="1" w:styleId="26">
    <w:name w:val="MSG_EN_FONT_STYLE_NAME_TEMPLATE_ROLE_NUMBER MSG_EN_FONT_STYLE_NAME_BY_ROLE_TEXT 13 + MSG_EN_FONT_STYLE_MODIFER_SIZE 8.5"/>
    <w:autoRedefine/>
    <w:qFormat/>
    <w:uiPriority w:val="0"/>
    <w:rPr>
      <w:rFonts w:ascii="PMingLiU" w:hAnsi="PMingLiU" w:eastAsia="PMingLiU" w:cs="PMingLiU"/>
      <w:color w:val="000000"/>
      <w:spacing w:val="0"/>
      <w:w w:val="100"/>
      <w:position w:val="0"/>
      <w:sz w:val="17"/>
      <w:szCs w:val="17"/>
      <w:u w:val="none"/>
      <w:shd w:val="clear" w:color="auto" w:fill="FFFFFF"/>
      <w:lang w:val="zh-CN" w:eastAsia="zh-CN" w:bidi="zh-CN"/>
    </w:rPr>
  </w:style>
  <w:style w:type="paragraph" w:customStyle="1" w:styleId="27">
    <w:name w:val="MSG_EN_FONT_STYLE_NAME_TEMPLATE_ROLE_NUMBER MSG_EN_FONT_STYLE_NAME_BY_ROLE_TEXT 5"/>
    <w:basedOn w:val="1"/>
    <w:link w:val="32"/>
    <w:autoRedefine/>
    <w:qFormat/>
    <w:uiPriority w:val="0"/>
    <w:pPr>
      <w:shd w:val="clear" w:color="auto" w:fill="FFFFFF"/>
      <w:spacing w:before="5120" w:line="170" w:lineRule="exact"/>
      <w:jc w:val="left"/>
    </w:pPr>
    <w:rPr>
      <w:rFonts w:ascii="PMingLiU" w:hAnsi="PMingLiU" w:eastAsia="PMingLiU" w:cs="PMingLiU"/>
      <w:kern w:val="0"/>
      <w:sz w:val="17"/>
      <w:szCs w:val="17"/>
    </w:rPr>
  </w:style>
  <w:style w:type="character" w:customStyle="1" w:styleId="28">
    <w:name w:val="正文文本缩进 字符"/>
    <w:basedOn w:val="12"/>
    <w:link w:val="4"/>
    <w:qFormat/>
    <w:uiPriority w:val="99"/>
    <w:rPr>
      <w:rFonts w:ascii="Times New Roman" w:hAnsi="Times New Roman" w:eastAsia="宋体" w:cs="Times New Roman"/>
      <w:kern w:val="2"/>
      <w:sz w:val="28"/>
      <w:szCs w:val="24"/>
    </w:rPr>
  </w:style>
  <w:style w:type="character" w:customStyle="1" w:styleId="29">
    <w:name w:val="正文文本缩进 2 字符"/>
    <w:basedOn w:val="12"/>
    <w:link w:val="5"/>
    <w:semiHidden/>
    <w:qFormat/>
    <w:uiPriority w:val="99"/>
    <w:rPr>
      <w:kern w:val="2"/>
      <w:sz w:val="21"/>
      <w:szCs w:val="22"/>
    </w:rPr>
  </w:style>
  <w:style w:type="character" w:customStyle="1" w:styleId="30">
    <w:name w:val="纯文本 字符"/>
    <w:basedOn w:val="12"/>
    <w:link w:val="6"/>
    <w:qFormat/>
    <w:uiPriority w:val="99"/>
    <w:rPr>
      <w:rFonts w:ascii="宋体" w:hAnsi="Courier New" w:eastAsia="宋体" w:cs="Times New Roman"/>
      <w:kern w:val="2"/>
      <w:sz w:val="21"/>
      <w:szCs w:val="21"/>
    </w:rPr>
  </w:style>
  <w:style w:type="character" w:customStyle="1" w:styleId="31">
    <w:name w:val="MSG_EN_FONT_STYLE_NAME_TEMPLATE_ROLE_NUMBER MSG_EN_FONT_STYLE_NAME_BY_ROLE_TEXT 13_"/>
    <w:link w:val="25"/>
    <w:qFormat/>
    <w:uiPriority w:val="0"/>
    <w:rPr>
      <w:rFonts w:ascii="PMingLiU" w:hAnsi="PMingLiU" w:eastAsia="PMingLiU" w:cs="PMingLiU"/>
      <w:shd w:val="clear" w:color="auto" w:fill="FFFFFF"/>
    </w:rPr>
  </w:style>
  <w:style w:type="character" w:customStyle="1" w:styleId="32">
    <w:name w:val="MSG_EN_FONT_STYLE_NAME_TEMPLATE_ROLE_NUMBER MSG_EN_FONT_STYLE_NAME_BY_ROLE_TEXT 5_"/>
    <w:link w:val="27"/>
    <w:qFormat/>
    <w:uiPriority w:val="0"/>
    <w:rPr>
      <w:rFonts w:ascii="PMingLiU" w:hAnsi="PMingLiU" w:eastAsia="PMingLiU" w:cs="PMingLiU"/>
      <w:sz w:val="17"/>
      <w:szCs w:val="17"/>
      <w:shd w:val="clear" w:color="auto" w:fill="FFFFFF"/>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5D1415-EB3F-4E4B-8E9A-7202B2D1D162}">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8</Pages>
  <Words>5462</Words>
  <Characters>5836</Characters>
  <Lines>39</Lines>
  <Paragraphs>11</Paragraphs>
  <TotalTime>0</TotalTime>
  <ScaleCrop>false</ScaleCrop>
  <LinksUpToDate>false</LinksUpToDate>
  <CharactersWithSpaces>5856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2021-08-02T04:08:00Z</dcterms:created>
  <dc:creator>微软用户</dc:creator>
  <cp:lastModifiedBy>ASUS</cp:lastModifiedBy>
  <dcterms:modified xsi:type="dcterms:W3CDTF">2026-09-16T02:25:12Z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97B25FE1A566477186C8543FFB10435D_12</vt:lpwstr>
  </property>
  <property fmtid="{D5CDD505-2E9C-101B-9397-08002B2CF9AE}" pid="4" name="KSOTemplateDocerSaveRecord">
    <vt:lpwstr>eyJoZGlkIjoiZWEyZGQyZDIxYjdjNzVlYjVkM2EyZTg3MWQ0M2U4ODUiLCJ1c2VySWQiOiI0MzE5OTkyMDAifQ==</vt:lpwstr>
  </property>
</Properties>
</file>