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557019">
      <w:pPr>
        <w:keepLines w:val="0"/>
        <w:kinsoku/>
        <w:wordWrap/>
        <w:overflowPunct/>
        <w:topLinePunct w:val="0"/>
        <w:bidi w:val="0"/>
        <w:spacing w:line="360" w:lineRule="exact"/>
        <w:jc w:val="center"/>
        <w:textAlignment w:val="auto"/>
        <w:rPr>
          <w:rFonts w:hint="eastAsia" w:ascii="宋体" w:hAnsi="宋体" w:eastAsia="宋体" w:cs="宋体"/>
          <w:b/>
          <w:sz w:val="21"/>
          <w:szCs w:val="21"/>
          <w:highlight w:val="none"/>
          <w:lang w:val="en-US" w:eastAsia="zh-CN"/>
        </w:rPr>
      </w:pPr>
      <w:bookmarkStart w:id="0" w:name="_Hlk141166984"/>
      <w:r>
        <w:rPr>
          <w:rFonts w:hint="eastAsia" w:ascii="宋体" w:hAnsi="宋体" w:eastAsia="宋体" w:cs="宋体"/>
          <w:b/>
          <w:sz w:val="21"/>
          <w:szCs w:val="21"/>
          <w:highlight w:val="none"/>
          <w:lang w:val="en-US" w:eastAsia="zh-CN"/>
        </w:rPr>
        <w:t>白山市2026年G201国道鹤大公路南甸子至汤河口段路面提质工程施工监理</w:t>
      </w:r>
    </w:p>
    <w:p w14:paraId="7DCFC9BD">
      <w:pPr>
        <w:keepLines w:val="0"/>
        <w:kinsoku/>
        <w:wordWrap/>
        <w:overflowPunct/>
        <w:topLinePunct w:val="0"/>
        <w:bidi w:val="0"/>
        <w:spacing w:line="360" w:lineRule="exact"/>
        <w:jc w:val="center"/>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lang w:eastAsia="zh-CN"/>
        </w:rPr>
        <w:t>招标</w:t>
      </w:r>
      <w:bookmarkEnd w:id="0"/>
      <w:r>
        <w:rPr>
          <w:rFonts w:hint="eastAsia" w:ascii="宋体" w:hAnsi="宋体" w:eastAsia="宋体" w:cs="宋体"/>
          <w:b/>
          <w:sz w:val="21"/>
          <w:szCs w:val="21"/>
          <w:highlight w:val="none"/>
        </w:rPr>
        <w:t>文件公开内容</w:t>
      </w:r>
    </w:p>
    <w:p w14:paraId="5BFA3234">
      <w:pPr>
        <w:keepLines w:val="0"/>
        <w:tabs>
          <w:tab w:val="center" w:pos="4819"/>
        </w:tabs>
        <w:kinsoku/>
        <w:wordWrap/>
        <w:overflowPunct/>
        <w:topLinePunct w:val="0"/>
        <w:bidi w:val="0"/>
        <w:spacing w:line="360" w:lineRule="exac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一、项目概况与招标范围</w:t>
      </w:r>
      <w:r>
        <w:rPr>
          <w:rFonts w:hint="eastAsia" w:ascii="宋体" w:hAnsi="宋体" w:eastAsia="宋体" w:cs="宋体"/>
          <w:b/>
          <w:sz w:val="21"/>
          <w:szCs w:val="21"/>
          <w:highlight w:val="none"/>
        </w:rPr>
        <w:tab/>
      </w:r>
    </w:p>
    <w:p w14:paraId="2864CD02">
      <w:pPr>
        <w:keepLines w:val="0"/>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详见招标公告</w:t>
      </w:r>
    </w:p>
    <w:p w14:paraId="3E199095">
      <w:pPr>
        <w:keepLines w:val="0"/>
        <w:kinsoku/>
        <w:wordWrap/>
        <w:overflowPunct/>
        <w:topLinePunct w:val="0"/>
        <w:bidi w:val="0"/>
        <w:spacing w:line="360" w:lineRule="exac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二、投标人资格要求</w:t>
      </w:r>
    </w:p>
    <w:p w14:paraId="75CC6936">
      <w:pPr>
        <w:keepLines w:val="0"/>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投标人须知前附表（投标人资格要求部分）</w:t>
      </w:r>
    </w:p>
    <w:tbl>
      <w:tblPr>
        <w:tblStyle w:val="11"/>
        <w:tblW w:w="9475" w:type="dxa"/>
        <w:jc w:val="center"/>
        <w:tblLayout w:type="fixed"/>
        <w:tblCellMar>
          <w:top w:w="0" w:type="dxa"/>
          <w:left w:w="28" w:type="dxa"/>
          <w:bottom w:w="0" w:type="dxa"/>
          <w:right w:w="28" w:type="dxa"/>
        </w:tblCellMar>
      </w:tblPr>
      <w:tblGrid>
        <w:gridCol w:w="953"/>
        <w:gridCol w:w="2006"/>
        <w:gridCol w:w="6516"/>
      </w:tblGrid>
      <w:tr w14:paraId="50334ED8">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3DED2897">
            <w:pPr>
              <w:keepLines w:val="0"/>
              <w:kinsoku/>
              <w:wordWrap/>
              <w:overflowPunct/>
              <w:topLinePunct w:val="0"/>
              <w:bidi w:val="0"/>
              <w:adjustRightInd w:val="0"/>
              <w:snapToGrid w:val="0"/>
              <w:spacing w:before="100" w:beforeAutospacing="1" w:after="100" w:afterAutospacing="1"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条款号</w:t>
            </w:r>
          </w:p>
        </w:tc>
        <w:tc>
          <w:tcPr>
            <w:tcW w:w="2006" w:type="dxa"/>
            <w:tcBorders>
              <w:top w:val="single" w:color="000000" w:sz="4" w:space="0"/>
              <w:left w:val="single" w:color="000000" w:sz="4" w:space="0"/>
              <w:bottom w:val="single" w:color="000000" w:sz="4" w:space="0"/>
              <w:right w:val="single" w:color="000000" w:sz="4" w:space="0"/>
            </w:tcBorders>
            <w:vAlign w:val="center"/>
          </w:tcPr>
          <w:p w14:paraId="4E3AF8F4">
            <w:pPr>
              <w:keepLines w:val="0"/>
              <w:kinsoku/>
              <w:wordWrap/>
              <w:overflowPunct/>
              <w:topLinePunct w:val="0"/>
              <w:bidi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条款名称</w:t>
            </w:r>
          </w:p>
        </w:tc>
        <w:tc>
          <w:tcPr>
            <w:tcW w:w="6516" w:type="dxa"/>
            <w:tcBorders>
              <w:top w:val="single" w:color="000000" w:sz="4" w:space="0"/>
              <w:left w:val="single" w:color="000000" w:sz="4" w:space="0"/>
              <w:bottom w:val="single" w:color="000000" w:sz="4" w:space="0"/>
              <w:right w:val="single" w:color="auto" w:sz="12" w:space="0"/>
            </w:tcBorders>
            <w:vAlign w:val="center"/>
          </w:tcPr>
          <w:p w14:paraId="476D8926">
            <w:pPr>
              <w:keepLines w:val="0"/>
              <w:kinsoku/>
              <w:wordWrap/>
              <w:overflowPunct/>
              <w:topLinePunct w:val="0"/>
              <w:bidi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编列内容</w:t>
            </w:r>
          </w:p>
        </w:tc>
      </w:tr>
      <w:tr w14:paraId="2CA833FA">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5B649EB7">
            <w:pPr>
              <w:keepLines w:val="0"/>
              <w:pageBreakBefore w:val="0"/>
              <w:kinsoku/>
              <w:wordWrap/>
              <w:overflowPunct/>
              <w:topLinePunct w:val="0"/>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rPr>
              <w:t>1.4.1</w:t>
            </w:r>
          </w:p>
        </w:tc>
        <w:tc>
          <w:tcPr>
            <w:tcW w:w="2006" w:type="dxa"/>
            <w:tcBorders>
              <w:top w:val="single" w:color="000000" w:sz="4" w:space="0"/>
              <w:left w:val="single" w:color="000000" w:sz="4" w:space="0"/>
              <w:bottom w:val="single" w:color="000000" w:sz="4" w:space="0"/>
              <w:right w:val="single" w:color="000000" w:sz="4" w:space="0"/>
            </w:tcBorders>
            <w:vAlign w:val="center"/>
          </w:tcPr>
          <w:p w14:paraId="2350332F">
            <w:pPr>
              <w:keepLines w:val="0"/>
              <w:pageBreakBefore w:val="0"/>
              <w:kinsoku/>
              <w:wordWrap/>
              <w:overflowPunct/>
              <w:topLinePunct w:val="0"/>
              <w:bidi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投标人资质条件、</w:t>
            </w:r>
          </w:p>
          <w:p w14:paraId="392AD103">
            <w:pPr>
              <w:keepLines w:val="0"/>
              <w:pageBreakBefore w:val="0"/>
              <w:kinsoku/>
              <w:wordWrap/>
              <w:overflowPunct/>
              <w:topLinePunct w:val="0"/>
              <w:bidi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能力和信誉</w:t>
            </w:r>
          </w:p>
        </w:tc>
        <w:tc>
          <w:tcPr>
            <w:tcW w:w="6516" w:type="dxa"/>
            <w:tcBorders>
              <w:top w:val="single" w:color="000000" w:sz="4" w:space="0"/>
              <w:left w:val="single" w:color="000000" w:sz="4" w:space="0"/>
              <w:bottom w:val="single" w:color="000000" w:sz="4" w:space="0"/>
              <w:right w:val="single" w:color="auto" w:sz="12" w:space="0"/>
            </w:tcBorders>
            <w:vAlign w:val="center"/>
          </w:tcPr>
          <w:p w14:paraId="3B956576">
            <w:pPr>
              <w:keepLines w:val="0"/>
              <w:pageBreakBefore w:val="0"/>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资质</w:t>
            </w:r>
            <w:r>
              <w:rPr>
                <w:rFonts w:hint="eastAsia" w:ascii="宋体" w:hAnsi="宋体" w:eastAsia="宋体" w:cs="宋体"/>
                <w:sz w:val="21"/>
                <w:szCs w:val="21"/>
                <w:highlight w:val="none"/>
                <w:lang w:val="en-US" w:eastAsia="zh-CN"/>
              </w:rPr>
              <w:t>要求</w:t>
            </w:r>
            <w:r>
              <w:rPr>
                <w:rFonts w:hint="eastAsia" w:ascii="宋体" w:hAnsi="宋体" w:eastAsia="宋体" w:cs="宋体"/>
                <w:sz w:val="21"/>
                <w:szCs w:val="21"/>
                <w:highlight w:val="none"/>
              </w:rPr>
              <w:t>：见附录1</w:t>
            </w:r>
          </w:p>
          <w:p w14:paraId="35468660">
            <w:pPr>
              <w:keepLines w:val="0"/>
              <w:pageBreakBefore w:val="0"/>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业绩要求：见附录2</w:t>
            </w:r>
          </w:p>
          <w:p w14:paraId="4EC1021C">
            <w:pPr>
              <w:keepLines w:val="0"/>
              <w:pageBreakBefore w:val="0"/>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信誉要求：见附录3</w:t>
            </w:r>
          </w:p>
          <w:p w14:paraId="0D4F43AA">
            <w:pPr>
              <w:keepLines w:val="0"/>
              <w:pageBreakBefore w:val="0"/>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总监理工程师资格：见附录4</w:t>
            </w:r>
          </w:p>
          <w:p w14:paraId="0E908333">
            <w:pPr>
              <w:keepLines w:val="0"/>
              <w:pageBreakBefore w:val="0"/>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其他要求：无</w:t>
            </w:r>
          </w:p>
        </w:tc>
      </w:tr>
      <w:tr w14:paraId="62D62B33">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4BDEBA49">
            <w:pPr>
              <w:keepLines w:val="0"/>
              <w:pageBreakBefore w:val="0"/>
              <w:kinsoku/>
              <w:wordWrap/>
              <w:overflowPunct/>
              <w:topLinePunct w:val="0"/>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rPr>
              <w:t>1.4.2</w:t>
            </w:r>
          </w:p>
        </w:tc>
        <w:tc>
          <w:tcPr>
            <w:tcW w:w="2006" w:type="dxa"/>
            <w:tcBorders>
              <w:top w:val="single" w:color="000000" w:sz="4" w:space="0"/>
              <w:left w:val="single" w:color="000000" w:sz="4" w:space="0"/>
              <w:bottom w:val="single" w:color="000000" w:sz="4" w:space="0"/>
              <w:right w:val="single" w:color="000000" w:sz="4" w:space="0"/>
            </w:tcBorders>
            <w:vAlign w:val="center"/>
          </w:tcPr>
          <w:p w14:paraId="3A9D72C3">
            <w:pPr>
              <w:keepLines w:val="0"/>
              <w:pageBreakBefore w:val="0"/>
              <w:kinsoku/>
              <w:wordWrap/>
              <w:overflowPunct/>
              <w:topLinePunct w:val="0"/>
              <w:bidi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rPr>
              <w:t>是否接受联合体投标</w:t>
            </w:r>
          </w:p>
        </w:tc>
        <w:tc>
          <w:tcPr>
            <w:tcW w:w="6516" w:type="dxa"/>
            <w:tcBorders>
              <w:top w:val="single" w:color="000000" w:sz="4" w:space="0"/>
              <w:left w:val="single" w:color="000000" w:sz="4" w:space="0"/>
              <w:bottom w:val="single" w:color="000000" w:sz="4" w:space="0"/>
              <w:right w:val="single" w:color="auto" w:sz="12" w:space="0"/>
            </w:tcBorders>
            <w:vAlign w:val="center"/>
          </w:tcPr>
          <w:p w14:paraId="323DFBD8">
            <w:pPr>
              <w:keepLines w:val="0"/>
              <w:pageBreakBefore w:val="0"/>
              <w:kinsoku/>
              <w:wordWrap/>
              <w:overflowPunct/>
              <w:topLinePunct w:val="0"/>
              <w:bidi w:val="0"/>
              <w:spacing w:line="360" w:lineRule="exact"/>
              <w:textAlignment w:val="auto"/>
              <w:rPr>
                <w:rFonts w:hint="eastAsia" w:ascii="宋体" w:hAnsi="宋体" w:eastAsia="宋体" w:cs="宋体"/>
                <w:sz w:val="21"/>
                <w:szCs w:val="21"/>
              </w:rPr>
            </w:pPr>
            <w:r>
              <w:rPr>
                <w:rFonts w:hint="eastAsia" w:ascii="宋体" w:hAnsi="宋体" w:eastAsia="宋体" w:cs="宋体"/>
                <w:sz w:val="21"/>
                <w:szCs w:val="21"/>
              </w:rPr>
              <w:t>□不接受</w:t>
            </w:r>
          </w:p>
          <w:p w14:paraId="464BE492">
            <w:pPr>
              <w:keepLines w:val="0"/>
              <w:pageBreakBefore w:val="0"/>
              <w:widowControl/>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kern w:val="0"/>
                <w:sz w:val="21"/>
                <w:szCs w:val="21"/>
                <w:lang w:val="zh-CN"/>
              </w:rPr>
              <w:fldChar w:fldCharType="begin"/>
            </w:r>
            <w:r>
              <w:rPr>
                <w:rFonts w:hint="eastAsia" w:ascii="宋体" w:hAnsi="宋体" w:eastAsia="宋体" w:cs="宋体"/>
                <w:kern w:val="0"/>
                <w:sz w:val="21"/>
                <w:szCs w:val="21"/>
                <w:lang w:val="zh-CN"/>
              </w:rPr>
              <w:instrText xml:space="preserve"> eq \o\ac(</w:instrText>
            </w:r>
            <w:r>
              <w:rPr>
                <w:rFonts w:hint="eastAsia" w:ascii="宋体" w:hAnsi="宋体" w:eastAsia="宋体" w:cs="宋体"/>
                <w:kern w:val="0"/>
                <w:position w:val="-4"/>
                <w:sz w:val="31"/>
                <w:szCs w:val="21"/>
                <w:lang w:val="zh-CN"/>
              </w:rPr>
              <w:instrText xml:space="preserve">□</w:instrText>
            </w:r>
            <w:r>
              <w:rPr>
                <w:rFonts w:hint="eastAsia" w:ascii="宋体" w:hAnsi="宋体" w:eastAsia="宋体" w:cs="宋体"/>
                <w:kern w:val="0"/>
                <w:position w:val="0"/>
                <w:sz w:val="21"/>
                <w:szCs w:val="21"/>
                <w:lang w:val="zh-CN"/>
              </w:rPr>
              <w:instrText xml:space="preserve">,√)</w:instrText>
            </w:r>
            <w:r>
              <w:rPr>
                <w:rFonts w:hint="eastAsia" w:ascii="宋体" w:hAnsi="宋体" w:eastAsia="宋体" w:cs="宋体"/>
                <w:kern w:val="0"/>
                <w:sz w:val="21"/>
                <w:szCs w:val="21"/>
                <w:lang w:val="zh-CN"/>
              </w:rPr>
              <w:fldChar w:fldCharType="end"/>
            </w:r>
            <w:r>
              <w:rPr>
                <w:rFonts w:hint="eastAsia" w:ascii="宋体" w:hAnsi="宋体" w:eastAsia="宋体" w:cs="宋体"/>
                <w:sz w:val="21"/>
                <w:szCs w:val="21"/>
              </w:rPr>
              <w:t>接受，联合体投标的，应满足下列要求：见第一章招标公告</w:t>
            </w:r>
          </w:p>
        </w:tc>
      </w:tr>
      <w:tr w14:paraId="29727569">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4D443B6A">
            <w:pPr>
              <w:keepLines w:val="0"/>
              <w:pageBreakBefore w:val="0"/>
              <w:kinsoku/>
              <w:wordWrap/>
              <w:overflowPunct/>
              <w:topLinePunct w:val="0"/>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rPr>
              <w:t>1.4.3</w:t>
            </w:r>
          </w:p>
        </w:tc>
        <w:tc>
          <w:tcPr>
            <w:tcW w:w="2006" w:type="dxa"/>
            <w:tcBorders>
              <w:top w:val="single" w:color="000000" w:sz="4" w:space="0"/>
              <w:left w:val="single" w:color="000000" w:sz="4" w:space="0"/>
              <w:bottom w:val="single" w:color="000000" w:sz="4" w:space="0"/>
              <w:right w:val="single" w:color="000000" w:sz="4" w:space="0"/>
            </w:tcBorders>
            <w:vAlign w:val="center"/>
          </w:tcPr>
          <w:p w14:paraId="4A9EE2C3">
            <w:pPr>
              <w:pStyle w:val="15"/>
              <w:keepNext/>
              <w:keepLines w:val="0"/>
              <w:pageBreakBefore w:val="0"/>
              <w:shd w:val="clear" w:color="auto" w:fill="auto"/>
              <w:kinsoku/>
              <w:wordWrap/>
              <w:overflowPunct/>
              <w:topLinePunct w:val="0"/>
              <w:bidi w:val="0"/>
              <w:spacing w:line="360" w:lineRule="exact"/>
              <w:ind w:firstLine="0"/>
              <w:jc w:val="center"/>
              <w:textAlignment w:val="auto"/>
              <w:rPr>
                <w:rFonts w:hint="eastAsia" w:ascii="宋体" w:hAnsi="宋体" w:eastAsia="宋体" w:cs="宋体"/>
                <w:kern w:val="2"/>
                <w:sz w:val="21"/>
                <w:szCs w:val="21"/>
                <w:lang w:val="en-US" w:bidi="ar-SA"/>
              </w:rPr>
            </w:pPr>
            <w:r>
              <w:rPr>
                <w:rFonts w:hint="eastAsia" w:ascii="宋体" w:hAnsi="宋体" w:eastAsia="宋体" w:cs="宋体"/>
                <w:kern w:val="2"/>
                <w:sz w:val="21"/>
                <w:szCs w:val="21"/>
                <w:lang w:val="en-US" w:bidi="ar-SA"/>
              </w:rPr>
              <w:t>投标人不得存在的</w:t>
            </w:r>
          </w:p>
          <w:p w14:paraId="6962146B">
            <w:pPr>
              <w:keepLines w:val="0"/>
              <w:pageBreakBefore w:val="0"/>
              <w:kinsoku/>
              <w:wordWrap/>
              <w:overflowPunct/>
              <w:topLinePunct w:val="0"/>
              <w:bidi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rPr>
              <w:t>其他关联情形</w:t>
            </w:r>
          </w:p>
        </w:tc>
        <w:tc>
          <w:tcPr>
            <w:tcW w:w="6516" w:type="dxa"/>
            <w:tcBorders>
              <w:top w:val="single" w:color="000000" w:sz="4" w:space="0"/>
              <w:left w:val="single" w:color="000000" w:sz="4" w:space="0"/>
              <w:bottom w:val="single" w:color="000000" w:sz="4" w:space="0"/>
              <w:right w:val="single" w:color="auto" w:sz="12" w:space="0"/>
            </w:tcBorders>
            <w:vAlign w:val="center"/>
          </w:tcPr>
          <w:p w14:paraId="5676DFBF">
            <w:pPr>
              <w:keepLines w:val="0"/>
              <w:pageBreakBefore w:val="0"/>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kern w:val="0"/>
                <w:sz w:val="21"/>
                <w:szCs w:val="21"/>
                <w:lang w:val="zh-CN"/>
              </w:rPr>
              <w:t>/</w:t>
            </w:r>
          </w:p>
        </w:tc>
      </w:tr>
      <w:tr w14:paraId="3EB1FBDB">
        <w:tblPrEx>
          <w:tblCellMar>
            <w:top w:w="0" w:type="dxa"/>
            <w:left w:w="28" w:type="dxa"/>
            <w:bottom w:w="0" w:type="dxa"/>
            <w:right w:w="28" w:type="dxa"/>
          </w:tblCellMar>
        </w:tblPrEx>
        <w:trPr>
          <w:trHeight w:val="567" w:hRule="atLeast"/>
          <w:jc w:val="center"/>
        </w:trPr>
        <w:tc>
          <w:tcPr>
            <w:tcW w:w="953" w:type="dxa"/>
            <w:tcBorders>
              <w:top w:val="single" w:color="000000" w:sz="4" w:space="0"/>
              <w:left w:val="single" w:color="auto" w:sz="12" w:space="0"/>
              <w:bottom w:val="single" w:color="000000" w:sz="4" w:space="0"/>
              <w:right w:val="single" w:color="000000" w:sz="4" w:space="0"/>
            </w:tcBorders>
            <w:vAlign w:val="center"/>
          </w:tcPr>
          <w:p w14:paraId="270EFA83">
            <w:pPr>
              <w:keepLines w:val="0"/>
              <w:pageBreakBefore w:val="0"/>
              <w:kinsoku/>
              <w:wordWrap/>
              <w:overflowPunct/>
              <w:topLinePunct w:val="0"/>
              <w:bidi w:val="0"/>
              <w:adjustRightInd w:val="0"/>
              <w:snapToGrid w:val="0"/>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rPr>
              <w:t>1.4.4</w:t>
            </w:r>
          </w:p>
        </w:tc>
        <w:tc>
          <w:tcPr>
            <w:tcW w:w="2006" w:type="dxa"/>
            <w:tcBorders>
              <w:top w:val="single" w:color="000000" w:sz="4" w:space="0"/>
              <w:left w:val="single" w:color="000000" w:sz="4" w:space="0"/>
              <w:bottom w:val="single" w:color="000000" w:sz="4" w:space="0"/>
              <w:right w:val="single" w:color="000000" w:sz="4" w:space="0"/>
            </w:tcBorders>
            <w:vAlign w:val="center"/>
          </w:tcPr>
          <w:p w14:paraId="43112B72">
            <w:pPr>
              <w:pStyle w:val="15"/>
              <w:keepNext/>
              <w:keepLines w:val="0"/>
              <w:pageBreakBefore w:val="0"/>
              <w:shd w:val="clear" w:color="auto" w:fill="auto"/>
              <w:kinsoku/>
              <w:wordWrap/>
              <w:overflowPunct/>
              <w:topLinePunct w:val="0"/>
              <w:bidi w:val="0"/>
              <w:spacing w:line="360" w:lineRule="exact"/>
              <w:ind w:firstLine="0"/>
              <w:jc w:val="center"/>
              <w:textAlignment w:val="auto"/>
              <w:rPr>
                <w:rFonts w:hint="eastAsia" w:ascii="宋体" w:hAnsi="宋体" w:eastAsia="宋体" w:cs="宋体"/>
                <w:kern w:val="2"/>
                <w:sz w:val="21"/>
                <w:szCs w:val="21"/>
                <w:lang w:val="en-US" w:bidi="ar-SA"/>
              </w:rPr>
            </w:pPr>
            <w:r>
              <w:rPr>
                <w:rFonts w:hint="eastAsia" w:ascii="宋体" w:hAnsi="宋体" w:eastAsia="宋体" w:cs="宋体"/>
                <w:kern w:val="2"/>
                <w:sz w:val="21"/>
                <w:szCs w:val="21"/>
                <w:lang w:val="en-US" w:bidi="ar-SA"/>
              </w:rPr>
              <w:t>投标人不得存在的</w:t>
            </w:r>
          </w:p>
          <w:p w14:paraId="237F4ECF">
            <w:pPr>
              <w:pStyle w:val="15"/>
              <w:keepNext/>
              <w:keepLines w:val="0"/>
              <w:pageBreakBefore w:val="0"/>
              <w:shd w:val="clear" w:color="auto" w:fill="auto"/>
              <w:kinsoku/>
              <w:wordWrap/>
              <w:overflowPunct/>
              <w:topLinePunct w:val="0"/>
              <w:bidi w:val="0"/>
              <w:spacing w:line="360" w:lineRule="exact"/>
              <w:ind w:firstLine="0" w:firstLineChars="0"/>
              <w:jc w:val="center"/>
              <w:textAlignment w:val="auto"/>
              <w:rPr>
                <w:rFonts w:hint="eastAsia" w:ascii="宋体" w:hAnsi="宋体" w:eastAsia="宋体" w:cs="宋体"/>
                <w:sz w:val="21"/>
                <w:szCs w:val="21"/>
                <w:highlight w:val="none"/>
                <w:lang w:val="en-US" w:bidi="ar-SA"/>
              </w:rPr>
            </w:pPr>
            <w:r>
              <w:rPr>
                <w:rFonts w:hint="eastAsia" w:ascii="宋体" w:hAnsi="宋体" w:eastAsia="宋体" w:cs="宋体"/>
                <w:kern w:val="2"/>
                <w:sz w:val="21"/>
                <w:szCs w:val="21"/>
                <w:lang w:val="en-US" w:bidi="ar-SA"/>
              </w:rPr>
              <w:t>其他不良状况或不良信用记录</w:t>
            </w:r>
          </w:p>
        </w:tc>
        <w:tc>
          <w:tcPr>
            <w:tcW w:w="6516" w:type="dxa"/>
            <w:tcBorders>
              <w:top w:val="single" w:color="000000" w:sz="4" w:space="0"/>
              <w:left w:val="single" w:color="000000" w:sz="4" w:space="0"/>
              <w:bottom w:val="single" w:color="000000" w:sz="4" w:space="0"/>
              <w:right w:val="single" w:color="auto" w:sz="12" w:space="0"/>
            </w:tcBorders>
            <w:vAlign w:val="center"/>
          </w:tcPr>
          <w:p w14:paraId="3CA5C637">
            <w:pPr>
              <w:keepLines w:val="0"/>
              <w:pageBreakBefore w:val="0"/>
              <w:kinsoku/>
              <w:wordWrap/>
              <w:overflowPunct/>
              <w:topLinePunct w:val="0"/>
              <w:bidi w:val="0"/>
              <w:spacing w:line="360" w:lineRule="exact"/>
              <w:textAlignment w:val="auto"/>
              <w:rPr>
                <w:rFonts w:hint="eastAsia" w:ascii="宋体" w:hAnsi="宋体" w:eastAsia="宋体" w:cs="宋体"/>
                <w:sz w:val="21"/>
                <w:szCs w:val="21"/>
                <w:highlight w:val="none"/>
              </w:rPr>
            </w:pPr>
            <w:r>
              <w:rPr>
                <w:rFonts w:hint="eastAsia" w:ascii="宋体" w:hAnsi="宋体" w:eastAsia="宋体" w:cs="宋体"/>
                <w:kern w:val="0"/>
                <w:sz w:val="21"/>
                <w:szCs w:val="21"/>
                <w:lang w:val="zh-CN"/>
              </w:rPr>
              <w:t>/</w:t>
            </w:r>
          </w:p>
        </w:tc>
      </w:tr>
    </w:tbl>
    <w:p w14:paraId="75FEE100">
      <w:pPr>
        <w:keepLines w:val="0"/>
        <w:kinsoku/>
        <w:wordWrap/>
        <w:overflowPunct/>
        <w:topLinePunct w:val="0"/>
        <w:bidi w:val="0"/>
        <w:spacing w:line="360" w:lineRule="exact"/>
        <w:textAlignment w:val="auto"/>
        <w:rPr>
          <w:rFonts w:hint="eastAsia" w:ascii="宋体" w:hAnsi="宋体" w:eastAsia="宋体" w:cs="宋体"/>
          <w:b w:val="0"/>
          <w:bCs w:val="0"/>
          <w:color w:val="auto"/>
          <w:sz w:val="21"/>
          <w:szCs w:val="21"/>
          <w:highlight w:val="none"/>
        </w:rPr>
      </w:pPr>
      <w:bookmarkStart w:id="1" w:name="_Toc6800"/>
      <w:r>
        <w:rPr>
          <w:rFonts w:hint="eastAsia" w:ascii="宋体" w:hAnsi="宋体" w:eastAsia="宋体" w:cs="宋体"/>
          <w:b w:val="0"/>
          <w:bCs w:val="0"/>
          <w:color w:val="auto"/>
          <w:sz w:val="21"/>
          <w:szCs w:val="21"/>
          <w:highlight w:val="none"/>
        </w:rPr>
        <w:t>1.4投标人资格要求（适用于未进行资格预审的）</w:t>
      </w:r>
    </w:p>
    <w:p w14:paraId="3FB28FE5">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1.4.1投标人应具备承担本标段施工监理的资质条件、能力和信誉。</w:t>
      </w:r>
    </w:p>
    <w:p w14:paraId="1A01532D">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(l）资质要求：见投标人须知前附表；</w:t>
      </w:r>
    </w:p>
    <w:p w14:paraId="63C07AF8">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(2）业绩要求：见投标人须知前附表；</w:t>
      </w:r>
    </w:p>
    <w:p w14:paraId="1625934C">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(3）信誉要求：见投标人须知前附表；</w:t>
      </w:r>
    </w:p>
    <w:p w14:paraId="07DDCA75">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(4）总监理工程师资格：见投标人须知前附表</w:t>
      </w:r>
      <w:r>
        <w:rPr>
          <w:rFonts w:hint="eastAsia" w:ascii="宋体" w:hAnsi="宋体" w:eastAsia="宋体" w:cs="宋体"/>
          <w:color w:val="auto"/>
          <w:sz w:val="21"/>
          <w:szCs w:val="21"/>
          <w:highlight w:val="none"/>
          <w:lang w:eastAsia="zh-CN"/>
        </w:rPr>
        <w:t>；</w:t>
      </w:r>
    </w:p>
    <w:p w14:paraId="5F2F941F">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(5）其他要求：见投标人须知前附表。</w:t>
      </w:r>
    </w:p>
    <w:p w14:paraId="64B00675">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需要提交的相关证明材料见本章第3.5款的规定。</w:t>
      </w:r>
    </w:p>
    <w:p w14:paraId="6F39B780">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1.4.2投标人须知前附表规定接受联合体投标的，联合体除应符合本章第1.4.1项和投标人须知前附表的要求外，还应遵守以下规定：</w:t>
      </w:r>
    </w:p>
    <w:p w14:paraId="2F0653C6">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(1）联合体各方应按招标文件提供的格式签订联合体协议书，明确联合体牵头人和各方权利义务，并承诺就中标项目向招标人承担连带责任；</w:t>
      </w:r>
    </w:p>
    <w:p w14:paraId="2F9EDD22">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(2）由同一专业的单位组成的联合体，按照资质等级较低的单位确定资质等级；</w:t>
      </w:r>
    </w:p>
    <w:p w14:paraId="12635B65">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(3）联合体各方不得再以自己名义单独或参加其他联合体在同一标段中投标；</w:t>
      </w:r>
    </w:p>
    <w:p w14:paraId="27B4D2AA">
      <w:pPr>
        <w:keepLines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联合体各方应分别按照本招标文件的要求，填写投标文件中的相应表格，并由联合体牵头人负责对联合体各成员的资料进行统一汇总后一并提交给招标人；联合体牵头人所提交的投标文件应认为已代表了联合体各成员的真实情况；</w:t>
      </w:r>
    </w:p>
    <w:p w14:paraId="7F1CCF22">
      <w:pPr>
        <w:keepLines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（5）尽管委任了联合体牵头人，但联合体各成员在投标、签订合同与履行合同过程中，仍负有连带的和各自的法律责任。</w:t>
      </w:r>
    </w:p>
    <w:p w14:paraId="73630965">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1.4.3投标人（包括联合体各成员）不得与本标段相关单位存在下列关联</w:t>
      </w:r>
      <w:r>
        <w:rPr>
          <w:rFonts w:hint="eastAsia" w:ascii="宋体" w:hAnsi="宋体" w:eastAsia="宋体" w:cs="宋体"/>
          <w:color w:val="auto"/>
          <w:sz w:val="21"/>
          <w:szCs w:val="21"/>
          <w:highlight w:val="none"/>
          <w:lang w:val="en-US" w:eastAsia="zh-CN"/>
        </w:rPr>
        <w:t>情形</w:t>
      </w:r>
      <w:r>
        <w:rPr>
          <w:rFonts w:hint="eastAsia" w:ascii="宋体" w:hAnsi="宋体" w:eastAsia="宋体" w:cs="宋体"/>
          <w:color w:val="auto"/>
          <w:sz w:val="21"/>
          <w:szCs w:val="21"/>
          <w:highlight w:val="none"/>
        </w:rPr>
        <w:t>：</w:t>
      </w:r>
    </w:p>
    <w:p w14:paraId="6C6D9194">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(l）为招标人不具有独立法人资格的附属机构（单位）；</w:t>
      </w:r>
    </w:p>
    <w:p w14:paraId="07634964">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(2）与招标人存在利害关系且可能影响招标公正性；</w:t>
      </w:r>
    </w:p>
    <w:p w14:paraId="17ECC24B">
      <w:pPr>
        <w:keepLines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（3）与本标段的其他投标人同为一个单位负责人；</w:t>
      </w:r>
    </w:p>
    <w:p w14:paraId="5AE827F9">
      <w:pPr>
        <w:keepLines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（4）与本标段的其他投标人存在控股、管理关系；</w:t>
      </w:r>
    </w:p>
    <w:p w14:paraId="7A0F477E">
      <w:pPr>
        <w:keepLines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（5）为本标段的代建人；</w:t>
      </w:r>
    </w:p>
    <w:p w14:paraId="63F22DB6">
      <w:pPr>
        <w:keepLines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（6）为本标段的招标代理机构；</w:t>
      </w:r>
    </w:p>
    <w:p w14:paraId="6CB10F9A">
      <w:pPr>
        <w:keepLines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（7）与本标段的代建人或招标代理机构同为一个法定代表人；</w:t>
      </w:r>
    </w:p>
    <w:p w14:paraId="3D23B264">
      <w:pPr>
        <w:keepLines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（8）与本标段的代建人或招标代理机构存在控股或参股关系；</w:t>
      </w:r>
    </w:p>
    <w:p w14:paraId="4CC66FA4">
      <w:pPr>
        <w:keepLines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（9）与本标段对应工程的施工承包人以及建筑材料、建筑构配件和设备供应商有隶属关系或其他利害关系；</w:t>
      </w:r>
    </w:p>
    <w:p w14:paraId="59EC8490">
      <w:pPr>
        <w:keepLines w:val="0"/>
        <w:kinsoku/>
        <w:wordWrap/>
        <w:overflowPunct/>
        <w:topLinePunct w:val="0"/>
        <w:bidi w:val="0"/>
        <w:spacing w:line="360" w:lineRule="exact"/>
        <w:ind w:firstLine="315" w:firstLineChars="15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（10）法律法规或投标人须知前附表规定的其他情形。</w:t>
      </w:r>
    </w:p>
    <w:p w14:paraId="237C41BE">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1.4.4投标人（包括联合体各成员）不得存在下列不良状况或不良信用记录：</w:t>
      </w:r>
    </w:p>
    <w:p w14:paraId="41B2AAA2">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（1）被省级及以上交通运输主管部门取消招标项目所在地的投标资格且处于有效期内；</w:t>
      </w:r>
    </w:p>
    <w:p w14:paraId="690E4F6C">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（2）被责令停业，暂扣或吊销执照，或吊销资质证书；</w:t>
      </w:r>
    </w:p>
    <w:p w14:paraId="1D720D9C">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（3）进入清算程序，或被宣告破产，或其他丧失履约能力的情形；</w:t>
      </w:r>
    </w:p>
    <w:p w14:paraId="1F74A208">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（4）在国家企业信用信息公示系统（http://www.gsxt.gov.cn/）中被列入严重违法失信企业名单；</w:t>
      </w:r>
    </w:p>
    <w:p w14:paraId="2CAEED95">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（5）在“信用中国”网站（http://www.creditchina.gov.cn/）中被列入失信被执行人名单；</w:t>
      </w:r>
    </w:p>
    <w:p w14:paraId="7E44751A">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（6）投标人或其法定代表人、拟委任的总监理工程师在近三年内有行贿犯罪行为的；</w:t>
      </w:r>
    </w:p>
    <w:p w14:paraId="0AE5953F">
      <w:pPr>
        <w:keepLines w:val="0"/>
        <w:kinsoku/>
        <w:wordWrap/>
        <w:overflowPunct/>
        <w:topLinePunct w:val="0"/>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（7）法律法规或投标人须知前附表规定的其他情形。</w:t>
      </w:r>
    </w:p>
    <w:p w14:paraId="245F5011">
      <w:pPr>
        <w:keepLines w:val="0"/>
        <w:kinsoku/>
        <w:wordWrap/>
        <w:overflowPunct/>
        <w:topLinePunct w:val="0"/>
        <w:bidi w:val="0"/>
        <w:spacing w:line="36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1.4.5投标人（包括联合体各成员）应进入交通运输部“全国公路建设市场监督管理系统（https://hwdms.mot.gov.cn</w:t>
      </w:r>
      <w:r>
        <w:rPr>
          <w:rFonts w:hint="eastAsia" w:ascii="宋体" w:hAnsi="宋体" w:eastAsia="宋体" w:cs="宋体"/>
          <w:color w:val="auto"/>
          <w:sz w:val="21"/>
          <w:szCs w:val="21"/>
          <w:highlight w:val="none"/>
          <w:lang w:eastAsia="en-US"/>
        </w:rPr>
        <w:t>)</w:t>
      </w:r>
      <w:r>
        <w:rPr>
          <w:rFonts w:hint="eastAsia" w:ascii="宋体" w:hAnsi="宋体" w:eastAsia="宋体" w:cs="宋体"/>
          <w:color w:val="auto"/>
          <w:sz w:val="21"/>
          <w:szCs w:val="21"/>
          <w:highlight w:val="none"/>
        </w:rPr>
        <w:t>”中的公路工程施工监理资质企业名录，且投标人名称和资质与该名录中的相应企业名称和资质完全一致。投标人不满足本项规定条件的，将被否决投标。</w:t>
      </w:r>
      <w:r>
        <w:rPr>
          <w:rStyle w:val="13"/>
          <w:rFonts w:hint="eastAsia" w:ascii="宋体" w:hAnsi="宋体" w:eastAsia="宋体" w:cs="宋体"/>
          <w:color w:val="auto"/>
          <w:sz w:val="21"/>
          <w:szCs w:val="21"/>
          <w:highlight w:val="none"/>
        </w:rPr>
        <w:footnoteReference w:id="0"/>
      </w:r>
    </w:p>
    <w:p w14:paraId="30F12B2F">
      <w:pPr>
        <w:keepLines w:val="0"/>
        <w:kinsoku/>
        <w:wordWrap/>
        <w:overflowPunct/>
        <w:topLinePunct w:val="0"/>
        <w:bidi w:val="0"/>
        <w:spacing w:line="360" w:lineRule="exact"/>
        <w:ind w:firstLine="420" w:firstLineChars="200"/>
        <w:textAlignment w:val="auto"/>
        <w:rPr>
          <w:rFonts w:hint="eastAsia" w:ascii="宋体" w:hAnsi="宋体" w:eastAsia="宋体" w:cs="宋体"/>
          <w:sz w:val="21"/>
          <w:szCs w:val="21"/>
          <w:highlight w:val="none"/>
        </w:rPr>
      </w:pPr>
    </w:p>
    <w:bookmarkEnd w:id="1"/>
    <w:p w14:paraId="5583AE06">
      <w:pPr>
        <w:rPr>
          <w:rFonts w:hint="eastAsia" w:ascii="宋体" w:hAnsi="宋体" w:eastAsia="宋体" w:cs="宋体"/>
          <w:b/>
          <w:sz w:val="21"/>
          <w:szCs w:val="21"/>
        </w:rPr>
      </w:pPr>
      <w:bookmarkStart w:id="2" w:name="_Toc22249"/>
      <w:r>
        <w:rPr>
          <w:rFonts w:hint="eastAsia" w:ascii="宋体" w:hAnsi="宋体" w:eastAsia="宋体" w:cs="宋体"/>
          <w:b/>
          <w:sz w:val="21"/>
          <w:szCs w:val="21"/>
        </w:rPr>
        <w:br w:type="page"/>
      </w:r>
    </w:p>
    <w:p w14:paraId="3F46BE18">
      <w:pPr>
        <w:keepLines w:val="0"/>
        <w:kinsoku/>
        <w:wordWrap/>
        <w:overflowPunct/>
        <w:topLinePunct w:val="0"/>
        <w:bidi w:val="0"/>
        <w:spacing w:before="312" w:beforeLines="100" w:line="360" w:lineRule="exact"/>
        <w:jc w:val="center"/>
        <w:outlineLvl w:val="1"/>
        <w:rPr>
          <w:rFonts w:hint="eastAsia" w:ascii="宋体" w:hAnsi="宋体" w:eastAsia="宋体" w:cs="宋体"/>
          <w:b/>
          <w:sz w:val="21"/>
          <w:szCs w:val="21"/>
        </w:rPr>
      </w:pPr>
      <w:r>
        <w:rPr>
          <w:rFonts w:hint="eastAsia" w:ascii="宋体" w:hAnsi="宋体" w:eastAsia="宋体" w:cs="宋体"/>
          <w:b/>
          <w:sz w:val="21"/>
          <w:szCs w:val="21"/>
        </w:rPr>
        <w:t>附录1资格审查条件（资质最低要求）</w:t>
      </w:r>
      <w:bookmarkEnd w:id="2"/>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8278"/>
      </w:tblGrid>
      <w:tr w14:paraId="4A911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38" w:type="dxa"/>
            <w:tcBorders>
              <w:top w:val="single" w:color="auto" w:sz="12" w:space="0"/>
              <w:left w:val="single" w:color="auto" w:sz="12" w:space="0"/>
            </w:tcBorders>
            <w:vAlign w:val="center"/>
          </w:tcPr>
          <w:p w14:paraId="17F76454">
            <w:pPr>
              <w:keepLines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标段</w:t>
            </w:r>
          </w:p>
        </w:tc>
        <w:tc>
          <w:tcPr>
            <w:tcW w:w="8278" w:type="dxa"/>
            <w:tcBorders>
              <w:top w:val="single" w:color="auto" w:sz="12" w:space="0"/>
              <w:right w:val="single" w:color="auto" w:sz="12" w:space="0"/>
            </w:tcBorders>
            <w:vAlign w:val="center"/>
          </w:tcPr>
          <w:p w14:paraId="08D0BA8B">
            <w:pPr>
              <w:keepLines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监理企业资质等级要求</w:t>
            </w:r>
          </w:p>
        </w:tc>
      </w:tr>
      <w:tr w14:paraId="5B5A5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1238" w:type="dxa"/>
            <w:tcBorders>
              <w:left w:val="single" w:color="auto" w:sz="12" w:space="0"/>
              <w:bottom w:val="single" w:color="auto" w:sz="12" w:space="0"/>
            </w:tcBorders>
            <w:vAlign w:val="center"/>
          </w:tcPr>
          <w:p w14:paraId="3B92B7A6">
            <w:pPr>
              <w:pStyle w:val="6"/>
              <w:keepLines w:val="0"/>
              <w:kinsoku/>
              <w:wordWrap/>
              <w:overflowPunct/>
              <w:topLinePunct w:val="0"/>
              <w:bidi w:val="0"/>
              <w:spacing w:line="360" w:lineRule="exact"/>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BS</w:t>
            </w:r>
            <w:r>
              <w:rPr>
                <w:rFonts w:hint="eastAsia" w:ascii="宋体" w:hAnsi="宋体" w:eastAsia="宋体" w:cs="宋体"/>
                <w:sz w:val="21"/>
                <w:szCs w:val="21"/>
              </w:rPr>
              <w:t>2</w:t>
            </w:r>
            <w:r>
              <w:rPr>
                <w:rFonts w:hint="eastAsia" w:ascii="宋体" w:hAnsi="宋体" w:eastAsia="宋体" w:cs="宋体"/>
                <w:sz w:val="21"/>
                <w:szCs w:val="21"/>
                <w:lang w:val="en-US" w:eastAsia="zh-CN"/>
              </w:rPr>
              <w:t>6</w:t>
            </w:r>
            <w:r>
              <w:rPr>
                <w:rFonts w:hint="eastAsia" w:ascii="宋体" w:hAnsi="宋体" w:eastAsia="宋体" w:cs="宋体"/>
                <w:sz w:val="21"/>
                <w:szCs w:val="21"/>
              </w:rPr>
              <w:t>JL0</w:t>
            </w:r>
            <w:r>
              <w:rPr>
                <w:rFonts w:hint="eastAsia" w:ascii="宋体" w:hAnsi="宋体" w:eastAsia="宋体" w:cs="宋体"/>
                <w:sz w:val="21"/>
                <w:szCs w:val="21"/>
                <w:lang w:val="en-US" w:eastAsia="zh-CN"/>
              </w:rPr>
              <w:t>2</w:t>
            </w:r>
          </w:p>
        </w:tc>
        <w:tc>
          <w:tcPr>
            <w:tcW w:w="8278" w:type="dxa"/>
            <w:tcBorders>
              <w:bottom w:val="single" w:color="auto" w:sz="12" w:space="0"/>
              <w:right w:val="single" w:color="auto" w:sz="12" w:space="0"/>
            </w:tcBorders>
            <w:vAlign w:val="center"/>
          </w:tcPr>
          <w:p w14:paraId="6E5BCB93">
            <w:pPr>
              <w:keepLines w:val="0"/>
              <w:kinsoku/>
              <w:wordWrap/>
              <w:overflowPunct/>
              <w:topLinePunct w:val="0"/>
              <w:bidi w:val="0"/>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（1）具备交通运输主管部门</w:t>
            </w:r>
            <w:r>
              <w:rPr>
                <w:rFonts w:hint="eastAsia" w:ascii="宋体" w:hAnsi="宋体" w:eastAsia="宋体" w:cs="宋体"/>
                <w:color w:val="auto"/>
                <w:sz w:val="21"/>
                <w:szCs w:val="21"/>
                <w:highlight w:val="none"/>
                <w:lang w:val="en-US" w:eastAsia="zh-CN"/>
              </w:rPr>
              <w:t>颁发</w:t>
            </w:r>
            <w:r>
              <w:rPr>
                <w:rFonts w:hint="eastAsia" w:ascii="宋体" w:hAnsi="宋体" w:eastAsia="宋体" w:cs="宋体"/>
                <w:color w:val="auto"/>
                <w:sz w:val="21"/>
                <w:szCs w:val="21"/>
                <w:highlight w:val="none"/>
              </w:rPr>
              <w:t>的公路工程监理企业甲级或乙级资质；</w:t>
            </w:r>
          </w:p>
          <w:p w14:paraId="3BFF7DD6">
            <w:pPr>
              <w:keepLines w:val="0"/>
              <w:kinsoku/>
              <w:wordWrap/>
              <w:overflowPunct/>
              <w:topLinePunct w:val="0"/>
              <w:bidi w:val="0"/>
              <w:spacing w:line="360" w:lineRule="exact"/>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）具备（或其下属非独立法人机构具备）交通运输主管部门</w:t>
            </w:r>
            <w:r>
              <w:rPr>
                <w:rFonts w:hint="eastAsia" w:ascii="宋体" w:hAnsi="宋体" w:eastAsia="宋体" w:cs="宋体"/>
                <w:color w:val="auto"/>
                <w:sz w:val="21"/>
                <w:szCs w:val="21"/>
                <w:highlight w:val="none"/>
                <w:lang w:val="en-US" w:eastAsia="zh-CN"/>
              </w:rPr>
              <w:t>颁发</w:t>
            </w:r>
            <w:r>
              <w:rPr>
                <w:rFonts w:hint="eastAsia" w:ascii="宋体" w:hAnsi="宋体" w:eastAsia="宋体" w:cs="宋体"/>
                <w:color w:val="auto"/>
                <w:sz w:val="21"/>
                <w:szCs w:val="21"/>
                <w:highlight w:val="none"/>
                <w:lang w:eastAsia="zh-CN"/>
              </w:rPr>
              <w:t>的公路</w:t>
            </w:r>
            <w:r>
              <w:rPr>
                <w:rFonts w:hint="eastAsia" w:ascii="宋体" w:hAnsi="宋体" w:eastAsia="宋体" w:cs="宋体"/>
                <w:color w:val="auto"/>
                <w:sz w:val="21"/>
                <w:szCs w:val="21"/>
                <w:highlight w:val="none"/>
                <w:lang w:val="en-US" w:eastAsia="zh-CN"/>
              </w:rPr>
              <w:t>水运</w:t>
            </w:r>
            <w:r>
              <w:rPr>
                <w:rFonts w:hint="eastAsia" w:ascii="宋体" w:hAnsi="宋体" w:eastAsia="宋体" w:cs="宋体"/>
                <w:color w:val="auto"/>
                <w:sz w:val="21"/>
                <w:szCs w:val="21"/>
                <w:highlight w:val="none"/>
                <w:lang w:eastAsia="zh-CN"/>
              </w:rPr>
              <w:t>工程质量检测机构</w:t>
            </w:r>
            <w:r>
              <w:rPr>
                <w:rFonts w:hint="eastAsia" w:ascii="宋体" w:hAnsi="宋体" w:eastAsia="宋体" w:cs="宋体"/>
                <w:color w:val="auto"/>
                <w:sz w:val="21"/>
                <w:szCs w:val="21"/>
                <w:highlight w:val="none"/>
                <w:lang w:val="en-US" w:eastAsia="zh-CN"/>
              </w:rPr>
              <w:t>公路工程专业</w:t>
            </w:r>
            <w:r>
              <w:rPr>
                <w:rFonts w:hint="eastAsia" w:ascii="宋体" w:hAnsi="宋体" w:eastAsia="宋体" w:cs="宋体"/>
                <w:color w:val="auto"/>
                <w:sz w:val="21"/>
                <w:szCs w:val="21"/>
                <w:highlight w:val="none"/>
                <w:lang w:eastAsia="zh-CN"/>
              </w:rPr>
              <w:t>甲级或乙级资质。</w:t>
            </w:r>
          </w:p>
        </w:tc>
      </w:tr>
    </w:tbl>
    <w:p w14:paraId="3368D0E6">
      <w:pPr>
        <w:keepLines w:val="0"/>
        <w:kinsoku/>
        <w:wordWrap/>
        <w:overflowPunct/>
        <w:topLinePunct w:val="0"/>
        <w:bidi w:val="0"/>
        <w:spacing w:before="312" w:beforeLines="100" w:line="360" w:lineRule="exact"/>
        <w:jc w:val="center"/>
        <w:outlineLvl w:val="1"/>
        <w:rPr>
          <w:rFonts w:hint="eastAsia" w:ascii="宋体" w:hAnsi="宋体" w:eastAsia="宋体" w:cs="宋体"/>
          <w:b/>
          <w:sz w:val="21"/>
          <w:szCs w:val="21"/>
        </w:rPr>
      </w:pPr>
      <w:bookmarkStart w:id="3" w:name="_Toc9304"/>
      <w:r>
        <w:rPr>
          <w:rFonts w:hint="eastAsia" w:ascii="宋体" w:hAnsi="宋体" w:eastAsia="宋体" w:cs="宋体"/>
          <w:b/>
          <w:sz w:val="21"/>
          <w:szCs w:val="21"/>
        </w:rPr>
        <w:t>附录2资格审查条件（业绩最低要求）</w:t>
      </w:r>
      <w:bookmarkEnd w:id="3"/>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1"/>
      </w:tblGrid>
      <w:tr w14:paraId="0E539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21" w:type="dxa"/>
            <w:tcBorders>
              <w:top w:val="single" w:color="auto" w:sz="12" w:space="0"/>
              <w:left w:val="single" w:color="auto" w:sz="12" w:space="0"/>
              <w:right w:val="single" w:color="auto" w:sz="12" w:space="0"/>
            </w:tcBorders>
            <w:vAlign w:val="center"/>
          </w:tcPr>
          <w:p w14:paraId="701C7223">
            <w:pPr>
              <w:keepLines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业绩要求</w:t>
            </w:r>
          </w:p>
        </w:tc>
      </w:tr>
      <w:tr w14:paraId="39B3A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21" w:type="dxa"/>
            <w:tcBorders>
              <w:left w:val="single" w:color="auto" w:sz="12" w:space="0"/>
              <w:bottom w:val="single" w:color="auto" w:sz="12" w:space="0"/>
              <w:right w:val="single" w:color="auto" w:sz="12" w:space="0"/>
            </w:tcBorders>
            <w:vAlign w:val="center"/>
          </w:tcPr>
          <w:p w14:paraId="7BDBC8CF">
            <w:pPr>
              <w:keepLines w:val="0"/>
              <w:kinsoku/>
              <w:wordWrap/>
              <w:overflowPunct/>
              <w:topLinePunct w:val="0"/>
              <w:bidi w:val="0"/>
              <w:spacing w:line="360" w:lineRule="exact"/>
              <w:rPr>
                <w:rFonts w:hint="eastAsia" w:ascii="宋体" w:hAnsi="宋体" w:eastAsia="宋体" w:cs="宋体"/>
                <w:sz w:val="21"/>
                <w:szCs w:val="21"/>
              </w:rPr>
            </w:pPr>
            <w:r>
              <w:rPr>
                <w:rFonts w:hint="eastAsia" w:ascii="宋体" w:hAnsi="宋体" w:eastAsia="宋体" w:cs="宋体"/>
                <w:sz w:val="21"/>
                <w:szCs w:val="21"/>
              </w:rPr>
              <w:t>无</w:t>
            </w:r>
          </w:p>
        </w:tc>
      </w:tr>
    </w:tbl>
    <w:p w14:paraId="3BA5EA76">
      <w:pPr>
        <w:keepLines w:val="0"/>
        <w:kinsoku/>
        <w:wordWrap/>
        <w:overflowPunct/>
        <w:topLinePunct w:val="0"/>
        <w:bidi w:val="0"/>
        <w:spacing w:before="312" w:beforeLines="100" w:line="360" w:lineRule="exact"/>
        <w:jc w:val="center"/>
        <w:outlineLvl w:val="1"/>
        <w:rPr>
          <w:rFonts w:hint="eastAsia" w:ascii="宋体" w:hAnsi="宋体" w:eastAsia="宋体" w:cs="宋体"/>
          <w:b/>
          <w:sz w:val="21"/>
          <w:szCs w:val="21"/>
        </w:rPr>
      </w:pPr>
      <w:bookmarkStart w:id="4" w:name="_Toc3637"/>
      <w:r>
        <w:rPr>
          <w:rFonts w:hint="eastAsia" w:ascii="宋体" w:hAnsi="宋体" w:eastAsia="宋体" w:cs="宋体"/>
          <w:b/>
          <w:sz w:val="21"/>
          <w:szCs w:val="21"/>
        </w:rPr>
        <w:t>附录3资格审查条件（信誉最低要求）</w:t>
      </w:r>
      <w:bookmarkEnd w:id="4"/>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40"/>
      </w:tblGrid>
      <w:tr w14:paraId="64C40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40" w:type="dxa"/>
            <w:tcBorders>
              <w:top w:val="single" w:color="auto" w:sz="12" w:space="0"/>
              <w:left w:val="single" w:color="auto" w:sz="12" w:space="0"/>
              <w:right w:val="single" w:color="auto" w:sz="12" w:space="0"/>
            </w:tcBorders>
            <w:vAlign w:val="center"/>
          </w:tcPr>
          <w:p w14:paraId="67207F64">
            <w:pPr>
              <w:keepLines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信誉要求</w:t>
            </w:r>
          </w:p>
        </w:tc>
      </w:tr>
      <w:tr w14:paraId="23590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540" w:type="dxa"/>
            <w:tcBorders>
              <w:left w:val="single" w:color="auto" w:sz="12" w:space="0"/>
              <w:bottom w:val="single" w:color="auto" w:sz="12" w:space="0"/>
              <w:right w:val="single" w:color="auto" w:sz="12" w:space="0"/>
            </w:tcBorders>
            <w:vAlign w:val="center"/>
          </w:tcPr>
          <w:p w14:paraId="4F4BA07F">
            <w:pPr>
              <w:keepLines w:val="0"/>
              <w:kinsoku/>
              <w:wordWrap/>
              <w:overflowPunct/>
              <w:topLinePunct w:val="0"/>
              <w:bidi w:val="0"/>
              <w:spacing w:line="360" w:lineRule="exact"/>
              <w:jc w:val="left"/>
              <w:rPr>
                <w:rFonts w:hint="eastAsia" w:ascii="宋体" w:hAnsi="宋体" w:eastAsia="宋体" w:cs="宋体"/>
                <w:sz w:val="21"/>
                <w:szCs w:val="21"/>
              </w:rPr>
            </w:pPr>
            <w:r>
              <w:rPr>
                <w:rFonts w:hint="eastAsia" w:ascii="宋体" w:hAnsi="宋体" w:eastAsia="宋体" w:cs="宋体"/>
                <w:sz w:val="21"/>
                <w:szCs w:val="21"/>
              </w:rPr>
              <w:t>无</w:t>
            </w:r>
          </w:p>
        </w:tc>
      </w:tr>
    </w:tbl>
    <w:p w14:paraId="29F556C0">
      <w:pPr>
        <w:keepLines w:val="0"/>
        <w:kinsoku/>
        <w:wordWrap/>
        <w:overflowPunct/>
        <w:topLinePunct w:val="0"/>
        <w:bidi w:val="0"/>
        <w:spacing w:before="312" w:beforeLines="100" w:line="360" w:lineRule="exact"/>
        <w:jc w:val="center"/>
        <w:outlineLvl w:val="1"/>
        <w:rPr>
          <w:rFonts w:hint="eastAsia" w:ascii="宋体" w:hAnsi="宋体" w:eastAsia="宋体" w:cs="宋体"/>
          <w:b/>
          <w:sz w:val="21"/>
          <w:szCs w:val="21"/>
        </w:rPr>
      </w:pPr>
      <w:bookmarkStart w:id="5" w:name="_Toc411418983"/>
      <w:bookmarkStart w:id="6" w:name="_Toc9876"/>
      <w:bookmarkStart w:id="7" w:name="_Toc346800722"/>
      <w:r>
        <w:rPr>
          <w:rFonts w:hint="eastAsia" w:ascii="宋体" w:hAnsi="宋体" w:eastAsia="宋体" w:cs="宋体"/>
          <w:b/>
          <w:sz w:val="21"/>
          <w:szCs w:val="21"/>
        </w:rPr>
        <w:t>附录4资格审查条件（总监理工程师最低要求）</w:t>
      </w:r>
      <w:bookmarkEnd w:id="5"/>
      <w:bookmarkEnd w:id="6"/>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229"/>
        <w:gridCol w:w="4666"/>
        <w:gridCol w:w="2378"/>
      </w:tblGrid>
      <w:tr w14:paraId="38F2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0" w:type="dxa"/>
            <w:tcBorders>
              <w:top w:val="single" w:color="auto" w:sz="12" w:space="0"/>
              <w:left w:val="single" w:color="auto" w:sz="12" w:space="0"/>
            </w:tcBorders>
            <w:vAlign w:val="center"/>
          </w:tcPr>
          <w:p w14:paraId="631D599A">
            <w:pPr>
              <w:keepLines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人员</w:t>
            </w:r>
          </w:p>
        </w:tc>
        <w:tc>
          <w:tcPr>
            <w:tcW w:w="1229" w:type="dxa"/>
            <w:tcBorders>
              <w:top w:val="single" w:color="auto" w:sz="12" w:space="0"/>
            </w:tcBorders>
            <w:vAlign w:val="center"/>
          </w:tcPr>
          <w:p w14:paraId="5A4CD2E3">
            <w:pPr>
              <w:keepLines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数量</w:t>
            </w:r>
            <w:r>
              <w:rPr>
                <w:rFonts w:hint="eastAsia" w:ascii="宋体" w:hAnsi="宋体" w:eastAsia="宋体" w:cs="宋体"/>
                <w:sz w:val="21"/>
                <w:szCs w:val="21"/>
              </w:rPr>
              <w:br w:type="textWrapping"/>
            </w:r>
            <w:r>
              <w:rPr>
                <w:rFonts w:hint="eastAsia" w:ascii="宋体" w:hAnsi="宋体" w:eastAsia="宋体" w:cs="宋体"/>
                <w:sz w:val="21"/>
                <w:szCs w:val="21"/>
              </w:rPr>
              <w:t>（人</w:t>
            </w:r>
            <w:r>
              <w:rPr>
                <w:rFonts w:hint="eastAsia" w:ascii="宋体" w:hAnsi="宋体" w:eastAsia="宋体" w:cs="宋体"/>
                <w:sz w:val="21"/>
                <w:szCs w:val="21"/>
                <w:lang w:val="en-US" w:eastAsia="zh-CN"/>
              </w:rPr>
              <w:t>/标段</w:t>
            </w:r>
            <w:r>
              <w:rPr>
                <w:rFonts w:hint="eastAsia" w:ascii="宋体" w:hAnsi="宋体" w:eastAsia="宋体" w:cs="宋体"/>
                <w:sz w:val="21"/>
                <w:szCs w:val="21"/>
              </w:rPr>
              <w:t>）</w:t>
            </w:r>
          </w:p>
        </w:tc>
        <w:tc>
          <w:tcPr>
            <w:tcW w:w="4666" w:type="dxa"/>
            <w:tcBorders>
              <w:top w:val="single" w:color="auto" w:sz="12" w:space="0"/>
              <w:right w:val="single" w:color="auto" w:sz="4" w:space="0"/>
            </w:tcBorders>
            <w:vAlign w:val="center"/>
          </w:tcPr>
          <w:p w14:paraId="7DEF8A1F">
            <w:pPr>
              <w:keepLines w:val="0"/>
              <w:widowControl/>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资格要求</w:t>
            </w:r>
          </w:p>
        </w:tc>
        <w:tc>
          <w:tcPr>
            <w:tcW w:w="2378" w:type="dxa"/>
            <w:tcBorders>
              <w:top w:val="single" w:color="auto" w:sz="12" w:space="0"/>
              <w:left w:val="single" w:color="auto" w:sz="4" w:space="0"/>
              <w:right w:val="single" w:color="auto" w:sz="12" w:space="0"/>
            </w:tcBorders>
            <w:vAlign w:val="center"/>
          </w:tcPr>
          <w:p w14:paraId="35285CBD">
            <w:pPr>
              <w:keepLines w:val="0"/>
              <w:widowControl/>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在岗要求</w:t>
            </w:r>
          </w:p>
        </w:tc>
      </w:tr>
      <w:tr w14:paraId="2B04F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60" w:type="dxa"/>
            <w:tcBorders>
              <w:left w:val="single" w:color="auto" w:sz="12" w:space="0"/>
              <w:bottom w:val="single" w:color="auto" w:sz="12" w:space="0"/>
            </w:tcBorders>
            <w:vAlign w:val="center"/>
          </w:tcPr>
          <w:p w14:paraId="14A7C7B0">
            <w:pPr>
              <w:keepLines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总监理</w:t>
            </w:r>
          </w:p>
          <w:p w14:paraId="3FD3D2EA">
            <w:pPr>
              <w:keepLines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工程师</w:t>
            </w:r>
          </w:p>
        </w:tc>
        <w:tc>
          <w:tcPr>
            <w:tcW w:w="1229" w:type="dxa"/>
            <w:tcBorders>
              <w:bottom w:val="single" w:color="auto" w:sz="12" w:space="0"/>
            </w:tcBorders>
            <w:vAlign w:val="center"/>
          </w:tcPr>
          <w:p w14:paraId="71AF22E2">
            <w:pPr>
              <w:keepLines w:val="0"/>
              <w:kinsoku/>
              <w:wordWrap/>
              <w:overflowPunct/>
              <w:topLinePunct w:val="0"/>
              <w:bidi w:val="0"/>
              <w:spacing w:line="360" w:lineRule="exact"/>
              <w:jc w:val="center"/>
              <w:rPr>
                <w:rFonts w:hint="eastAsia" w:ascii="宋体" w:hAnsi="宋体" w:eastAsia="宋体" w:cs="宋体"/>
                <w:sz w:val="21"/>
                <w:szCs w:val="21"/>
              </w:rPr>
            </w:pPr>
            <w:r>
              <w:rPr>
                <w:rFonts w:hint="eastAsia" w:ascii="宋体" w:hAnsi="宋体" w:eastAsia="宋体" w:cs="宋体"/>
                <w:sz w:val="21"/>
                <w:szCs w:val="21"/>
              </w:rPr>
              <w:t>1</w:t>
            </w:r>
          </w:p>
        </w:tc>
        <w:tc>
          <w:tcPr>
            <w:tcW w:w="4666" w:type="dxa"/>
            <w:tcBorders>
              <w:top w:val="single" w:color="auto" w:sz="8" w:space="0"/>
              <w:bottom w:val="single" w:color="auto" w:sz="12" w:space="0"/>
              <w:right w:val="single" w:color="auto" w:sz="4" w:space="0"/>
            </w:tcBorders>
            <w:vAlign w:val="center"/>
          </w:tcPr>
          <w:p w14:paraId="3BF969DB">
            <w:pPr>
              <w:keepLines w:val="0"/>
              <w:widowControl/>
              <w:tabs>
                <w:tab w:val="left" w:pos="624"/>
                <w:tab w:val="left" w:pos="909"/>
              </w:tabs>
              <w:kinsoku/>
              <w:wordWrap/>
              <w:overflowPunct/>
              <w:topLinePunct w:val="0"/>
              <w:bidi w:val="0"/>
              <w:spacing w:line="360" w:lineRule="exact"/>
              <w:ind w:left="78"/>
              <w:jc w:val="left"/>
              <w:rPr>
                <w:rFonts w:hint="eastAsia" w:ascii="宋体" w:hAnsi="宋体" w:eastAsia="宋体" w:cs="宋体"/>
                <w:sz w:val="21"/>
                <w:szCs w:val="21"/>
              </w:rPr>
            </w:pPr>
            <w:r>
              <w:rPr>
                <w:rFonts w:hint="eastAsia" w:ascii="宋体" w:hAnsi="宋体" w:eastAsia="宋体" w:cs="宋体"/>
                <w:sz w:val="21"/>
                <w:szCs w:val="21"/>
              </w:rPr>
              <w:t>（1）投标人（联合体投标的，指联合体牵头人）</w:t>
            </w:r>
            <w:r>
              <w:rPr>
                <w:rFonts w:hint="eastAsia" w:ascii="宋体" w:hAnsi="宋体" w:eastAsia="宋体" w:cs="宋体"/>
                <w:b/>
                <w:sz w:val="21"/>
                <w:szCs w:val="21"/>
              </w:rPr>
              <w:t>自有</w:t>
            </w:r>
            <w:r>
              <w:rPr>
                <w:rFonts w:hint="eastAsia" w:ascii="宋体" w:hAnsi="宋体" w:eastAsia="宋体" w:cs="宋体"/>
                <w:sz w:val="21"/>
                <w:szCs w:val="21"/>
              </w:rPr>
              <w:t>人员</w:t>
            </w:r>
            <w:r>
              <w:rPr>
                <w:rStyle w:val="13"/>
                <w:rFonts w:hint="eastAsia" w:ascii="宋体" w:hAnsi="宋体" w:eastAsia="宋体" w:cs="宋体"/>
                <w:sz w:val="21"/>
                <w:szCs w:val="21"/>
              </w:rPr>
              <w:footnoteReference w:id="1"/>
            </w:r>
            <w:r>
              <w:rPr>
                <w:rFonts w:hint="eastAsia" w:ascii="宋体" w:hAnsi="宋体" w:eastAsia="宋体" w:cs="宋体"/>
                <w:sz w:val="21"/>
                <w:szCs w:val="21"/>
              </w:rPr>
              <w:t>；</w:t>
            </w:r>
          </w:p>
          <w:p w14:paraId="7B986A27">
            <w:pPr>
              <w:keepLines w:val="0"/>
              <w:widowControl/>
              <w:tabs>
                <w:tab w:val="left" w:pos="624"/>
                <w:tab w:val="left" w:pos="909"/>
              </w:tabs>
              <w:kinsoku/>
              <w:wordWrap/>
              <w:overflowPunct/>
              <w:topLinePunct w:val="0"/>
              <w:bidi w:val="0"/>
              <w:spacing w:line="360" w:lineRule="exact"/>
              <w:ind w:left="78"/>
              <w:jc w:val="left"/>
              <w:rPr>
                <w:rFonts w:hint="eastAsia" w:ascii="宋体" w:hAnsi="宋体" w:eastAsia="宋体" w:cs="宋体"/>
                <w:bCs/>
                <w:sz w:val="21"/>
                <w:szCs w:val="21"/>
              </w:rPr>
            </w:pPr>
            <w:r>
              <w:rPr>
                <w:rFonts w:hint="eastAsia" w:ascii="宋体" w:hAnsi="宋体" w:eastAsia="宋体" w:cs="宋体"/>
                <w:sz w:val="21"/>
                <w:szCs w:val="21"/>
              </w:rPr>
              <w:t>（2）具有公路工程监理工程师</w:t>
            </w:r>
            <w:r>
              <w:rPr>
                <w:rFonts w:hint="eastAsia" w:ascii="宋体" w:hAnsi="宋体" w:eastAsia="宋体" w:cs="宋体"/>
                <w:sz w:val="21"/>
                <w:szCs w:val="21"/>
                <w:lang w:val="en-US" w:eastAsia="zh-CN"/>
              </w:rPr>
              <w:t>注册</w:t>
            </w:r>
            <w:r>
              <w:rPr>
                <w:rFonts w:hint="eastAsia" w:ascii="宋体" w:hAnsi="宋体" w:eastAsia="宋体" w:cs="宋体"/>
                <w:sz w:val="21"/>
                <w:szCs w:val="21"/>
              </w:rPr>
              <w:t>证书。</w:t>
            </w:r>
          </w:p>
        </w:tc>
        <w:tc>
          <w:tcPr>
            <w:tcW w:w="2378" w:type="dxa"/>
            <w:tcBorders>
              <w:top w:val="single" w:color="auto" w:sz="8" w:space="0"/>
              <w:left w:val="single" w:color="auto" w:sz="4" w:space="0"/>
              <w:bottom w:val="single" w:color="auto" w:sz="12" w:space="0"/>
              <w:right w:val="single" w:color="auto" w:sz="12" w:space="0"/>
            </w:tcBorders>
            <w:vAlign w:val="center"/>
          </w:tcPr>
          <w:p w14:paraId="2A2041C0">
            <w:pPr>
              <w:keepLines w:val="0"/>
              <w:widowControl/>
              <w:kinsoku/>
              <w:wordWrap/>
              <w:overflowPunct/>
              <w:topLinePunct w:val="0"/>
              <w:bidi w:val="0"/>
              <w:spacing w:line="360" w:lineRule="exact"/>
              <w:jc w:val="left"/>
              <w:rPr>
                <w:rFonts w:hint="eastAsia" w:ascii="宋体" w:hAnsi="宋体" w:eastAsia="宋体" w:cs="宋体"/>
                <w:bCs/>
                <w:sz w:val="21"/>
                <w:szCs w:val="21"/>
              </w:rPr>
            </w:pPr>
            <w:r>
              <w:rPr>
                <w:rFonts w:hint="eastAsia" w:ascii="宋体" w:hAnsi="宋体" w:eastAsia="宋体" w:cs="宋体"/>
                <w:bCs/>
                <w:sz w:val="21"/>
                <w:szCs w:val="21"/>
              </w:rPr>
              <w:t>无在岗项目（指目前未在其他项目上任职，或虽在其他项目上任职但本项目中标后能够从该项目撤离）</w:t>
            </w:r>
          </w:p>
        </w:tc>
      </w:tr>
      <w:bookmarkEnd w:id="7"/>
    </w:tbl>
    <w:p w14:paraId="0FDCC598">
      <w:pPr>
        <w:keepNext w:val="0"/>
        <w:keepLines w:val="0"/>
        <w:pageBreakBefore/>
        <w:widowControl w:val="0"/>
        <w:kinsoku/>
        <w:wordWrap/>
        <w:overflowPunct/>
        <w:topLinePunct w:val="0"/>
        <w:autoSpaceDE/>
        <w:autoSpaceDN/>
        <w:bidi w:val="0"/>
        <w:adjustRightInd w:val="0"/>
        <w:snapToGrid w:val="0"/>
        <w:spacing w:beforeLines="100" w:after="273" w:afterLines="100" w:line="360" w:lineRule="exact"/>
        <w:jc w:val="center"/>
        <w:textAlignment w:val="auto"/>
        <w:outlineLvl w:val="0"/>
        <w:rPr>
          <w:rFonts w:hint="eastAsia" w:ascii="宋体" w:hAnsi="宋体" w:eastAsia="宋体" w:cs="宋体"/>
          <w:b/>
          <w:sz w:val="21"/>
          <w:szCs w:val="21"/>
          <w:highlight w:val="none"/>
        </w:rPr>
      </w:pPr>
      <w:r>
        <w:rPr>
          <w:rFonts w:hint="eastAsia" w:ascii="宋体" w:hAnsi="宋体" w:eastAsia="宋体" w:cs="宋体"/>
          <w:b/>
          <w:sz w:val="21"/>
          <w:szCs w:val="21"/>
          <w:highlight w:val="none"/>
        </w:rPr>
        <w:t>评标办法（综合评估法）</w:t>
      </w:r>
    </w:p>
    <w:p w14:paraId="040B7C89">
      <w:pPr>
        <w:keepLines w:val="0"/>
        <w:kinsoku/>
        <w:wordWrap/>
        <w:overflowPunct/>
        <w:topLinePunct w:val="0"/>
        <w:bidi w:val="0"/>
        <w:spacing w:line="360" w:lineRule="exact"/>
        <w:outlineLvl w:val="1"/>
        <w:rPr>
          <w:rFonts w:hint="eastAsia" w:ascii="宋体" w:hAnsi="宋体" w:eastAsia="宋体" w:cs="宋体"/>
          <w:b/>
          <w:sz w:val="21"/>
          <w:szCs w:val="21"/>
        </w:rPr>
      </w:pPr>
      <w:bookmarkStart w:id="8" w:name="_Toc21481"/>
      <w:r>
        <w:rPr>
          <w:rFonts w:hint="eastAsia" w:ascii="宋体" w:hAnsi="宋体" w:eastAsia="宋体" w:cs="宋体"/>
          <w:b/>
          <w:sz w:val="21"/>
          <w:szCs w:val="21"/>
        </w:rPr>
        <w:t>评标办法前附表</w:t>
      </w:r>
      <w:bookmarkEnd w:id="8"/>
    </w:p>
    <w:tbl>
      <w:tblPr>
        <w:tblStyle w:val="11"/>
        <w:tblW w:w="9562"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9"/>
        <w:gridCol w:w="1527"/>
        <w:gridCol w:w="7076"/>
      </w:tblGrid>
      <w:tr w14:paraId="7675E3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tblHeader/>
          <w:jc w:val="center"/>
        </w:trPr>
        <w:tc>
          <w:tcPr>
            <w:tcW w:w="2486" w:type="dxa"/>
            <w:gridSpan w:val="2"/>
            <w:shd w:val="clear" w:color="auto" w:fill="auto"/>
            <w:vAlign w:val="center"/>
          </w:tcPr>
          <w:p w14:paraId="1E146B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sz w:val="21"/>
                <w:szCs w:val="21"/>
              </w:rPr>
            </w:pPr>
            <w:r>
              <w:rPr>
                <w:rStyle w:val="34"/>
                <w:rFonts w:hint="eastAsia" w:ascii="宋体" w:hAnsi="宋体" w:eastAsia="宋体" w:cs="宋体"/>
                <w:b/>
                <w:sz w:val="21"/>
                <w:szCs w:val="21"/>
              </w:rPr>
              <w:t>条款号</w:t>
            </w:r>
          </w:p>
        </w:tc>
        <w:tc>
          <w:tcPr>
            <w:tcW w:w="7076" w:type="dxa"/>
            <w:shd w:val="clear" w:color="auto" w:fill="auto"/>
            <w:vAlign w:val="center"/>
          </w:tcPr>
          <w:p w14:paraId="14BEA33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sz w:val="21"/>
                <w:szCs w:val="21"/>
              </w:rPr>
            </w:pPr>
            <w:r>
              <w:rPr>
                <w:rStyle w:val="34"/>
                <w:rFonts w:hint="eastAsia" w:ascii="宋体" w:hAnsi="宋体" w:eastAsia="宋体" w:cs="宋体"/>
                <w:b/>
                <w:sz w:val="21"/>
                <w:szCs w:val="21"/>
              </w:rPr>
              <w:t>评审因素与评审标准</w:t>
            </w:r>
          </w:p>
        </w:tc>
      </w:tr>
      <w:tr w14:paraId="6F63D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vAlign w:val="center"/>
          </w:tcPr>
          <w:p w14:paraId="6E3D06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1</w:t>
            </w:r>
          </w:p>
        </w:tc>
        <w:tc>
          <w:tcPr>
            <w:tcW w:w="1527" w:type="dxa"/>
            <w:shd w:val="clear" w:color="auto" w:fill="auto"/>
            <w:vAlign w:val="center"/>
          </w:tcPr>
          <w:p w14:paraId="530C4FD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bidi="zh-TW"/>
              </w:rPr>
              <w:t>评标方法</w:t>
            </w:r>
          </w:p>
        </w:tc>
        <w:tc>
          <w:tcPr>
            <w:tcW w:w="7076" w:type="dxa"/>
            <w:shd w:val="clear" w:color="auto" w:fill="auto"/>
          </w:tcPr>
          <w:p w14:paraId="5EF065DB">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rPr>
            </w:pPr>
            <w:r>
              <w:rPr>
                <w:rStyle w:val="34"/>
                <w:rFonts w:hint="eastAsia" w:ascii="宋体" w:hAnsi="宋体" w:eastAsia="宋体" w:cs="宋体"/>
                <w:sz w:val="21"/>
                <w:szCs w:val="21"/>
                <w:lang w:eastAsia="zh-CN"/>
              </w:rPr>
              <w:t>综合评分相等时，评标委员会依次按照以下优先顺序推荐中标候选人：</w:t>
            </w:r>
          </w:p>
          <w:p w14:paraId="3C90601B">
            <w:pPr>
              <w:keepNext w:val="0"/>
              <w:keepLines w:val="0"/>
              <w:pageBreakBefore w:val="0"/>
              <w:widowControl w:val="0"/>
              <w:tabs>
                <w:tab w:val="left" w:pos="1070"/>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w:t>
            </w:r>
            <w:r>
              <w:rPr>
                <w:rStyle w:val="34"/>
                <w:rFonts w:hint="eastAsia" w:ascii="宋体" w:hAnsi="宋体" w:eastAsia="宋体" w:cs="宋体"/>
                <w:sz w:val="21"/>
                <w:szCs w:val="21"/>
                <w:lang w:eastAsia="zh-CN"/>
              </w:rPr>
              <w:t>评标价低的投标人优先；</w:t>
            </w:r>
          </w:p>
          <w:p w14:paraId="0CDEA823">
            <w:pPr>
              <w:keepNext w:val="0"/>
              <w:keepLines w:val="0"/>
              <w:pageBreakBefore w:val="0"/>
              <w:widowControl w:val="0"/>
              <w:tabs>
                <w:tab w:val="left" w:pos="1078"/>
              </w:tabs>
              <w:kinsoku/>
              <w:wordWrap/>
              <w:overflowPunct/>
              <w:topLinePunct w:val="0"/>
              <w:autoSpaceDE/>
              <w:autoSpaceDN/>
              <w:bidi w:val="0"/>
              <w:adjustRightInd/>
              <w:snapToGrid/>
              <w:spacing w:line="360" w:lineRule="exact"/>
              <w:ind w:left="420"/>
              <w:textAlignment w:val="auto"/>
              <w:rPr>
                <w:rStyle w:val="34"/>
                <w:rFonts w:hint="eastAsia" w:ascii="宋体" w:hAnsi="宋体" w:eastAsia="宋体" w:cs="宋体"/>
                <w:sz w:val="21"/>
                <w:szCs w:val="21"/>
                <w:lang w:eastAsia="zh-CN"/>
              </w:rPr>
            </w:pPr>
            <w:r>
              <w:rPr>
                <w:rFonts w:hint="eastAsia" w:ascii="宋体" w:hAnsi="宋体" w:eastAsia="宋体" w:cs="宋体"/>
                <w:sz w:val="21"/>
                <w:szCs w:val="21"/>
              </w:rPr>
              <w:t>（2）</w:t>
            </w:r>
            <w:r>
              <w:rPr>
                <w:rFonts w:hint="eastAsia" w:ascii="宋体" w:hAnsi="宋体" w:eastAsia="宋体" w:cs="宋体"/>
                <w:sz w:val="21"/>
                <w:szCs w:val="21"/>
                <w:shd w:val="clear" w:color="auto" w:fill="FFFFFF"/>
                <w:lang w:bidi="en-US"/>
              </w:rPr>
              <w:t>信用评价得分较高的投标人优先</w:t>
            </w:r>
            <w:r>
              <w:rPr>
                <w:rFonts w:hint="eastAsia" w:ascii="宋体" w:hAnsi="宋体" w:eastAsia="宋体" w:cs="宋体"/>
                <w:sz w:val="21"/>
                <w:szCs w:val="21"/>
              </w:rPr>
              <w:t>；</w:t>
            </w:r>
          </w:p>
          <w:p w14:paraId="305091EB">
            <w:pPr>
              <w:keepNext w:val="0"/>
              <w:keepLines w:val="0"/>
              <w:pageBreakBefore w:val="0"/>
              <w:widowControl w:val="0"/>
              <w:tabs>
                <w:tab w:val="left" w:pos="1078"/>
              </w:tabs>
              <w:kinsoku/>
              <w:wordWrap/>
              <w:overflowPunct/>
              <w:topLinePunct w:val="0"/>
              <w:autoSpaceDE/>
              <w:autoSpaceDN/>
              <w:bidi w:val="0"/>
              <w:adjustRightInd/>
              <w:snapToGrid/>
              <w:spacing w:line="360" w:lineRule="exact"/>
              <w:ind w:left="420"/>
              <w:textAlignment w:val="auto"/>
              <w:rPr>
                <w:rStyle w:val="34"/>
                <w:rFonts w:hint="eastAsia" w:ascii="宋体" w:hAnsi="宋体" w:eastAsia="宋体" w:cs="宋体"/>
                <w:sz w:val="21"/>
                <w:szCs w:val="21"/>
                <w:lang w:eastAsia="zh-CN"/>
              </w:rPr>
            </w:pPr>
            <w:r>
              <w:rPr>
                <w:rFonts w:hint="eastAsia" w:ascii="宋体" w:hAnsi="宋体" w:eastAsia="宋体" w:cs="宋体"/>
                <w:sz w:val="21"/>
                <w:szCs w:val="21"/>
              </w:rPr>
              <w:t>（3）</w:t>
            </w:r>
            <w:r>
              <w:rPr>
                <w:rStyle w:val="34"/>
                <w:rFonts w:hint="eastAsia" w:ascii="宋体" w:hAnsi="宋体" w:eastAsia="宋体" w:cs="宋体"/>
                <w:sz w:val="21"/>
                <w:szCs w:val="21"/>
                <w:lang w:eastAsia="zh-CN"/>
              </w:rPr>
              <w:t>人员得分较高的投标人优先；</w:t>
            </w:r>
          </w:p>
          <w:p w14:paraId="2C4A479D">
            <w:pPr>
              <w:keepNext w:val="0"/>
              <w:keepLines w:val="0"/>
              <w:pageBreakBefore w:val="0"/>
              <w:widowControl w:val="0"/>
              <w:tabs>
                <w:tab w:val="left" w:pos="1078"/>
              </w:tabs>
              <w:kinsoku/>
              <w:wordWrap/>
              <w:overflowPunct/>
              <w:topLinePunct w:val="0"/>
              <w:autoSpaceDE/>
              <w:autoSpaceDN/>
              <w:bidi w:val="0"/>
              <w:adjustRightInd/>
              <w:snapToGrid/>
              <w:spacing w:line="360" w:lineRule="exact"/>
              <w:ind w:left="420"/>
              <w:textAlignment w:val="auto"/>
              <w:rPr>
                <w:rFonts w:hint="eastAsia" w:ascii="宋体" w:hAnsi="宋体" w:eastAsia="宋体" w:cs="宋体"/>
                <w:sz w:val="21"/>
                <w:szCs w:val="21"/>
              </w:rPr>
            </w:pPr>
            <w:r>
              <w:rPr>
                <w:rFonts w:hint="eastAsia" w:ascii="宋体" w:hAnsi="宋体" w:eastAsia="宋体" w:cs="宋体"/>
                <w:sz w:val="21"/>
                <w:szCs w:val="21"/>
              </w:rPr>
              <w:t>（4）评标委员会投票表决。</w:t>
            </w:r>
          </w:p>
        </w:tc>
      </w:tr>
      <w:tr w14:paraId="1D0FED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Merge w:val="restart"/>
            <w:shd w:val="clear" w:color="auto" w:fill="auto"/>
            <w:vAlign w:val="center"/>
          </w:tcPr>
          <w:p w14:paraId="55E563E2">
            <w:pPr>
              <w:pStyle w:val="18"/>
              <w:keepNext w:val="0"/>
              <w:keepLines w:val="0"/>
              <w:pageBreakBefore w:val="0"/>
              <w:widowControl w:val="0"/>
              <w:shd w:val="clear" w:color="auto" w:fill="auto"/>
              <w:kinsoku/>
              <w:wordWrap/>
              <w:overflowPunct/>
              <w:topLinePunct w:val="0"/>
              <w:autoSpaceDE/>
              <w:autoSpaceDN/>
              <w:bidi w:val="0"/>
              <w:adjustRightInd/>
              <w:snapToGrid/>
              <w:spacing w:before="0" w:line="360" w:lineRule="exact"/>
              <w:jc w:val="center"/>
              <w:textAlignment w:val="auto"/>
              <w:rPr>
                <w:rStyle w:val="34"/>
                <w:rFonts w:hint="eastAsia" w:ascii="宋体" w:hAnsi="宋体" w:eastAsia="宋体" w:cs="宋体"/>
                <w:sz w:val="21"/>
                <w:szCs w:val="21"/>
                <w:lang w:eastAsia="zh-CN"/>
              </w:rPr>
            </w:pPr>
            <w:r>
              <w:rPr>
                <w:rStyle w:val="34"/>
                <w:rFonts w:hint="eastAsia" w:ascii="宋体" w:hAnsi="宋体" w:eastAsia="宋体" w:cs="宋体"/>
                <w:sz w:val="21"/>
                <w:szCs w:val="21"/>
              </w:rPr>
              <w:t>2.1.2</w:t>
            </w:r>
          </w:p>
          <w:p w14:paraId="3F899526">
            <w:pPr>
              <w:pStyle w:val="18"/>
              <w:keepNext w:val="0"/>
              <w:keepLines w:val="0"/>
              <w:pageBreakBefore w:val="0"/>
              <w:widowControl w:val="0"/>
              <w:shd w:val="clear" w:color="auto" w:fill="auto"/>
              <w:kinsoku/>
              <w:wordWrap/>
              <w:overflowPunct/>
              <w:topLinePunct w:val="0"/>
              <w:autoSpaceDE/>
              <w:autoSpaceDN/>
              <w:bidi w:val="0"/>
              <w:adjustRightInd/>
              <w:snapToGrid/>
              <w:spacing w:before="0" w:line="360" w:lineRule="exact"/>
              <w:jc w:val="center"/>
              <w:textAlignment w:val="auto"/>
              <w:rPr>
                <w:rFonts w:hint="eastAsia" w:ascii="宋体" w:hAnsi="宋体" w:eastAsia="宋体" w:cs="宋体"/>
                <w:color w:val="000000"/>
                <w:sz w:val="21"/>
                <w:szCs w:val="21"/>
                <w:shd w:val="clear" w:color="auto" w:fill="FFFFFF"/>
                <w:lang w:bidi="en-US"/>
              </w:rPr>
            </w:pPr>
            <w:r>
              <w:rPr>
                <w:rStyle w:val="34"/>
                <w:rFonts w:hint="eastAsia" w:ascii="宋体" w:hAnsi="宋体" w:eastAsia="宋体" w:cs="宋体"/>
                <w:sz w:val="21"/>
                <w:szCs w:val="21"/>
              </w:rPr>
              <w:t>2.1.</w:t>
            </w:r>
            <w:r>
              <w:rPr>
                <w:rStyle w:val="34"/>
                <w:rFonts w:hint="eastAsia" w:ascii="宋体" w:hAnsi="宋体" w:eastAsia="宋体" w:cs="宋体"/>
                <w:sz w:val="21"/>
                <w:szCs w:val="21"/>
                <w:lang w:eastAsia="zh-CN"/>
              </w:rPr>
              <w:t>3</w:t>
            </w:r>
          </w:p>
        </w:tc>
        <w:tc>
          <w:tcPr>
            <w:tcW w:w="1527" w:type="dxa"/>
            <w:shd w:val="clear" w:color="auto" w:fill="auto"/>
            <w:vAlign w:val="center"/>
          </w:tcPr>
          <w:p w14:paraId="60A8759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第一信封</w:t>
            </w:r>
          </w:p>
          <w:p w14:paraId="1FCACAF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bidi="zh-TW"/>
              </w:rPr>
              <w:t>形式评审与响应性评审标准</w:t>
            </w:r>
          </w:p>
        </w:tc>
        <w:tc>
          <w:tcPr>
            <w:tcW w:w="7076" w:type="dxa"/>
            <w:shd w:val="clear" w:color="auto" w:fill="auto"/>
          </w:tcPr>
          <w:p w14:paraId="73478140">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lang w:bidi="zh-TW"/>
              </w:rPr>
            </w:pPr>
            <w:r>
              <w:rPr>
                <w:rFonts w:hint="eastAsia" w:ascii="宋体" w:hAnsi="宋体" w:eastAsia="宋体" w:cs="宋体"/>
                <w:b/>
                <w:bCs/>
                <w:sz w:val="21"/>
                <w:szCs w:val="21"/>
                <w:lang w:bidi="zh-TW"/>
              </w:rPr>
              <w:t>第一个信封（商务及技术文件）评审标准：</w:t>
            </w:r>
          </w:p>
          <w:p w14:paraId="4D67AC66">
            <w:pPr>
              <w:keepNext w:val="0"/>
              <w:keepLines w:val="0"/>
              <w:pageBreakBefore w:val="0"/>
              <w:widowControl w:val="0"/>
              <w:tabs>
                <w:tab w:val="left" w:pos="1029"/>
                <w:tab w:val="left" w:pos="1194"/>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（1）投标文件按照招标文件规定的格式、内容填写，字迹清晰可辨：</w:t>
            </w:r>
          </w:p>
          <w:p w14:paraId="265B4A4C">
            <w:pPr>
              <w:keepNext w:val="0"/>
              <w:keepLines w:val="0"/>
              <w:pageBreakBefore w:val="0"/>
              <w:widowControl w:val="0"/>
              <w:tabs>
                <w:tab w:val="left" w:pos="1029"/>
                <w:tab w:val="left" w:pos="1194"/>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a.投标函按招标文件规定填报了项目名称、标段号、补遗书编号（如有)、监理服务期限、工程质量要求及安全目标；</w:t>
            </w:r>
          </w:p>
          <w:p w14:paraId="763DB5D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b.投标文件组成齐全完整，内容均按规定填写。</w:t>
            </w:r>
          </w:p>
          <w:p w14:paraId="2B044775">
            <w:pPr>
              <w:keepNext w:val="0"/>
              <w:keepLines w:val="0"/>
              <w:pageBreakBefore w:val="0"/>
              <w:widowControl w:val="0"/>
              <w:tabs>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（2）投标文件上法定代表人或其委托代理人的签字、投标人的单位章盖章齐全，符合招标文件规定。</w:t>
            </w:r>
          </w:p>
          <w:p w14:paraId="5273F26E">
            <w:pPr>
              <w:keepNext w:val="0"/>
              <w:keepLines w:val="0"/>
              <w:pageBreakBefore w:val="0"/>
              <w:widowControl w:val="0"/>
              <w:tabs>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（3）投标人按照招标文件的规定提供了投标保证金：</w:t>
            </w:r>
          </w:p>
          <w:p w14:paraId="7E75DAE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en-US"/>
              </w:rPr>
              <w:t>a</w:t>
            </w:r>
            <w:r>
              <w:rPr>
                <w:rFonts w:hint="eastAsia" w:ascii="宋体" w:hAnsi="宋体" w:eastAsia="宋体" w:cs="宋体"/>
                <w:b/>
                <w:bCs/>
                <w:sz w:val="21"/>
                <w:szCs w:val="21"/>
                <w:lang w:bidi="en-US"/>
              </w:rPr>
              <w:t>.</w:t>
            </w:r>
            <w:r>
              <w:rPr>
                <w:rFonts w:hint="eastAsia" w:ascii="宋体" w:hAnsi="宋体" w:eastAsia="宋体" w:cs="宋体"/>
                <w:sz w:val="21"/>
                <w:szCs w:val="21"/>
                <w:lang w:bidi="zh-TW"/>
              </w:rPr>
              <w:t>投标保证金金额符合招标文件规定的金额，且投标保证金有效期不少于投标有效期；</w:t>
            </w:r>
          </w:p>
          <w:p w14:paraId="33A35C4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en-US"/>
              </w:rPr>
              <w:t>b</w:t>
            </w:r>
            <w:r>
              <w:rPr>
                <w:rFonts w:hint="eastAsia" w:ascii="宋体" w:hAnsi="宋体" w:eastAsia="宋体" w:cs="宋体"/>
                <w:b/>
                <w:bCs/>
                <w:sz w:val="21"/>
                <w:szCs w:val="21"/>
                <w:lang w:bidi="en-US"/>
              </w:rPr>
              <w:t>.</w:t>
            </w:r>
            <w:r>
              <w:rPr>
                <w:rFonts w:hint="eastAsia" w:ascii="宋体" w:hAnsi="宋体" w:eastAsia="宋体" w:cs="宋体"/>
                <w:sz w:val="21"/>
                <w:szCs w:val="21"/>
                <w:lang w:bidi="zh-TW"/>
              </w:rPr>
              <w:t>若投标保证金采用现金或支票形式提交，投标人应在递交投标文件截止时间之前，将投标保证金由投标人的基本账户转入招标人指定账户；</w:t>
            </w:r>
          </w:p>
          <w:p w14:paraId="7584221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en-US"/>
              </w:rPr>
              <w:t>c</w:t>
            </w:r>
            <w:r>
              <w:rPr>
                <w:rFonts w:hint="eastAsia" w:ascii="宋体" w:hAnsi="宋体" w:eastAsia="宋体" w:cs="宋体"/>
                <w:b/>
                <w:bCs/>
                <w:sz w:val="21"/>
                <w:szCs w:val="21"/>
                <w:lang w:bidi="en-US"/>
              </w:rPr>
              <w:t>.</w:t>
            </w:r>
            <w:r>
              <w:rPr>
                <w:rFonts w:hint="eastAsia" w:ascii="宋体" w:hAnsi="宋体" w:eastAsia="宋体" w:cs="宋体"/>
                <w:sz w:val="21"/>
                <w:szCs w:val="21"/>
                <w:lang w:bidi="zh-TW"/>
              </w:rPr>
              <w:t>若投标保证金采用保函形式提交，</w:t>
            </w:r>
            <w:r>
              <w:rPr>
                <w:rFonts w:hint="eastAsia" w:ascii="宋体" w:hAnsi="宋体" w:eastAsia="宋体" w:cs="宋体"/>
                <w:bCs/>
                <w:sz w:val="21"/>
                <w:szCs w:val="21"/>
              </w:rPr>
              <w:t>应满足</w:t>
            </w:r>
            <w:r>
              <w:rPr>
                <w:rFonts w:hint="eastAsia" w:ascii="宋体" w:hAnsi="宋体" w:eastAsia="宋体" w:cs="宋体"/>
                <w:bCs/>
                <w:sz w:val="21"/>
                <w:szCs w:val="21"/>
                <w:lang w:val="en-US" w:eastAsia="zh-CN"/>
              </w:rPr>
              <w:t>招标文件</w:t>
            </w:r>
            <w:r>
              <w:rPr>
                <w:rFonts w:hint="eastAsia" w:ascii="宋体" w:hAnsi="宋体" w:eastAsia="宋体" w:cs="宋体"/>
                <w:bCs/>
                <w:sz w:val="21"/>
                <w:szCs w:val="21"/>
              </w:rPr>
              <w:t>相关要求</w:t>
            </w:r>
            <w:r>
              <w:rPr>
                <w:rFonts w:hint="eastAsia" w:ascii="宋体" w:hAnsi="宋体" w:eastAsia="宋体" w:cs="宋体"/>
                <w:bCs/>
                <w:sz w:val="21"/>
                <w:szCs w:val="21"/>
                <w:lang w:val="zh-CN"/>
              </w:rPr>
              <w:t>。</w:t>
            </w:r>
          </w:p>
          <w:p w14:paraId="3D91EEB2">
            <w:pPr>
              <w:keepNext w:val="0"/>
              <w:keepLines w:val="0"/>
              <w:pageBreakBefore w:val="0"/>
              <w:widowControl w:val="0"/>
              <w:tabs>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（4）投标人法定代表人授权委托代理人签署投标文件的，须提交授权委托书，且授权人和被授权人均在授权委托书上签名。</w:t>
            </w:r>
          </w:p>
          <w:p w14:paraId="0DED6330">
            <w:pPr>
              <w:keepNext w:val="0"/>
              <w:keepLines w:val="0"/>
              <w:pageBreakBefore w:val="0"/>
              <w:widowControl w:val="0"/>
              <w:tabs>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（5）投标人法定代表人亲自签署投标文件的，提供了法定代表人身份证明，且法定代表人在法定代表人身份证明上签名。</w:t>
            </w:r>
          </w:p>
          <w:p w14:paraId="60D88190">
            <w:pPr>
              <w:keepNext w:val="0"/>
              <w:keepLines w:val="0"/>
              <w:pageBreakBefore w:val="0"/>
              <w:widowControl w:val="0"/>
              <w:tabs>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（6）投标人以联合体形式投标时，按照招标文件提供的格式签订了联合体协议书，明确各方承担连带责任，并明确了联合体牵头人。</w:t>
            </w:r>
          </w:p>
          <w:p w14:paraId="542A8780">
            <w:pPr>
              <w:keepNext w:val="0"/>
              <w:keepLines w:val="0"/>
              <w:pageBreakBefore w:val="0"/>
              <w:widowControl w:val="0"/>
              <w:tabs>
                <w:tab w:val="left" w:pos="984"/>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（7）同一投标人未提交两个以上不同的投标文件，但招标文件要求提交备选投标的除外。</w:t>
            </w:r>
          </w:p>
          <w:p w14:paraId="61CB85A2">
            <w:pPr>
              <w:keepNext w:val="0"/>
              <w:keepLines w:val="0"/>
              <w:pageBreakBefore w:val="0"/>
              <w:widowControl w:val="0"/>
              <w:tabs>
                <w:tab w:val="left" w:pos="984"/>
                <w:tab w:val="left" w:pos="1168"/>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（8）投标文件中未出现有关投标报价的内容。</w:t>
            </w:r>
          </w:p>
          <w:p w14:paraId="303C6F80">
            <w:pPr>
              <w:keepNext w:val="0"/>
              <w:keepLines w:val="0"/>
              <w:pageBreakBefore w:val="0"/>
              <w:widowControl w:val="0"/>
              <w:tabs>
                <w:tab w:val="left" w:pos="984"/>
                <w:tab w:val="left" w:pos="1168"/>
              </w:tabs>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sz w:val="21"/>
                <w:szCs w:val="21"/>
                <w:highlight w:val="none"/>
                <w:lang w:bidi="zh-TW"/>
              </w:rPr>
            </w:pPr>
            <w:r>
              <w:rPr>
                <w:rFonts w:hint="eastAsia" w:ascii="宋体" w:hAnsi="宋体" w:eastAsia="宋体" w:cs="宋体"/>
                <w:sz w:val="21"/>
                <w:szCs w:val="21"/>
                <w:highlight w:val="none"/>
                <w:lang w:bidi="zh-TW"/>
              </w:rPr>
              <w:t>（9）投标文件载明的招标项目完成期限</w:t>
            </w:r>
            <w:r>
              <w:rPr>
                <w:rFonts w:hint="eastAsia" w:ascii="宋体" w:hAnsi="宋体" w:eastAsia="宋体" w:cs="宋体"/>
                <w:sz w:val="21"/>
                <w:szCs w:val="21"/>
                <w:highlight w:val="none"/>
                <w:lang w:val="en-US" w:eastAsia="zh-CN" w:bidi="zh-TW"/>
              </w:rPr>
              <w:t>符合</w:t>
            </w:r>
            <w:r>
              <w:rPr>
                <w:rFonts w:hint="eastAsia" w:ascii="宋体" w:hAnsi="宋体" w:eastAsia="宋体" w:cs="宋体"/>
                <w:sz w:val="21"/>
                <w:szCs w:val="21"/>
                <w:highlight w:val="none"/>
                <w:lang w:bidi="zh-TW"/>
              </w:rPr>
              <w:t>招标文件规定。</w:t>
            </w:r>
          </w:p>
          <w:p w14:paraId="6FF96CD1">
            <w:pPr>
              <w:keepNext w:val="0"/>
              <w:keepLines w:val="0"/>
              <w:pageBreakBefore w:val="0"/>
              <w:widowControl w:val="0"/>
              <w:tabs>
                <w:tab w:val="left" w:pos="1168"/>
                <w:tab w:val="left" w:pos="1310"/>
              </w:tabs>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（10）投标文件对招标文件的实质性要求和条件作出响应。</w:t>
            </w:r>
          </w:p>
          <w:p w14:paraId="22BE27F8">
            <w:pPr>
              <w:keepNext w:val="0"/>
              <w:keepLines w:val="0"/>
              <w:pageBreakBefore w:val="0"/>
              <w:widowControl w:val="0"/>
              <w:tabs>
                <w:tab w:val="left" w:pos="1168"/>
                <w:tab w:val="left" w:pos="1310"/>
              </w:tabs>
              <w:kinsoku/>
              <w:wordWrap/>
              <w:overflowPunct/>
              <w:topLinePunct w:val="0"/>
              <w:autoSpaceDE/>
              <w:autoSpaceDN/>
              <w:bidi w:val="0"/>
              <w:adjustRightInd/>
              <w:snapToGrid/>
              <w:spacing w:line="36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lang w:bidi="zh-TW"/>
              </w:rPr>
              <w:t>（11）权</w:t>
            </w:r>
            <w:r>
              <w:rPr>
                <w:rFonts w:hint="eastAsia" w:ascii="宋体" w:hAnsi="宋体" w:eastAsia="宋体" w:cs="宋体"/>
                <w:sz w:val="21"/>
                <w:szCs w:val="21"/>
              </w:rPr>
              <w:t>利义务符合招标文件规定：</w:t>
            </w:r>
          </w:p>
          <w:p w14:paraId="155C9D3D">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a.投标人应接受招标文件规定的风险划分原则，未提出新的风险划分办法；</w:t>
            </w:r>
          </w:p>
          <w:p w14:paraId="6F02D45A">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b.投标人未增加委托人的责任范围，或减少投标人义务；</w:t>
            </w:r>
          </w:p>
          <w:p w14:paraId="5D8F1FF9">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c.投标人未提出不同的支付办法；</w:t>
            </w:r>
          </w:p>
          <w:p w14:paraId="337B54A9">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d.投标人对合同纠纷、事故处理办法未提出异议；</w:t>
            </w:r>
          </w:p>
          <w:p w14:paraId="099AE28D">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e.投标人在投标活动中无欺诈行为；</w:t>
            </w:r>
          </w:p>
          <w:p w14:paraId="4B9EF206">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f.投标人未对合同条款有重要保留。</w:t>
            </w:r>
          </w:p>
        </w:tc>
      </w:tr>
      <w:tr w14:paraId="6CE2A6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vMerge w:val="continue"/>
            <w:shd w:val="clear" w:color="auto" w:fill="auto"/>
            <w:vAlign w:val="center"/>
          </w:tcPr>
          <w:p w14:paraId="4BD533B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p>
        </w:tc>
        <w:tc>
          <w:tcPr>
            <w:tcW w:w="1527" w:type="dxa"/>
            <w:shd w:val="clear" w:color="auto" w:fill="auto"/>
            <w:vAlign w:val="center"/>
          </w:tcPr>
          <w:p w14:paraId="66F4165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lang w:bidi="zh-TW"/>
              </w:rPr>
            </w:pPr>
            <w:r>
              <w:rPr>
                <w:rFonts w:hint="eastAsia" w:ascii="宋体" w:hAnsi="宋体" w:eastAsia="宋体" w:cs="宋体"/>
                <w:sz w:val="21"/>
                <w:szCs w:val="21"/>
                <w:lang w:bidi="zh-TW"/>
              </w:rPr>
              <w:t>第二信封</w:t>
            </w:r>
          </w:p>
          <w:p w14:paraId="7F19C03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lang w:bidi="zh-TW"/>
              </w:rPr>
              <w:t>形式评审与响应性评审标准</w:t>
            </w:r>
          </w:p>
        </w:tc>
        <w:tc>
          <w:tcPr>
            <w:tcW w:w="7076" w:type="dxa"/>
            <w:shd w:val="clear" w:color="auto" w:fill="auto"/>
          </w:tcPr>
          <w:p w14:paraId="45E8647C">
            <w:pPr>
              <w:keepNext w:val="0"/>
              <w:keepLines w:val="0"/>
              <w:pageBreakBefore w:val="0"/>
              <w:widowControl w:val="0"/>
              <w:kinsoku/>
              <w:wordWrap/>
              <w:overflowPunct/>
              <w:topLinePunct w:val="0"/>
              <w:autoSpaceDE/>
              <w:autoSpaceDN/>
              <w:bidi w:val="0"/>
              <w:adjustRightInd/>
              <w:snapToGrid/>
              <w:spacing w:line="360" w:lineRule="exact"/>
              <w:ind w:firstLine="413" w:firstLineChars="196"/>
              <w:textAlignment w:val="auto"/>
              <w:rPr>
                <w:rFonts w:hint="eastAsia" w:ascii="宋体" w:hAnsi="宋体" w:eastAsia="宋体" w:cs="宋体"/>
                <w:b/>
                <w:sz w:val="21"/>
                <w:szCs w:val="21"/>
                <w:lang w:bidi="zh-TW"/>
              </w:rPr>
            </w:pPr>
            <w:r>
              <w:rPr>
                <w:rFonts w:hint="eastAsia" w:ascii="宋体" w:hAnsi="宋体" w:eastAsia="宋体" w:cs="宋体"/>
                <w:b/>
                <w:sz w:val="21"/>
                <w:szCs w:val="21"/>
                <w:lang w:bidi="en-US"/>
              </w:rPr>
              <w:t>第二个信封（报价文件）评审标准：</w:t>
            </w:r>
          </w:p>
          <w:p w14:paraId="420A1B9E">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（1）投标文件按照招标文件规定的格式、内容填写，字迹清晰可辨，内容齐全完整：</w:t>
            </w:r>
          </w:p>
          <w:p w14:paraId="58D1AE26">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a.投标函按招标文件规定填报了项目名称、标段号、补遗书编号（如有）、投标价（包括大写金额和小写金额）；</w:t>
            </w:r>
          </w:p>
          <w:p w14:paraId="6FCBC0B2">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b.已标价报价清单说明文字与招标文件规定一致，未进行实质性修改和删减；</w:t>
            </w:r>
          </w:p>
          <w:p w14:paraId="00452E86">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c.投标文件组成齐全完整，内容均按规定填写。</w:t>
            </w:r>
          </w:p>
          <w:p w14:paraId="0C3DDC43">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（2）投标文件上法定代表人或其委托代理人的签字、投标人的单位章盖章齐全，符合招标文件规定。</w:t>
            </w:r>
          </w:p>
          <w:p w14:paraId="5823551C">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（3）投标报价未超过招标文件设定的最高投标限价。</w:t>
            </w:r>
          </w:p>
          <w:p w14:paraId="6539985B">
            <w:pPr>
              <w:keepNext w:val="0"/>
              <w:keepLines w:val="0"/>
              <w:pageBreakBefore w:val="0"/>
              <w:widowControl w:val="0"/>
              <w:kinsoku/>
              <w:wordWrap/>
              <w:overflowPunct/>
              <w:topLinePunct w:val="0"/>
              <w:autoSpaceDE/>
              <w:autoSpaceDN/>
              <w:bidi w:val="0"/>
              <w:adjustRightInd/>
              <w:snapToGrid/>
              <w:spacing w:line="360" w:lineRule="exact"/>
              <w:ind w:right="113" w:firstLine="420" w:firstLineChars="200"/>
              <w:textAlignment w:val="auto"/>
              <w:rPr>
                <w:rFonts w:hint="eastAsia" w:ascii="宋体" w:hAnsi="宋体" w:eastAsia="宋体" w:cs="宋体"/>
                <w:sz w:val="21"/>
                <w:szCs w:val="21"/>
              </w:rPr>
            </w:pPr>
            <w:r>
              <w:rPr>
                <w:rFonts w:hint="eastAsia" w:ascii="宋体" w:hAnsi="宋体" w:eastAsia="宋体" w:cs="宋体"/>
                <w:sz w:val="21"/>
                <w:szCs w:val="21"/>
              </w:rPr>
              <w:t>（4）投标报价的大写金额能够确定具体数值。</w:t>
            </w:r>
          </w:p>
          <w:p w14:paraId="1144D5A3">
            <w:pPr>
              <w:keepNext w:val="0"/>
              <w:keepLines w:val="0"/>
              <w:pageBreakBefore w:val="0"/>
              <w:widowControl w:val="0"/>
              <w:tabs>
                <w:tab w:val="left" w:pos="756"/>
                <w:tab w:val="left" w:pos="1131"/>
              </w:tabs>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zh-TW"/>
              </w:rPr>
            </w:pPr>
            <w:r>
              <w:rPr>
                <w:rFonts w:hint="eastAsia" w:ascii="宋体" w:hAnsi="宋体" w:eastAsia="宋体" w:cs="宋体"/>
                <w:sz w:val="21"/>
                <w:szCs w:val="21"/>
              </w:rPr>
              <w:t>（5）同一投标人未提交两个以上不同的投标报价，但招标文件要求提交备选投标的除外。</w:t>
            </w:r>
          </w:p>
        </w:tc>
      </w:tr>
      <w:tr w14:paraId="67CCEC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vAlign w:val="center"/>
          </w:tcPr>
          <w:p w14:paraId="44B07AD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Style w:val="34"/>
                <w:rFonts w:hint="eastAsia" w:ascii="宋体" w:hAnsi="宋体" w:eastAsia="宋体" w:cs="宋体"/>
                <w:sz w:val="21"/>
                <w:szCs w:val="21"/>
              </w:rPr>
              <w:t>2.1.2</w:t>
            </w:r>
          </w:p>
        </w:tc>
        <w:tc>
          <w:tcPr>
            <w:tcW w:w="1527" w:type="dxa"/>
            <w:shd w:val="clear" w:color="auto" w:fill="auto"/>
            <w:vAlign w:val="center"/>
          </w:tcPr>
          <w:p w14:paraId="57074BD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Fonts w:hint="eastAsia" w:ascii="宋体" w:hAnsi="宋体" w:eastAsia="宋体" w:cs="宋体"/>
                <w:sz w:val="21"/>
                <w:szCs w:val="21"/>
              </w:rPr>
              <w:t>资格</w:t>
            </w:r>
          </w:p>
          <w:p w14:paraId="0B26CFD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lang w:bidi="en-US"/>
              </w:rPr>
            </w:pPr>
            <w:r>
              <w:rPr>
                <w:rFonts w:hint="eastAsia" w:ascii="宋体" w:hAnsi="宋体" w:eastAsia="宋体" w:cs="宋体"/>
                <w:sz w:val="21"/>
                <w:szCs w:val="21"/>
              </w:rPr>
              <w:t>评审标准</w:t>
            </w:r>
          </w:p>
        </w:tc>
        <w:tc>
          <w:tcPr>
            <w:tcW w:w="7076" w:type="dxa"/>
            <w:shd w:val="clear" w:color="auto" w:fill="auto"/>
          </w:tcPr>
          <w:p w14:paraId="04230987">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（1）投标人具备有效的营业执照、资质证书和基本账户开户证明材料。</w:t>
            </w:r>
          </w:p>
          <w:p w14:paraId="3CFAD9F9">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（2）投标人的资质等级符合招标文件规定。</w:t>
            </w:r>
          </w:p>
          <w:p w14:paraId="530C6F3C">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（3）投标人的类似项目业绩符合招标文件规定。</w:t>
            </w:r>
          </w:p>
          <w:p w14:paraId="29312625">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（4）投标人的信誉符合招标文件规定。</w:t>
            </w:r>
          </w:p>
          <w:p w14:paraId="164C72E3">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（5）投标人的总监理工程师资格、在岗情况符合招标文件规定。</w:t>
            </w:r>
          </w:p>
          <w:p w14:paraId="4C68043A">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（6）投标人不存在第二章“投标人须知”第1.4.3项或第1.4.4项规定的任何一种情形。</w:t>
            </w:r>
          </w:p>
          <w:p w14:paraId="54F076B1">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（7）投标人符合第二章“投标人须知”第1.4.5项规定。</w:t>
            </w:r>
            <w:r>
              <w:rPr>
                <w:rFonts w:hint="eastAsia" w:ascii="宋体" w:hAnsi="宋体" w:eastAsia="宋体" w:cs="宋体"/>
                <w:sz w:val="21"/>
                <w:szCs w:val="21"/>
                <w:vertAlign w:val="superscript"/>
              </w:rPr>
              <w:footnoteReference w:id="2"/>
            </w:r>
          </w:p>
          <w:p w14:paraId="087E2B95">
            <w:pPr>
              <w:keepNext w:val="0"/>
              <w:keepLines w:val="0"/>
              <w:pageBreakBefore w:val="0"/>
              <w:widowControl w:val="0"/>
              <w:kinsoku/>
              <w:wordWrap/>
              <w:overflowPunct/>
              <w:topLinePunct w:val="0"/>
              <w:autoSpaceDE/>
              <w:autoSpaceDN/>
              <w:bidi w:val="0"/>
              <w:adjustRightInd/>
              <w:snapToGrid/>
              <w:spacing w:line="360" w:lineRule="exact"/>
              <w:ind w:left="113" w:right="113" w:firstLine="210" w:firstLineChars="100"/>
              <w:textAlignment w:val="auto"/>
              <w:rPr>
                <w:rFonts w:hint="eastAsia" w:ascii="宋体" w:hAnsi="宋体" w:eastAsia="宋体" w:cs="宋体"/>
                <w:sz w:val="21"/>
                <w:szCs w:val="21"/>
              </w:rPr>
            </w:pPr>
            <w:r>
              <w:rPr>
                <w:rFonts w:hint="eastAsia" w:ascii="宋体" w:hAnsi="宋体" w:eastAsia="宋体" w:cs="宋体"/>
                <w:sz w:val="21"/>
                <w:szCs w:val="21"/>
              </w:rPr>
              <w:t>（8）以联合体形式参与投标的，联合体各方均未再以自己名义单独或参加其他联合体在同一标段中投标。</w:t>
            </w:r>
          </w:p>
        </w:tc>
      </w:tr>
      <w:tr w14:paraId="2D8738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vAlign w:val="center"/>
          </w:tcPr>
          <w:p w14:paraId="6CC8B63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rPr>
            </w:pPr>
            <w:r>
              <w:rPr>
                <w:rStyle w:val="33"/>
                <w:rFonts w:hint="eastAsia" w:ascii="宋体" w:hAnsi="宋体" w:eastAsia="宋体" w:cs="宋体"/>
                <w:sz w:val="21"/>
                <w:szCs w:val="21"/>
              </w:rPr>
              <w:t>2</w:t>
            </w:r>
            <w:r>
              <w:rPr>
                <w:rStyle w:val="35"/>
                <w:rFonts w:hint="eastAsia" w:ascii="宋体" w:hAnsi="宋体" w:eastAsia="宋体" w:cs="宋体"/>
                <w:sz w:val="21"/>
                <w:szCs w:val="21"/>
              </w:rPr>
              <w:t>.</w:t>
            </w:r>
            <w:r>
              <w:rPr>
                <w:rStyle w:val="33"/>
                <w:rFonts w:hint="eastAsia" w:ascii="宋体" w:hAnsi="宋体" w:eastAsia="宋体" w:cs="宋体"/>
                <w:sz w:val="21"/>
                <w:szCs w:val="21"/>
              </w:rPr>
              <w:t>2.1</w:t>
            </w:r>
          </w:p>
        </w:tc>
        <w:tc>
          <w:tcPr>
            <w:tcW w:w="1527" w:type="dxa"/>
            <w:shd w:val="clear" w:color="auto" w:fill="auto"/>
            <w:vAlign w:val="center"/>
          </w:tcPr>
          <w:p w14:paraId="52BE3C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lang w:bidi="en-US"/>
              </w:rPr>
            </w:pPr>
            <w:r>
              <w:rPr>
                <w:rFonts w:hint="eastAsia" w:ascii="宋体" w:hAnsi="宋体" w:eastAsia="宋体" w:cs="宋体"/>
                <w:sz w:val="21"/>
                <w:szCs w:val="21"/>
                <w:lang w:bidi="en-US"/>
              </w:rPr>
              <w:t>分值构成</w:t>
            </w:r>
          </w:p>
          <w:p w14:paraId="75402D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lang w:bidi="zh-TW"/>
              </w:rPr>
            </w:pPr>
            <w:r>
              <w:rPr>
                <w:rFonts w:hint="eastAsia" w:ascii="宋体" w:hAnsi="宋体" w:eastAsia="宋体" w:cs="宋体"/>
                <w:sz w:val="21"/>
                <w:szCs w:val="21"/>
                <w:lang w:bidi="en-US"/>
              </w:rPr>
              <w:t>(总100分）</w:t>
            </w:r>
          </w:p>
        </w:tc>
        <w:tc>
          <w:tcPr>
            <w:tcW w:w="7076" w:type="dxa"/>
            <w:shd w:val="clear" w:color="auto" w:fill="auto"/>
          </w:tcPr>
          <w:p w14:paraId="058AF44B">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sz w:val="21"/>
                <w:szCs w:val="21"/>
                <w:lang w:bidi="zh-TW"/>
              </w:rPr>
            </w:pPr>
            <w:r>
              <w:rPr>
                <w:rFonts w:hint="eastAsia" w:ascii="宋体" w:hAnsi="宋体" w:eastAsia="宋体" w:cs="宋体"/>
                <w:b/>
                <w:sz w:val="21"/>
                <w:szCs w:val="21"/>
                <w:lang w:bidi="en-US"/>
              </w:rPr>
              <w:t>第一个信封（商务及技术文件）评分分值构成：</w:t>
            </w:r>
          </w:p>
          <w:p w14:paraId="75BE595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en-US"/>
              </w:rPr>
            </w:pPr>
            <w:r>
              <w:rPr>
                <w:rFonts w:hint="eastAsia" w:ascii="宋体" w:hAnsi="宋体" w:eastAsia="宋体" w:cs="宋体"/>
                <w:sz w:val="21"/>
                <w:szCs w:val="21"/>
                <w:lang w:bidi="en-US"/>
              </w:rPr>
              <w:t>技术建议书：</w:t>
            </w:r>
            <w:r>
              <w:rPr>
                <w:rFonts w:hint="eastAsia" w:ascii="宋体" w:hAnsi="宋体" w:eastAsia="宋体" w:cs="宋体"/>
                <w:sz w:val="21"/>
                <w:szCs w:val="21"/>
                <w:u w:val="single"/>
                <w:lang w:bidi="en-US"/>
              </w:rPr>
              <w:t xml:space="preserve"> 35 </w:t>
            </w:r>
            <w:r>
              <w:rPr>
                <w:rFonts w:hint="eastAsia" w:ascii="宋体" w:hAnsi="宋体" w:eastAsia="宋体" w:cs="宋体"/>
                <w:sz w:val="21"/>
                <w:szCs w:val="21"/>
                <w:lang w:bidi="en-US"/>
              </w:rPr>
              <w:t>分</w:t>
            </w:r>
          </w:p>
          <w:p w14:paraId="1046356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en-US"/>
              </w:rPr>
            </w:pPr>
            <w:r>
              <w:rPr>
                <w:rFonts w:hint="eastAsia" w:ascii="宋体" w:hAnsi="宋体" w:eastAsia="宋体" w:cs="宋体"/>
                <w:sz w:val="21"/>
                <w:szCs w:val="21"/>
                <w:lang w:bidi="en-US"/>
              </w:rPr>
              <w:t>主要人员：</w:t>
            </w:r>
            <w:r>
              <w:rPr>
                <w:rFonts w:hint="eastAsia" w:ascii="宋体" w:hAnsi="宋体" w:eastAsia="宋体" w:cs="宋体"/>
                <w:sz w:val="21"/>
                <w:szCs w:val="21"/>
                <w:u w:val="single"/>
                <w:lang w:bidi="en-US"/>
              </w:rPr>
              <w:t xml:space="preserve"> 25 </w:t>
            </w:r>
            <w:r>
              <w:rPr>
                <w:rFonts w:hint="eastAsia" w:ascii="宋体" w:hAnsi="宋体" w:eastAsia="宋体" w:cs="宋体"/>
                <w:sz w:val="21"/>
                <w:szCs w:val="21"/>
                <w:lang w:bidi="en-US"/>
              </w:rPr>
              <w:t>分</w:t>
            </w:r>
          </w:p>
          <w:p w14:paraId="5F83B46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en-US"/>
              </w:rPr>
            </w:pPr>
            <w:r>
              <w:rPr>
                <w:rFonts w:hint="eastAsia" w:ascii="宋体" w:hAnsi="宋体" w:eastAsia="宋体" w:cs="宋体"/>
                <w:sz w:val="21"/>
                <w:szCs w:val="21"/>
                <w:lang w:bidi="en-US"/>
              </w:rPr>
              <w:t>业绩：</w:t>
            </w:r>
            <w:r>
              <w:rPr>
                <w:rFonts w:hint="eastAsia" w:ascii="宋体" w:hAnsi="宋体" w:eastAsia="宋体" w:cs="宋体"/>
                <w:sz w:val="21"/>
                <w:szCs w:val="21"/>
                <w:u w:val="single"/>
                <w:lang w:bidi="en-US"/>
              </w:rPr>
              <w:t xml:space="preserve"> 20 </w:t>
            </w:r>
            <w:r>
              <w:rPr>
                <w:rFonts w:hint="eastAsia" w:ascii="宋体" w:hAnsi="宋体" w:eastAsia="宋体" w:cs="宋体"/>
                <w:sz w:val="21"/>
                <w:szCs w:val="21"/>
                <w:lang w:bidi="en-US"/>
              </w:rPr>
              <w:t>分</w:t>
            </w:r>
          </w:p>
          <w:p w14:paraId="148AAF14">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bidi="en-US"/>
              </w:rPr>
            </w:pPr>
            <w:r>
              <w:rPr>
                <w:rFonts w:hint="eastAsia" w:ascii="宋体" w:hAnsi="宋体" w:eastAsia="宋体" w:cs="宋体"/>
                <w:sz w:val="21"/>
                <w:szCs w:val="21"/>
                <w:lang w:bidi="en-US"/>
              </w:rPr>
              <w:t>履约信誉：</w:t>
            </w:r>
            <w:r>
              <w:rPr>
                <w:rFonts w:hint="eastAsia" w:ascii="宋体" w:hAnsi="宋体" w:eastAsia="宋体" w:cs="宋体"/>
                <w:sz w:val="21"/>
                <w:szCs w:val="21"/>
                <w:u w:val="single"/>
                <w:lang w:bidi="en-US"/>
              </w:rPr>
              <w:t xml:space="preserve"> 10 </w:t>
            </w:r>
            <w:r>
              <w:rPr>
                <w:rFonts w:hint="eastAsia" w:ascii="宋体" w:hAnsi="宋体" w:eastAsia="宋体" w:cs="宋体"/>
                <w:sz w:val="21"/>
                <w:szCs w:val="21"/>
                <w:lang w:bidi="en-US"/>
              </w:rPr>
              <w:t>分</w:t>
            </w:r>
          </w:p>
          <w:p w14:paraId="68074B5A">
            <w:pPr>
              <w:keepNext w:val="0"/>
              <w:keepLines w:val="0"/>
              <w:pageBreakBefore w:val="0"/>
              <w:widowControl w:val="0"/>
              <w:kinsoku/>
              <w:wordWrap/>
              <w:overflowPunct/>
              <w:topLinePunct w:val="0"/>
              <w:autoSpaceDE/>
              <w:autoSpaceDN/>
              <w:bidi w:val="0"/>
              <w:adjustRightInd/>
              <w:snapToGrid/>
              <w:spacing w:line="360" w:lineRule="exact"/>
              <w:ind w:firstLine="422" w:firstLineChars="200"/>
              <w:textAlignment w:val="auto"/>
              <w:rPr>
                <w:rFonts w:hint="eastAsia" w:ascii="宋体" w:hAnsi="宋体" w:eastAsia="宋体" w:cs="宋体"/>
                <w:b/>
                <w:sz w:val="21"/>
                <w:szCs w:val="21"/>
                <w:lang w:bidi="en-US"/>
              </w:rPr>
            </w:pPr>
            <w:r>
              <w:rPr>
                <w:rFonts w:hint="eastAsia" w:ascii="宋体" w:hAnsi="宋体" w:eastAsia="宋体" w:cs="宋体"/>
                <w:b/>
                <w:sz w:val="21"/>
                <w:szCs w:val="21"/>
                <w:lang w:bidi="en-US"/>
              </w:rPr>
              <w:t>第二个信封（报价文件）评分分值构成：</w:t>
            </w:r>
          </w:p>
          <w:p w14:paraId="10381418">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rPr>
            </w:pPr>
            <w:r>
              <w:rPr>
                <w:rFonts w:hint="eastAsia" w:ascii="宋体" w:hAnsi="宋体" w:eastAsia="宋体" w:cs="宋体"/>
                <w:sz w:val="21"/>
                <w:szCs w:val="21"/>
                <w:lang w:bidi="en-US"/>
              </w:rPr>
              <w:t>评标价：</w:t>
            </w:r>
            <w:r>
              <w:rPr>
                <w:rFonts w:hint="eastAsia" w:ascii="宋体" w:hAnsi="宋体" w:eastAsia="宋体" w:cs="宋体"/>
                <w:sz w:val="21"/>
                <w:szCs w:val="21"/>
                <w:u w:val="single"/>
                <w:lang w:bidi="en-US"/>
              </w:rPr>
              <w:t xml:space="preserve"> 10 </w:t>
            </w:r>
            <w:r>
              <w:rPr>
                <w:rFonts w:hint="eastAsia" w:ascii="宋体" w:hAnsi="宋体" w:eastAsia="宋体" w:cs="宋体"/>
                <w:sz w:val="21"/>
                <w:szCs w:val="21"/>
                <w:lang w:bidi="en-US"/>
              </w:rPr>
              <w:t>分</w:t>
            </w:r>
          </w:p>
        </w:tc>
      </w:tr>
      <w:tr w14:paraId="0FFBF4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vAlign w:val="center"/>
          </w:tcPr>
          <w:p w14:paraId="6F19C0E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highlight w:val="none"/>
              </w:rPr>
            </w:pPr>
            <w:r>
              <w:rPr>
                <w:rStyle w:val="33"/>
                <w:rFonts w:hint="eastAsia" w:ascii="宋体" w:hAnsi="宋体" w:eastAsia="宋体" w:cs="宋体"/>
                <w:sz w:val="21"/>
                <w:szCs w:val="21"/>
                <w:highlight w:val="none"/>
              </w:rPr>
              <w:t>2</w:t>
            </w:r>
            <w:r>
              <w:rPr>
                <w:rStyle w:val="35"/>
                <w:rFonts w:hint="eastAsia" w:ascii="宋体" w:hAnsi="宋体" w:eastAsia="宋体" w:cs="宋体"/>
                <w:sz w:val="21"/>
                <w:szCs w:val="21"/>
                <w:highlight w:val="none"/>
              </w:rPr>
              <w:t>.</w:t>
            </w:r>
            <w:r>
              <w:rPr>
                <w:rStyle w:val="33"/>
                <w:rFonts w:hint="eastAsia" w:ascii="宋体" w:hAnsi="宋体" w:eastAsia="宋体" w:cs="宋体"/>
                <w:sz w:val="21"/>
                <w:szCs w:val="21"/>
                <w:highlight w:val="none"/>
              </w:rPr>
              <w:t>2.2</w:t>
            </w:r>
          </w:p>
        </w:tc>
        <w:tc>
          <w:tcPr>
            <w:tcW w:w="1527" w:type="dxa"/>
            <w:shd w:val="clear" w:color="auto" w:fill="auto"/>
            <w:vAlign w:val="center"/>
          </w:tcPr>
          <w:p w14:paraId="37603B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评标基准价计算方法</w:t>
            </w:r>
          </w:p>
        </w:tc>
        <w:tc>
          <w:tcPr>
            <w:tcW w:w="7076" w:type="dxa"/>
            <w:shd w:val="clear" w:color="auto" w:fill="auto"/>
          </w:tcPr>
          <w:p w14:paraId="0D4BBB1E">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评标基准价的计算：</w:t>
            </w:r>
          </w:p>
          <w:p w14:paraId="7A44E065">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在开标现场，招标人将当场计算并宣布评标基准价。</w:t>
            </w:r>
          </w:p>
          <w:p w14:paraId="23A76703">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315" w:firstLineChars="15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（1）评标价的确定：</w:t>
            </w:r>
          </w:p>
          <w:p w14:paraId="58210CFA">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评标价=投标函文字报价</w:t>
            </w:r>
          </w:p>
          <w:p w14:paraId="6DB3AAD6">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315" w:firstLineChars="15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（2）评标价平均值的计算：</w:t>
            </w:r>
          </w:p>
          <w:p w14:paraId="333819F9">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除按第二章“投标人须知”第5.2.4项规定开标现场被宣布为不参与评标基准价计算的投标报价之外，所有投标人的评标价去掉一个最高值和一个最低值后的算术平均值即为评标价平均值</w:t>
            </w:r>
            <w:r>
              <w:rPr>
                <w:rFonts w:hint="eastAsia" w:ascii="宋体" w:hAnsi="宋体" w:eastAsia="宋体" w:cs="宋体"/>
                <w:bCs/>
                <w:sz w:val="21"/>
                <w:szCs w:val="21"/>
                <w:highlight w:val="none"/>
              </w:rPr>
              <w:t>（如果参与评标价平均值计算的有效投标人少于5家时，则计算评标价平均值时不去掉最高值和最低值），评标价平均值的计算保留整数，小数点后第1位“四舍五入”。</w:t>
            </w:r>
          </w:p>
          <w:p w14:paraId="48998C17">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（3）评标基准价的确定：</w:t>
            </w:r>
          </w:p>
          <w:p w14:paraId="7E2929B4">
            <w:pPr>
              <w:keepNext w:val="0"/>
              <w:keepLines w:val="0"/>
              <w:pageBreakBefore w:val="0"/>
              <w:widowControl w:val="0"/>
              <w:kinsoku/>
              <w:wordWrap/>
              <w:overflowPunct/>
              <w:topLinePunct w:val="0"/>
              <w:autoSpaceDE/>
              <w:autoSpaceDN/>
              <w:bidi w:val="0"/>
              <w:adjustRightInd/>
              <w:snapToGrid/>
              <w:spacing w:line="360" w:lineRule="exact"/>
              <w:ind w:left="113" w:leftChars="54" w:right="113"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将评标价平均值直接作为评标基准价。</w:t>
            </w:r>
          </w:p>
          <w:p w14:paraId="7E68C91F">
            <w:pPr>
              <w:keepNext w:val="0"/>
              <w:keepLines w:val="0"/>
              <w:pageBreakBefore w:val="0"/>
              <w:widowControl w:val="0"/>
              <w:kinsoku/>
              <w:wordWrap/>
              <w:overflowPunct/>
              <w:topLinePunct w:val="0"/>
              <w:autoSpaceDE/>
              <w:autoSpaceDN/>
              <w:bidi w:val="0"/>
              <w:adjustRightInd/>
              <w:snapToGrid/>
              <w:spacing w:line="360" w:lineRule="exact"/>
              <w:ind w:firstLine="455" w:firstLineChars="217"/>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在评标过程中，评标委员会应对计算的评标基准价进行复核，存在计算错误的应予以修正并在评标报告中作出说明。除此之外，评标基准价在整个评标期间保持不变，不随任何因素发生变化。</w:t>
            </w:r>
          </w:p>
        </w:tc>
      </w:tr>
      <w:tr w14:paraId="4A180C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59" w:type="dxa"/>
            <w:shd w:val="clear" w:color="auto" w:fill="auto"/>
            <w:vAlign w:val="center"/>
          </w:tcPr>
          <w:p w14:paraId="6CBF7E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sz w:val="21"/>
                <w:szCs w:val="21"/>
                <w:highlight w:val="none"/>
              </w:rPr>
            </w:pPr>
            <w:r>
              <w:rPr>
                <w:rStyle w:val="33"/>
                <w:rFonts w:hint="eastAsia" w:ascii="宋体" w:hAnsi="宋体" w:eastAsia="宋体" w:cs="宋体"/>
                <w:sz w:val="21"/>
                <w:szCs w:val="21"/>
                <w:highlight w:val="none"/>
                <w:lang w:eastAsia="zh-CN" w:bidi="ar-SA"/>
              </w:rPr>
              <w:t>2.2.3</w:t>
            </w:r>
          </w:p>
        </w:tc>
        <w:tc>
          <w:tcPr>
            <w:tcW w:w="1527" w:type="dxa"/>
            <w:shd w:val="clear" w:color="auto" w:fill="auto"/>
            <w:vAlign w:val="center"/>
          </w:tcPr>
          <w:p w14:paraId="2C1078E3">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评标价的偏差率计算公式</w:t>
            </w:r>
          </w:p>
        </w:tc>
        <w:tc>
          <w:tcPr>
            <w:tcW w:w="7076" w:type="dxa"/>
            <w:shd w:val="clear" w:color="auto" w:fill="auto"/>
          </w:tcPr>
          <w:p w14:paraId="306CB331">
            <w:pPr>
              <w:keepNext w:val="0"/>
              <w:keepLines w:val="0"/>
              <w:pageBreakBefore w:val="0"/>
              <w:widowControl w:val="0"/>
              <w:kinsoku/>
              <w:wordWrap/>
              <w:overflowPunct/>
              <w:topLinePunct w:val="0"/>
              <w:autoSpaceDE/>
              <w:autoSpaceDN/>
              <w:bidi w:val="0"/>
              <w:adjustRightInd/>
              <w:snapToGrid/>
              <w:spacing w:line="360" w:lineRule="exact"/>
              <w:ind w:left="5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偏差率=100%×(投标人评标价-评标基准价）/评标基准价</w:t>
            </w:r>
          </w:p>
          <w:p w14:paraId="1D63F0C1">
            <w:pPr>
              <w:keepNext w:val="0"/>
              <w:keepLines w:val="0"/>
              <w:pageBreakBefore w:val="0"/>
              <w:widowControl w:val="0"/>
              <w:kinsoku/>
              <w:wordWrap/>
              <w:overflowPunct/>
              <w:topLinePunct w:val="0"/>
              <w:autoSpaceDE/>
              <w:autoSpaceDN/>
              <w:bidi w:val="0"/>
              <w:adjustRightInd/>
              <w:snapToGrid/>
              <w:spacing w:line="360" w:lineRule="exact"/>
              <w:ind w:left="5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偏差率保留2位小数</w:t>
            </w:r>
          </w:p>
        </w:tc>
      </w:tr>
    </w:tbl>
    <w:p w14:paraId="3E6BDD87">
      <w:pPr>
        <w:keepLines w:val="0"/>
        <w:kinsoku/>
        <w:wordWrap/>
        <w:overflowPunct/>
        <w:topLinePunct w:val="0"/>
        <w:bidi w:val="0"/>
        <w:spacing w:line="360" w:lineRule="exact"/>
        <w:jc w:val="right"/>
        <w:rPr>
          <w:rFonts w:hint="eastAsia" w:ascii="宋体" w:hAnsi="宋体" w:eastAsia="宋体" w:cs="宋体"/>
          <w:sz w:val="21"/>
          <w:szCs w:val="21"/>
          <w:highlight w:val="none"/>
        </w:rPr>
      </w:pPr>
    </w:p>
    <w:p w14:paraId="55B71FE5">
      <w:pPr>
        <w:keepLines w:val="0"/>
        <w:kinsoku/>
        <w:wordWrap/>
        <w:overflowPunct/>
        <w:topLinePunct w:val="0"/>
        <w:bidi w:val="0"/>
        <w:spacing w:line="360" w:lineRule="exact"/>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续上表</w:t>
      </w:r>
    </w:p>
    <w:tbl>
      <w:tblPr>
        <w:tblStyle w:val="11"/>
        <w:tblW w:w="960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069"/>
        <w:gridCol w:w="749"/>
        <w:gridCol w:w="676"/>
        <w:gridCol w:w="1110"/>
        <w:gridCol w:w="1905"/>
        <w:gridCol w:w="945"/>
        <w:gridCol w:w="3152"/>
      </w:tblGrid>
      <w:tr w14:paraId="47A893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6454" w:type="dxa"/>
            <w:gridSpan w:val="6"/>
            <w:shd w:val="clear" w:color="auto" w:fill="auto"/>
            <w:vAlign w:val="center"/>
          </w:tcPr>
          <w:p w14:paraId="53C2CE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评分因素与权重分值</w:t>
            </w:r>
          </w:p>
        </w:tc>
        <w:tc>
          <w:tcPr>
            <w:tcW w:w="3152" w:type="dxa"/>
            <w:vMerge w:val="restart"/>
            <w:shd w:val="clear" w:color="auto" w:fill="auto"/>
            <w:vAlign w:val="center"/>
          </w:tcPr>
          <w:p w14:paraId="7A11D96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评分标准</w:t>
            </w:r>
          </w:p>
        </w:tc>
      </w:tr>
      <w:tr w14:paraId="05BD84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1069" w:type="dxa"/>
            <w:shd w:val="clear" w:color="auto" w:fill="auto"/>
            <w:vAlign w:val="center"/>
          </w:tcPr>
          <w:p w14:paraId="16E0A1C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1425" w:type="dxa"/>
            <w:gridSpan w:val="2"/>
            <w:shd w:val="clear" w:color="auto" w:fill="auto"/>
            <w:vAlign w:val="center"/>
          </w:tcPr>
          <w:p w14:paraId="18071B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评分因素</w:t>
            </w:r>
          </w:p>
        </w:tc>
        <w:tc>
          <w:tcPr>
            <w:tcW w:w="1110" w:type="dxa"/>
            <w:shd w:val="clear" w:color="auto" w:fill="auto"/>
            <w:vAlign w:val="center"/>
          </w:tcPr>
          <w:p w14:paraId="38047A7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评分因素权重分值</w:t>
            </w:r>
          </w:p>
        </w:tc>
        <w:tc>
          <w:tcPr>
            <w:tcW w:w="1905" w:type="dxa"/>
            <w:shd w:val="clear" w:color="auto" w:fill="auto"/>
            <w:vAlign w:val="center"/>
          </w:tcPr>
          <w:p w14:paraId="636111C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各评分因素细分项</w:t>
            </w:r>
          </w:p>
        </w:tc>
        <w:tc>
          <w:tcPr>
            <w:tcW w:w="945" w:type="dxa"/>
            <w:shd w:val="clear" w:color="auto" w:fill="auto"/>
            <w:vAlign w:val="center"/>
          </w:tcPr>
          <w:p w14:paraId="13B0B7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分值</w:t>
            </w:r>
          </w:p>
        </w:tc>
        <w:tc>
          <w:tcPr>
            <w:tcW w:w="3152" w:type="dxa"/>
            <w:vMerge w:val="continue"/>
            <w:shd w:val="clear" w:color="auto" w:fill="auto"/>
          </w:tcPr>
          <w:p w14:paraId="0FE4F6F1">
            <w:pPr>
              <w:keepNext w:val="0"/>
              <w:keepLines w:val="0"/>
              <w:pageBreakBefore w:val="0"/>
              <w:widowControl w:val="0"/>
              <w:kinsoku/>
              <w:wordWrap/>
              <w:overflowPunct/>
              <w:topLinePunct w:val="0"/>
              <w:bidi w:val="0"/>
              <w:adjustRightInd/>
              <w:snapToGrid/>
              <w:spacing w:line="360" w:lineRule="exact"/>
              <w:textAlignment w:val="auto"/>
              <w:rPr>
                <w:rFonts w:hint="eastAsia" w:ascii="宋体" w:hAnsi="宋体" w:eastAsia="宋体" w:cs="宋体"/>
                <w:color w:val="auto"/>
                <w:sz w:val="21"/>
                <w:szCs w:val="21"/>
                <w:highlight w:val="none"/>
              </w:rPr>
            </w:pPr>
          </w:p>
        </w:tc>
      </w:tr>
      <w:tr w14:paraId="152C63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restart"/>
            <w:shd w:val="clear" w:color="auto" w:fill="auto"/>
            <w:vAlign w:val="center"/>
          </w:tcPr>
          <w:p w14:paraId="66229EF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2.2.4（1）</w:t>
            </w:r>
          </w:p>
        </w:tc>
        <w:tc>
          <w:tcPr>
            <w:tcW w:w="1425" w:type="dxa"/>
            <w:gridSpan w:val="2"/>
            <w:vMerge w:val="restart"/>
            <w:shd w:val="clear" w:color="auto" w:fill="auto"/>
            <w:vAlign w:val="center"/>
          </w:tcPr>
          <w:p w14:paraId="0E89727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技术建议书</w:t>
            </w:r>
          </w:p>
        </w:tc>
        <w:tc>
          <w:tcPr>
            <w:tcW w:w="1110" w:type="dxa"/>
            <w:vMerge w:val="restart"/>
            <w:shd w:val="clear" w:color="auto" w:fill="auto"/>
            <w:vAlign w:val="center"/>
          </w:tcPr>
          <w:p w14:paraId="169D74A3">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35 </w:t>
            </w:r>
            <w:r>
              <w:rPr>
                <w:rFonts w:hint="eastAsia" w:ascii="宋体" w:hAnsi="宋体" w:eastAsia="宋体" w:cs="宋体"/>
                <w:color w:val="auto"/>
                <w:sz w:val="21"/>
                <w:szCs w:val="21"/>
                <w:highlight w:val="none"/>
              </w:rPr>
              <w:t>分</w:t>
            </w:r>
          </w:p>
        </w:tc>
        <w:tc>
          <w:tcPr>
            <w:tcW w:w="1905" w:type="dxa"/>
            <w:vMerge w:val="restart"/>
            <w:shd w:val="clear" w:color="auto" w:fill="auto"/>
            <w:vAlign w:val="center"/>
          </w:tcPr>
          <w:p w14:paraId="1405AC4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en-US"/>
              </w:rPr>
              <w:t>监理大纲（或监理方案）和措施</w:t>
            </w:r>
          </w:p>
        </w:tc>
        <w:tc>
          <w:tcPr>
            <w:tcW w:w="945" w:type="dxa"/>
            <w:vMerge w:val="restart"/>
            <w:shd w:val="clear" w:color="auto" w:fill="auto"/>
            <w:vAlign w:val="center"/>
          </w:tcPr>
          <w:p w14:paraId="6E4E1AF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20 </w:t>
            </w:r>
            <w:r>
              <w:rPr>
                <w:rFonts w:hint="eastAsia" w:ascii="宋体" w:hAnsi="宋体" w:eastAsia="宋体" w:cs="宋体"/>
                <w:color w:val="auto"/>
                <w:sz w:val="21"/>
                <w:szCs w:val="21"/>
                <w:highlight w:val="none"/>
              </w:rPr>
              <w:t>分</w:t>
            </w:r>
          </w:p>
        </w:tc>
        <w:tc>
          <w:tcPr>
            <w:tcW w:w="3152" w:type="dxa"/>
            <w:shd w:val="clear" w:color="auto" w:fill="auto"/>
            <w:vAlign w:val="center"/>
          </w:tcPr>
          <w:p w14:paraId="42739E27">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一般得12～15分</w:t>
            </w:r>
          </w:p>
        </w:tc>
      </w:tr>
      <w:tr w14:paraId="60CF27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455213D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425" w:type="dxa"/>
            <w:gridSpan w:val="2"/>
            <w:vMerge w:val="continue"/>
            <w:shd w:val="clear" w:color="auto" w:fill="auto"/>
            <w:vAlign w:val="center"/>
          </w:tcPr>
          <w:p w14:paraId="3A53D0E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2F928DFD">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1905" w:type="dxa"/>
            <w:vMerge w:val="continue"/>
            <w:shd w:val="clear" w:color="auto" w:fill="auto"/>
            <w:vAlign w:val="center"/>
          </w:tcPr>
          <w:p w14:paraId="42258EFD">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lang w:bidi="en-US"/>
              </w:rPr>
            </w:pPr>
          </w:p>
        </w:tc>
        <w:tc>
          <w:tcPr>
            <w:tcW w:w="945" w:type="dxa"/>
            <w:vMerge w:val="continue"/>
            <w:shd w:val="clear" w:color="auto" w:fill="auto"/>
            <w:vAlign w:val="center"/>
          </w:tcPr>
          <w:p w14:paraId="06FC176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3152" w:type="dxa"/>
            <w:shd w:val="clear" w:color="auto" w:fill="auto"/>
            <w:vAlign w:val="center"/>
          </w:tcPr>
          <w:p w14:paraId="67385821">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满意得15～20分</w:t>
            </w:r>
          </w:p>
        </w:tc>
      </w:tr>
      <w:tr w14:paraId="48126B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4954198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425" w:type="dxa"/>
            <w:gridSpan w:val="2"/>
            <w:vMerge w:val="continue"/>
            <w:shd w:val="clear" w:color="auto" w:fill="auto"/>
            <w:vAlign w:val="center"/>
          </w:tcPr>
          <w:p w14:paraId="15EA8BEF">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79B67E0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905" w:type="dxa"/>
            <w:vMerge w:val="restart"/>
            <w:shd w:val="clear" w:color="auto" w:fill="auto"/>
            <w:vAlign w:val="center"/>
          </w:tcPr>
          <w:p w14:paraId="00F9187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en-US"/>
              </w:rPr>
              <w:t>本工程监理工作的重点与难点分析</w:t>
            </w:r>
          </w:p>
        </w:tc>
        <w:tc>
          <w:tcPr>
            <w:tcW w:w="945" w:type="dxa"/>
            <w:vMerge w:val="restart"/>
            <w:shd w:val="clear" w:color="auto" w:fill="auto"/>
            <w:vAlign w:val="center"/>
          </w:tcPr>
          <w:p w14:paraId="0D8A487F">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10 </w:t>
            </w:r>
            <w:r>
              <w:rPr>
                <w:rFonts w:hint="eastAsia" w:ascii="宋体" w:hAnsi="宋体" w:eastAsia="宋体" w:cs="宋体"/>
                <w:color w:val="auto"/>
                <w:sz w:val="21"/>
                <w:szCs w:val="21"/>
                <w:highlight w:val="none"/>
              </w:rPr>
              <w:t>分</w:t>
            </w:r>
          </w:p>
        </w:tc>
        <w:tc>
          <w:tcPr>
            <w:tcW w:w="3152" w:type="dxa"/>
            <w:shd w:val="clear" w:color="auto" w:fill="auto"/>
            <w:vAlign w:val="center"/>
          </w:tcPr>
          <w:p w14:paraId="5547D748">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一般得6～8分</w:t>
            </w:r>
          </w:p>
        </w:tc>
      </w:tr>
      <w:tr w14:paraId="793FA0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790AEFE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425" w:type="dxa"/>
            <w:gridSpan w:val="2"/>
            <w:vMerge w:val="continue"/>
            <w:shd w:val="clear" w:color="auto" w:fill="auto"/>
            <w:vAlign w:val="center"/>
          </w:tcPr>
          <w:p w14:paraId="28B33DCC">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128CBD9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905" w:type="dxa"/>
            <w:vMerge w:val="continue"/>
            <w:shd w:val="clear" w:color="auto" w:fill="auto"/>
            <w:vAlign w:val="center"/>
          </w:tcPr>
          <w:p w14:paraId="7CDD8BA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lang w:bidi="en-US"/>
              </w:rPr>
            </w:pPr>
          </w:p>
        </w:tc>
        <w:tc>
          <w:tcPr>
            <w:tcW w:w="945" w:type="dxa"/>
            <w:vMerge w:val="continue"/>
            <w:shd w:val="clear" w:color="auto" w:fill="auto"/>
            <w:vAlign w:val="center"/>
          </w:tcPr>
          <w:p w14:paraId="56E0257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3152" w:type="dxa"/>
            <w:shd w:val="clear" w:color="auto" w:fill="auto"/>
            <w:vAlign w:val="center"/>
          </w:tcPr>
          <w:p w14:paraId="454D62B0">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满意得8～10分</w:t>
            </w:r>
          </w:p>
        </w:tc>
      </w:tr>
      <w:tr w14:paraId="332E08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0266ADF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425" w:type="dxa"/>
            <w:gridSpan w:val="2"/>
            <w:vMerge w:val="continue"/>
            <w:shd w:val="clear" w:color="auto" w:fill="auto"/>
            <w:vAlign w:val="center"/>
          </w:tcPr>
          <w:p w14:paraId="7B703DC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1378122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905" w:type="dxa"/>
            <w:vMerge w:val="restart"/>
            <w:shd w:val="clear" w:color="auto" w:fill="auto"/>
            <w:vAlign w:val="center"/>
          </w:tcPr>
          <w:p w14:paraId="7DC080F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lang w:bidi="en-US"/>
              </w:rPr>
            </w:pPr>
            <w:r>
              <w:rPr>
                <w:rFonts w:hint="eastAsia" w:ascii="宋体" w:hAnsi="宋体" w:eastAsia="宋体" w:cs="宋体"/>
                <w:color w:val="auto"/>
                <w:sz w:val="21"/>
                <w:szCs w:val="21"/>
                <w:highlight w:val="none"/>
                <w:lang w:bidi="en-US"/>
              </w:rPr>
              <w:t>对本工程的建议</w:t>
            </w:r>
          </w:p>
        </w:tc>
        <w:tc>
          <w:tcPr>
            <w:tcW w:w="945" w:type="dxa"/>
            <w:vMerge w:val="restart"/>
            <w:shd w:val="clear" w:color="auto" w:fill="auto"/>
            <w:vAlign w:val="center"/>
          </w:tcPr>
          <w:p w14:paraId="5AC50C4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5 </w:t>
            </w:r>
            <w:r>
              <w:rPr>
                <w:rFonts w:hint="eastAsia" w:ascii="宋体" w:hAnsi="宋体" w:eastAsia="宋体" w:cs="宋体"/>
                <w:color w:val="auto"/>
                <w:sz w:val="21"/>
                <w:szCs w:val="21"/>
                <w:highlight w:val="none"/>
              </w:rPr>
              <w:t>分</w:t>
            </w:r>
          </w:p>
        </w:tc>
        <w:tc>
          <w:tcPr>
            <w:tcW w:w="3152" w:type="dxa"/>
            <w:shd w:val="clear" w:color="auto" w:fill="auto"/>
            <w:vAlign w:val="center"/>
          </w:tcPr>
          <w:p w14:paraId="515CC938">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一般得3～4分</w:t>
            </w:r>
          </w:p>
        </w:tc>
      </w:tr>
      <w:tr w14:paraId="68E851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46E8957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425" w:type="dxa"/>
            <w:gridSpan w:val="2"/>
            <w:vMerge w:val="continue"/>
            <w:shd w:val="clear" w:color="auto" w:fill="auto"/>
            <w:vAlign w:val="center"/>
          </w:tcPr>
          <w:p w14:paraId="2BC8F77D">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3DD559C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905" w:type="dxa"/>
            <w:vMerge w:val="continue"/>
            <w:shd w:val="clear" w:color="auto" w:fill="auto"/>
            <w:vAlign w:val="center"/>
          </w:tcPr>
          <w:p w14:paraId="4424DD3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945" w:type="dxa"/>
            <w:vMerge w:val="continue"/>
            <w:shd w:val="clear" w:color="auto" w:fill="auto"/>
            <w:vAlign w:val="center"/>
          </w:tcPr>
          <w:p w14:paraId="1DEEB446">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3152" w:type="dxa"/>
            <w:shd w:val="clear" w:color="auto" w:fill="auto"/>
            <w:vAlign w:val="center"/>
          </w:tcPr>
          <w:p w14:paraId="01E801FB">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满意得4～5分</w:t>
            </w:r>
          </w:p>
        </w:tc>
      </w:tr>
      <w:tr w14:paraId="1B00F4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restart"/>
            <w:shd w:val="clear" w:color="auto" w:fill="auto"/>
            <w:vAlign w:val="center"/>
          </w:tcPr>
          <w:p w14:paraId="5F53560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2.2.4（2）</w:t>
            </w:r>
          </w:p>
        </w:tc>
        <w:tc>
          <w:tcPr>
            <w:tcW w:w="1425" w:type="dxa"/>
            <w:gridSpan w:val="2"/>
            <w:vMerge w:val="restart"/>
            <w:shd w:val="clear" w:color="auto" w:fill="auto"/>
            <w:vAlign w:val="center"/>
          </w:tcPr>
          <w:p w14:paraId="13FF32E6">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主要人员</w:t>
            </w:r>
          </w:p>
        </w:tc>
        <w:tc>
          <w:tcPr>
            <w:tcW w:w="1110" w:type="dxa"/>
            <w:vMerge w:val="restart"/>
            <w:shd w:val="clear" w:color="auto" w:fill="auto"/>
            <w:vAlign w:val="center"/>
          </w:tcPr>
          <w:p w14:paraId="34AE367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25 </w:t>
            </w:r>
            <w:r>
              <w:rPr>
                <w:rFonts w:hint="eastAsia" w:ascii="宋体" w:hAnsi="宋体" w:eastAsia="宋体" w:cs="宋体"/>
                <w:color w:val="auto"/>
                <w:sz w:val="21"/>
                <w:szCs w:val="21"/>
                <w:highlight w:val="none"/>
              </w:rPr>
              <w:t>分</w:t>
            </w:r>
          </w:p>
        </w:tc>
        <w:tc>
          <w:tcPr>
            <w:tcW w:w="1905" w:type="dxa"/>
            <w:vMerge w:val="restart"/>
            <w:shd w:val="clear" w:color="auto" w:fill="auto"/>
            <w:vAlign w:val="center"/>
          </w:tcPr>
          <w:p w14:paraId="75427A4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bidi="en-US"/>
              </w:rPr>
              <w:t>总监理工程师</w:t>
            </w:r>
            <w:r>
              <w:rPr>
                <w:rFonts w:hint="eastAsia" w:ascii="宋体" w:hAnsi="宋体" w:eastAsia="宋体" w:cs="宋体"/>
                <w:color w:val="auto"/>
                <w:sz w:val="21"/>
                <w:szCs w:val="21"/>
                <w:highlight w:val="none"/>
                <w:lang w:bidi="en-US"/>
              </w:rPr>
              <w:br w:type="textWrapping"/>
            </w:r>
            <w:r>
              <w:rPr>
                <w:rFonts w:hint="eastAsia" w:ascii="宋体" w:hAnsi="宋体" w:eastAsia="宋体" w:cs="宋体"/>
                <w:color w:val="auto"/>
                <w:sz w:val="21"/>
                <w:szCs w:val="21"/>
                <w:highlight w:val="none"/>
                <w:lang w:bidi="en-US"/>
              </w:rPr>
              <w:t>任职资格与业绩</w:t>
            </w:r>
          </w:p>
        </w:tc>
        <w:tc>
          <w:tcPr>
            <w:tcW w:w="945" w:type="dxa"/>
            <w:shd w:val="clear" w:color="auto" w:fill="auto"/>
            <w:vAlign w:val="center"/>
          </w:tcPr>
          <w:p w14:paraId="6DEA13A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15 </w:t>
            </w:r>
            <w:r>
              <w:rPr>
                <w:rFonts w:hint="eastAsia" w:ascii="宋体" w:hAnsi="宋体" w:eastAsia="宋体" w:cs="宋体"/>
                <w:color w:val="auto"/>
                <w:sz w:val="21"/>
                <w:szCs w:val="21"/>
                <w:highlight w:val="none"/>
              </w:rPr>
              <w:t>分</w:t>
            </w:r>
          </w:p>
        </w:tc>
        <w:tc>
          <w:tcPr>
            <w:tcW w:w="3152" w:type="dxa"/>
            <w:shd w:val="clear" w:color="auto" w:fill="auto"/>
            <w:vAlign w:val="center"/>
          </w:tcPr>
          <w:p w14:paraId="20F28C53">
            <w:pPr>
              <w:keepNext w:val="0"/>
              <w:keepLines w:val="0"/>
              <w:pageBreakBefore w:val="0"/>
              <w:widowControl w:val="0"/>
              <w:kinsoku/>
              <w:wordWrap/>
              <w:overflowPunct/>
              <w:topLinePunct w:val="0"/>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满足资格审查最低要求得15分</w:t>
            </w:r>
          </w:p>
        </w:tc>
      </w:tr>
      <w:tr w14:paraId="439B99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4783CE0D">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425" w:type="dxa"/>
            <w:gridSpan w:val="2"/>
            <w:vMerge w:val="continue"/>
            <w:shd w:val="clear" w:color="auto" w:fill="auto"/>
            <w:vAlign w:val="center"/>
          </w:tcPr>
          <w:p w14:paraId="6C1D24BA">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024792F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1905" w:type="dxa"/>
            <w:vMerge w:val="continue"/>
            <w:shd w:val="clear" w:color="auto" w:fill="auto"/>
          </w:tcPr>
          <w:p w14:paraId="5058AFE8">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lang w:bidi="en-US"/>
              </w:rPr>
            </w:pPr>
          </w:p>
        </w:tc>
        <w:tc>
          <w:tcPr>
            <w:tcW w:w="945" w:type="dxa"/>
            <w:shd w:val="clear" w:color="auto" w:fill="auto"/>
            <w:vAlign w:val="center"/>
          </w:tcPr>
          <w:p w14:paraId="7040F0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10 </w:t>
            </w:r>
            <w:r>
              <w:rPr>
                <w:rFonts w:hint="eastAsia" w:ascii="宋体" w:hAnsi="宋体" w:eastAsia="宋体" w:cs="宋体"/>
                <w:color w:val="auto"/>
                <w:sz w:val="21"/>
                <w:szCs w:val="21"/>
                <w:highlight w:val="none"/>
              </w:rPr>
              <w:t>分</w:t>
            </w:r>
          </w:p>
        </w:tc>
        <w:tc>
          <w:tcPr>
            <w:tcW w:w="3152" w:type="dxa"/>
            <w:shd w:val="clear" w:color="auto" w:fill="auto"/>
            <w:vAlign w:val="center"/>
          </w:tcPr>
          <w:p w14:paraId="04F4B20C">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每提供1项二级（含）以上公路</w:t>
            </w:r>
            <w:r>
              <w:rPr>
                <w:rFonts w:hint="eastAsia" w:ascii="宋体" w:hAnsi="宋体" w:eastAsia="宋体" w:cs="宋体"/>
                <w:sz w:val="21"/>
                <w:szCs w:val="21"/>
                <w:highlight w:val="none"/>
                <w:lang w:val="en-US" w:eastAsia="zh-CN"/>
              </w:rPr>
              <w:t>沥青混凝土路面新建、改扩建工程或养护工程</w:t>
            </w:r>
            <w:r>
              <w:rPr>
                <w:rFonts w:hint="eastAsia" w:ascii="宋体" w:hAnsi="宋体" w:eastAsia="宋体" w:cs="宋体"/>
                <w:color w:val="auto"/>
                <w:sz w:val="21"/>
                <w:szCs w:val="21"/>
                <w:highlight w:val="none"/>
              </w:rPr>
              <w:t>的监理工程师任职经历加</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分，最多加10分。</w:t>
            </w:r>
          </w:p>
        </w:tc>
      </w:tr>
      <w:tr w14:paraId="374CA4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shd w:val="clear" w:color="auto" w:fill="auto"/>
            <w:vAlign w:val="center"/>
          </w:tcPr>
          <w:p w14:paraId="4B1D196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2.2.4（3）</w:t>
            </w:r>
          </w:p>
        </w:tc>
        <w:tc>
          <w:tcPr>
            <w:tcW w:w="1425" w:type="dxa"/>
            <w:gridSpan w:val="2"/>
            <w:shd w:val="clear" w:color="auto" w:fill="auto"/>
            <w:vAlign w:val="center"/>
          </w:tcPr>
          <w:p w14:paraId="6DBD0F3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评标价</w:t>
            </w:r>
          </w:p>
        </w:tc>
        <w:tc>
          <w:tcPr>
            <w:tcW w:w="1110" w:type="dxa"/>
            <w:shd w:val="clear" w:color="auto" w:fill="auto"/>
            <w:vAlign w:val="center"/>
          </w:tcPr>
          <w:p w14:paraId="590965C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10 </w:t>
            </w:r>
            <w:r>
              <w:rPr>
                <w:rFonts w:hint="eastAsia" w:ascii="宋体" w:hAnsi="宋体" w:eastAsia="宋体" w:cs="宋体"/>
                <w:color w:val="auto"/>
                <w:sz w:val="21"/>
                <w:szCs w:val="21"/>
                <w:highlight w:val="none"/>
              </w:rPr>
              <w:t>分</w:t>
            </w:r>
          </w:p>
        </w:tc>
        <w:tc>
          <w:tcPr>
            <w:tcW w:w="6002" w:type="dxa"/>
            <w:gridSpan w:val="3"/>
            <w:shd w:val="clear" w:color="auto" w:fill="auto"/>
          </w:tcPr>
          <w:p w14:paraId="59CBBEF5">
            <w:pPr>
              <w:keepNext w:val="0"/>
              <w:keepLines w:val="0"/>
              <w:pageBreakBefore w:val="0"/>
              <w:widowControl w:val="0"/>
              <w:kinsoku/>
              <w:wordWrap/>
              <w:overflowPunct/>
              <w:topLinePunct w:val="0"/>
              <w:autoSpaceDE/>
              <w:autoSpaceDN/>
              <w:bidi w:val="0"/>
              <w:adjustRightInd/>
              <w:snapToGrid/>
              <w:spacing w:line="360" w:lineRule="exact"/>
              <w:ind w:right="11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评标价得分计算公式示例：</w:t>
            </w:r>
          </w:p>
          <w:p w14:paraId="615D07C7">
            <w:pPr>
              <w:keepNext w:val="0"/>
              <w:keepLines w:val="0"/>
              <w:pageBreakBefore w:val="0"/>
              <w:widowControl w:val="0"/>
              <w:kinsoku/>
              <w:wordWrap/>
              <w:overflowPunct/>
              <w:topLinePunct w:val="0"/>
              <w:autoSpaceDE/>
              <w:autoSpaceDN/>
              <w:bidi w:val="0"/>
              <w:adjustRightInd/>
              <w:snapToGrid/>
              <w:spacing w:line="360" w:lineRule="exact"/>
              <w:ind w:right="11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（1）如果投标人的评标价&gt;评标基准价，则评标价得分＝F－偏差率×100×E1；</w:t>
            </w:r>
          </w:p>
          <w:p w14:paraId="3E857831">
            <w:pPr>
              <w:keepNext w:val="0"/>
              <w:keepLines w:val="0"/>
              <w:pageBreakBefore w:val="0"/>
              <w:widowControl w:val="0"/>
              <w:kinsoku/>
              <w:wordWrap/>
              <w:overflowPunct/>
              <w:topLinePunct w:val="0"/>
              <w:autoSpaceDE/>
              <w:autoSpaceDN/>
              <w:bidi w:val="0"/>
              <w:adjustRightInd/>
              <w:snapToGrid/>
              <w:spacing w:line="360" w:lineRule="exact"/>
              <w:ind w:right="11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（2）如果投标人的评标价≤评标基准价，则评标价得分＝F＋偏差率×100×E2。</w:t>
            </w:r>
          </w:p>
          <w:p w14:paraId="254F729C">
            <w:pPr>
              <w:keepNext w:val="0"/>
              <w:keepLines w:val="0"/>
              <w:pageBreakBefore w:val="0"/>
              <w:widowControl w:val="0"/>
              <w:kinsoku/>
              <w:wordWrap/>
              <w:overflowPunct/>
              <w:topLinePunct w:val="0"/>
              <w:autoSpaceDE/>
              <w:autoSpaceDN/>
              <w:bidi w:val="0"/>
              <w:adjustRightInd/>
              <w:snapToGrid/>
              <w:spacing w:line="360" w:lineRule="exact"/>
              <w:ind w:right="113"/>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式中：F=10，E1=0.2，E2=0.1。</w:t>
            </w:r>
          </w:p>
          <w:p w14:paraId="2E1808AF">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其中：F是评标价所占的权重分值，E1是评标价每高于评标基准价一个百分点的扣分值，E2是评标价每低于评标基准价一个百分点的扣分值。评标价得分保留两位小数，小数点后第三位“四舍五入”。</w:t>
            </w:r>
          </w:p>
        </w:tc>
      </w:tr>
      <w:tr w14:paraId="382DF6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restart"/>
            <w:shd w:val="clear" w:color="auto" w:fill="auto"/>
            <w:vAlign w:val="center"/>
          </w:tcPr>
          <w:p w14:paraId="463A307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2.2.4（4）</w:t>
            </w:r>
          </w:p>
        </w:tc>
        <w:tc>
          <w:tcPr>
            <w:tcW w:w="749" w:type="dxa"/>
            <w:vMerge w:val="restart"/>
            <w:shd w:val="clear" w:color="auto" w:fill="auto"/>
            <w:vAlign w:val="center"/>
          </w:tcPr>
          <w:p w14:paraId="7A05A2DD">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w:t>
            </w:r>
          </w:p>
          <w:p w14:paraId="483E745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因素</w:t>
            </w:r>
          </w:p>
        </w:tc>
        <w:tc>
          <w:tcPr>
            <w:tcW w:w="676" w:type="dxa"/>
            <w:vMerge w:val="restart"/>
            <w:shd w:val="clear" w:color="auto" w:fill="auto"/>
            <w:vAlign w:val="center"/>
          </w:tcPr>
          <w:p w14:paraId="6AAF61D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业绩</w:t>
            </w:r>
          </w:p>
        </w:tc>
        <w:tc>
          <w:tcPr>
            <w:tcW w:w="1110" w:type="dxa"/>
            <w:vMerge w:val="restart"/>
            <w:shd w:val="clear" w:color="auto" w:fill="auto"/>
            <w:vAlign w:val="center"/>
          </w:tcPr>
          <w:p w14:paraId="68484F2F">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20 </w:t>
            </w:r>
            <w:r>
              <w:rPr>
                <w:rFonts w:hint="eastAsia" w:ascii="宋体" w:hAnsi="宋体" w:eastAsia="宋体" w:cs="宋体"/>
                <w:color w:val="auto"/>
                <w:sz w:val="21"/>
                <w:szCs w:val="21"/>
                <w:highlight w:val="none"/>
              </w:rPr>
              <w:t>分</w:t>
            </w:r>
          </w:p>
        </w:tc>
        <w:tc>
          <w:tcPr>
            <w:tcW w:w="1905" w:type="dxa"/>
            <w:vMerge w:val="restart"/>
            <w:shd w:val="clear" w:color="auto" w:fill="auto"/>
            <w:vAlign w:val="center"/>
          </w:tcPr>
          <w:p w14:paraId="09538E1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近年内</w:t>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t>监理过的项目</w:t>
            </w:r>
          </w:p>
        </w:tc>
        <w:tc>
          <w:tcPr>
            <w:tcW w:w="945" w:type="dxa"/>
            <w:shd w:val="clear" w:color="auto" w:fill="auto"/>
            <w:vAlign w:val="center"/>
          </w:tcPr>
          <w:p w14:paraId="4DEAF61B">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12 </w:t>
            </w:r>
            <w:r>
              <w:rPr>
                <w:rFonts w:hint="eastAsia" w:ascii="宋体" w:hAnsi="宋体" w:eastAsia="宋体" w:cs="宋体"/>
                <w:color w:val="auto"/>
                <w:sz w:val="21"/>
                <w:szCs w:val="21"/>
                <w:highlight w:val="none"/>
              </w:rPr>
              <w:t>分</w:t>
            </w:r>
          </w:p>
        </w:tc>
        <w:tc>
          <w:tcPr>
            <w:tcW w:w="3152" w:type="dxa"/>
            <w:shd w:val="clear" w:color="auto" w:fill="auto"/>
            <w:vAlign w:val="center"/>
          </w:tcPr>
          <w:p w14:paraId="3E831B08">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投标人通过初步评审得12分。</w:t>
            </w:r>
          </w:p>
        </w:tc>
      </w:tr>
      <w:tr w14:paraId="0AE979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5619991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4D63543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continue"/>
            <w:shd w:val="clear" w:color="auto" w:fill="auto"/>
            <w:vAlign w:val="center"/>
          </w:tcPr>
          <w:p w14:paraId="5F26096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0488E28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905" w:type="dxa"/>
            <w:vMerge w:val="continue"/>
            <w:shd w:val="clear" w:color="auto" w:fill="auto"/>
          </w:tcPr>
          <w:p w14:paraId="7C823ACC">
            <w:pPr>
              <w:keepNext w:val="0"/>
              <w:keepLines w:val="0"/>
              <w:pageBreakBefore w:val="0"/>
              <w:widowControl w:val="0"/>
              <w:kinsoku/>
              <w:wordWrap/>
              <w:overflowPunct/>
              <w:topLinePunct w:val="0"/>
              <w:bidi w:val="0"/>
              <w:adjustRightInd/>
              <w:snapToGrid/>
              <w:spacing w:line="360" w:lineRule="exact"/>
              <w:textAlignment w:val="auto"/>
              <w:rPr>
                <w:rFonts w:hint="eastAsia" w:ascii="宋体" w:hAnsi="宋体" w:eastAsia="宋体" w:cs="宋体"/>
                <w:color w:val="auto"/>
                <w:sz w:val="21"/>
                <w:szCs w:val="21"/>
                <w:highlight w:val="none"/>
              </w:rPr>
            </w:pPr>
          </w:p>
        </w:tc>
        <w:tc>
          <w:tcPr>
            <w:tcW w:w="945" w:type="dxa"/>
            <w:shd w:val="clear" w:color="auto" w:fill="auto"/>
            <w:vAlign w:val="center"/>
          </w:tcPr>
          <w:p w14:paraId="3584339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8 </w:t>
            </w:r>
            <w:r>
              <w:rPr>
                <w:rFonts w:hint="eastAsia" w:ascii="宋体" w:hAnsi="宋体" w:eastAsia="宋体" w:cs="宋体"/>
                <w:color w:val="auto"/>
                <w:sz w:val="21"/>
                <w:szCs w:val="21"/>
                <w:highlight w:val="none"/>
              </w:rPr>
              <w:t>分</w:t>
            </w:r>
          </w:p>
        </w:tc>
        <w:tc>
          <w:tcPr>
            <w:tcW w:w="3152" w:type="dxa"/>
            <w:shd w:val="clear" w:color="auto" w:fill="auto"/>
            <w:vAlign w:val="center"/>
          </w:tcPr>
          <w:p w14:paraId="3794FE5B">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年1月1日以后</w:t>
            </w:r>
            <w:r>
              <w:rPr>
                <w:rFonts w:hint="eastAsia" w:ascii="宋体" w:hAnsi="宋体" w:eastAsia="宋体" w:cs="宋体"/>
                <w:color w:val="auto"/>
                <w:sz w:val="21"/>
                <w:szCs w:val="21"/>
                <w:highlight w:val="none"/>
                <w:lang w:val="en-US" w:eastAsia="zh-CN"/>
              </w:rPr>
              <w:t>每</w:t>
            </w:r>
            <w:r>
              <w:rPr>
                <w:rFonts w:hint="eastAsia" w:ascii="宋体" w:hAnsi="宋体" w:eastAsia="宋体" w:cs="宋体"/>
                <w:color w:val="auto"/>
                <w:sz w:val="21"/>
                <w:szCs w:val="21"/>
                <w:highlight w:val="none"/>
              </w:rPr>
              <w:t>完成过</w:t>
            </w:r>
            <w:r>
              <w:rPr>
                <w:rFonts w:hint="eastAsia" w:ascii="宋体" w:hAnsi="宋体" w:eastAsia="宋体" w:cs="宋体"/>
                <w:color w:val="auto"/>
                <w:sz w:val="21"/>
                <w:szCs w:val="21"/>
                <w:highlight w:val="none"/>
                <w:lang w:val="en-US" w:eastAsia="zh-CN"/>
              </w:rPr>
              <w:t>1项</w:t>
            </w:r>
            <w:r>
              <w:rPr>
                <w:rFonts w:hint="eastAsia" w:ascii="宋体" w:hAnsi="宋体" w:eastAsia="宋体" w:cs="宋体"/>
                <w:color w:val="auto"/>
                <w:sz w:val="21"/>
                <w:szCs w:val="21"/>
                <w:highlight w:val="none"/>
              </w:rPr>
              <w:t>二级（含）以上公路</w:t>
            </w:r>
            <w:r>
              <w:rPr>
                <w:rFonts w:hint="eastAsia" w:ascii="宋体" w:hAnsi="宋体" w:eastAsia="宋体" w:cs="宋体"/>
                <w:sz w:val="21"/>
                <w:szCs w:val="21"/>
                <w:highlight w:val="none"/>
                <w:lang w:val="en-US" w:eastAsia="zh-CN"/>
              </w:rPr>
              <w:t>沥青混凝土路面新建、改扩建工程或养护工程的</w:t>
            </w:r>
            <w:r>
              <w:rPr>
                <w:rFonts w:hint="eastAsia" w:ascii="宋体" w:hAnsi="宋体" w:eastAsia="宋体" w:cs="宋体"/>
                <w:color w:val="auto"/>
                <w:sz w:val="21"/>
                <w:szCs w:val="21"/>
                <w:highlight w:val="none"/>
              </w:rPr>
              <w:t>施工监理业绩加</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分，</w:t>
            </w:r>
            <w:r>
              <w:rPr>
                <w:rFonts w:hint="eastAsia" w:ascii="宋体" w:hAnsi="宋体" w:eastAsia="宋体" w:cs="宋体"/>
                <w:color w:val="auto"/>
                <w:sz w:val="21"/>
                <w:szCs w:val="21"/>
                <w:highlight w:val="none"/>
                <w:lang w:val="en-US" w:eastAsia="zh-CN"/>
              </w:rPr>
              <w:t>最多加8分</w:t>
            </w:r>
            <w:r>
              <w:rPr>
                <w:rFonts w:hint="eastAsia" w:ascii="宋体" w:hAnsi="宋体" w:eastAsia="宋体" w:cs="宋体"/>
                <w:color w:val="auto"/>
                <w:sz w:val="21"/>
                <w:szCs w:val="21"/>
                <w:highlight w:val="none"/>
              </w:rPr>
              <w:t>。</w:t>
            </w:r>
          </w:p>
          <w:p w14:paraId="4B1BCEBF">
            <w:pPr>
              <w:keepNext w:val="0"/>
              <w:keepLines w:val="0"/>
              <w:pageBreakBefore w:val="0"/>
              <w:widowControl/>
              <w:kinsoku/>
              <w:wordWrap/>
              <w:overflowPunct/>
              <w:topLinePunct w:val="0"/>
              <w:autoSpaceDE/>
              <w:autoSpaceDN/>
              <w:bidi w:val="0"/>
              <w:adjustRightInd/>
              <w:snapToGrid/>
              <w:spacing w:line="36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Cs/>
                <w:sz w:val="21"/>
                <w:szCs w:val="21"/>
                <w:highlight w:val="none"/>
                <w:lang w:val="en-US" w:eastAsia="zh-CN"/>
              </w:rPr>
              <w:t>注：</w:t>
            </w:r>
            <w:r>
              <w:rPr>
                <w:rFonts w:hint="eastAsia" w:ascii="宋体" w:hAnsi="宋体" w:eastAsia="宋体" w:cs="宋体"/>
                <w:color w:val="auto"/>
                <w:sz w:val="21"/>
                <w:szCs w:val="21"/>
                <w:highlight w:val="none"/>
                <w:lang w:val="en-US" w:eastAsia="zh-CN"/>
              </w:rPr>
              <w:t>①</w:t>
            </w:r>
            <w:r>
              <w:rPr>
                <w:rFonts w:hint="eastAsia" w:ascii="宋体" w:hAnsi="宋体" w:eastAsia="宋体" w:cs="宋体"/>
                <w:color w:val="000000"/>
                <w:kern w:val="0"/>
                <w:sz w:val="21"/>
                <w:szCs w:val="21"/>
                <w:highlight w:val="none"/>
                <w:lang w:val="en-US" w:eastAsia="zh-CN" w:bidi="ar"/>
              </w:rPr>
              <w:t>两阶段验收工程以交工时间为准，一阶段验收工程以竣工时间为准。</w:t>
            </w:r>
          </w:p>
          <w:p w14:paraId="50691A2B">
            <w:pPr>
              <w:keepNext w:val="0"/>
              <w:keepLines w:val="0"/>
              <w:pageBreakBefore w:val="0"/>
              <w:widowControl w:val="0"/>
              <w:kinsoku/>
              <w:wordWrap/>
              <w:overflowPunct/>
              <w:topLinePunct w:val="0"/>
              <w:autoSpaceDE/>
              <w:autoSpaceDN/>
              <w:bidi w:val="0"/>
              <w:adjustRightInd/>
              <w:snapToGrid/>
              <w:spacing w:line="360" w:lineRule="exact"/>
              <w:jc w:val="both"/>
              <w:textAlignment w:val="auto"/>
              <w:rPr>
                <w:rFonts w:hint="eastAsia" w:ascii="宋体" w:hAnsi="宋体" w:eastAsia="宋体" w:cs="宋体"/>
                <w:sz w:val="21"/>
                <w:szCs w:val="21"/>
                <w:highlight w:val="none"/>
                <w:lang w:val="en-US" w:eastAsia="zh-CN"/>
              </w:rPr>
            </w:pPr>
            <w:r>
              <w:rPr>
                <w:rFonts w:hint="eastAsia" w:ascii="宋体" w:hAnsi="宋体" w:eastAsia="宋体" w:cs="宋体"/>
                <w:color w:val="auto"/>
                <w:sz w:val="21"/>
                <w:szCs w:val="21"/>
                <w:highlight w:val="none"/>
                <w:lang w:val="en-US" w:eastAsia="zh-CN"/>
              </w:rPr>
              <w:t>②联合体投标的，按照联合体牵头人的业绩数量计算。</w:t>
            </w:r>
          </w:p>
        </w:tc>
      </w:tr>
      <w:tr w14:paraId="6A7089E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559F1B3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7975EB56">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restart"/>
            <w:shd w:val="clear" w:color="auto" w:fill="auto"/>
            <w:vAlign w:val="center"/>
          </w:tcPr>
          <w:p w14:paraId="0EF19CA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履约信誉</w:t>
            </w:r>
          </w:p>
        </w:tc>
        <w:tc>
          <w:tcPr>
            <w:tcW w:w="1110" w:type="dxa"/>
            <w:vMerge w:val="restart"/>
            <w:shd w:val="clear" w:color="auto" w:fill="auto"/>
            <w:vAlign w:val="center"/>
          </w:tcPr>
          <w:p w14:paraId="43B1485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10 </w:t>
            </w:r>
            <w:r>
              <w:rPr>
                <w:rFonts w:hint="eastAsia" w:ascii="宋体" w:hAnsi="宋体" w:eastAsia="宋体" w:cs="宋体"/>
                <w:color w:val="auto"/>
                <w:sz w:val="21"/>
                <w:szCs w:val="21"/>
                <w:highlight w:val="none"/>
              </w:rPr>
              <w:t>分</w:t>
            </w:r>
          </w:p>
        </w:tc>
        <w:tc>
          <w:tcPr>
            <w:tcW w:w="1905" w:type="dxa"/>
            <w:vMerge w:val="restart"/>
            <w:shd w:val="clear" w:color="auto" w:fill="auto"/>
            <w:vAlign w:val="center"/>
          </w:tcPr>
          <w:p w14:paraId="04DCC3A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信用评价</w:t>
            </w:r>
          </w:p>
        </w:tc>
        <w:tc>
          <w:tcPr>
            <w:tcW w:w="945" w:type="dxa"/>
            <w:shd w:val="clear" w:color="auto" w:fill="auto"/>
            <w:vAlign w:val="center"/>
          </w:tcPr>
          <w:p w14:paraId="64A7E5F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 xml:space="preserve"> 10 </w:t>
            </w:r>
            <w:r>
              <w:rPr>
                <w:rFonts w:hint="eastAsia" w:ascii="宋体" w:hAnsi="宋体" w:eastAsia="宋体" w:cs="宋体"/>
                <w:color w:val="auto"/>
                <w:sz w:val="21"/>
                <w:szCs w:val="21"/>
                <w:highlight w:val="none"/>
              </w:rPr>
              <w:t>分</w:t>
            </w:r>
          </w:p>
        </w:tc>
        <w:tc>
          <w:tcPr>
            <w:tcW w:w="3152" w:type="dxa"/>
            <w:shd w:val="clear" w:color="auto" w:fill="auto"/>
            <w:vAlign w:val="center"/>
          </w:tcPr>
          <w:p w14:paraId="1461E9A4">
            <w:pPr>
              <w:keepNext w:val="0"/>
              <w:keepLines w:val="0"/>
              <w:pageBreakBefore w:val="0"/>
              <w:widowControl w:val="0"/>
              <w:kinsoku/>
              <w:wordWrap/>
              <w:overflowPunct/>
              <w:topLinePunct w:val="0"/>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信用等级AA</w:t>
            </w:r>
          </w:p>
        </w:tc>
      </w:tr>
      <w:tr w14:paraId="073FA3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7CD65DA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42C95F1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continue"/>
            <w:shd w:val="clear" w:color="auto" w:fill="auto"/>
            <w:vAlign w:val="center"/>
          </w:tcPr>
          <w:p w14:paraId="379A303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472FD144">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1905" w:type="dxa"/>
            <w:vMerge w:val="continue"/>
            <w:shd w:val="clear" w:color="auto" w:fill="auto"/>
            <w:vAlign w:val="center"/>
          </w:tcPr>
          <w:p w14:paraId="40E0D59F">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945" w:type="dxa"/>
            <w:shd w:val="clear" w:color="auto" w:fill="auto"/>
            <w:vAlign w:val="center"/>
          </w:tcPr>
          <w:p w14:paraId="540814AA">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8</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分</w:t>
            </w:r>
          </w:p>
        </w:tc>
        <w:tc>
          <w:tcPr>
            <w:tcW w:w="3152" w:type="dxa"/>
            <w:shd w:val="clear" w:color="auto" w:fill="auto"/>
            <w:vAlign w:val="center"/>
          </w:tcPr>
          <w:p w14:paraId="3F77D0B1">
            <w:pPr>
              <w:keepNext w:val="0"/>
              <w:keepLines w:val="0"/>
              <w:pageBreakBefore w:val="0"/>
              <w:widowControl w:val="0"/>
              <w:kinsoku/>
              <w:wordWrap/>
              <w:overflowPunct/>
              <w:topLinePunct w:val="0"/>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信用等级A</w:t>
            </w:r>
          </w:p>
        </w:tc>
      </w:tr>
      <w:tr w14:paraId="385956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463141D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04C545C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continue"/>
            <w:shd w:val="clear" w:color="auto" w:fill="auto"/>
            <w:vAlign w:val="center"/>
          </w:tcPr>
          <w:p w14:paraId="7E8CC5E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46E21E82">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1905" w:type="dxa"/>
            <w:vMerge w:val="continue"/>
            <w:shd w:val="clear" w:color="auto" w:fill="auto"/>
            <w:vAlign w:val="center"/>
          </w:tcPr>
          <w:p w14:paraId="22732790">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945" w:type="dxa"/>
            <w:shd w:val="clear" w:color="auto" w:fill="auto"/>
            <w:vAlign w:val="center"/>
          </w:tcPr>
          <w:p w14:paraId="4055D1C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分</w:t>
            </w:r>
          </w:p>
        </w:tc>
        <w:tc>
          <w:tcPr>
            <w:tcW w:w="3152" w:type="dxa"/>
            <w:shd w:val="clear" w:color="auto" w:fill="auto"/>
            <w:vAlign w:val="center"/>
          </w:tcPr>
          <w:p w14:paraId="1AA11100">
            <w:pPr>
              <w:keepNext w:val="0"/>
              <w:keepLines w:val="0"/>
              <w:pageBreakBefore w:val="0"/>
              <w:widowControl w:val="0"/>
              <w:kinsoku/>
              <w:wordWrap/>
              <w:overflowPunct/>
              <w:topLinePunct w:val="0"/>
              <w:bidi w:val="0"/>
              <w:adjustRightInd/>
              <w:snapToGrid/>
              <w:spacing w:line="360" w:lineRule="exact"/>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信用等级B</w:t>
            </w:r>
          </w:p>
        </w:tc>
      </w:tr>
      <w:tr w14:paraId="600167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7CA427D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5A96388D">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continue"/>
            <w:shd w:val="clear" w:color="auto" w:fill="auto"/>
            <w:vAlign w:val="center"/>
          </w:tcPr>
          <w:p w14:paraId="1A3160A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390AA0F7">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u w:val="single"/>
              </w:rPr>
            </w:pPr>
          </w:p>
        </w:tc>
        <w:tc>
          <w:tcPr>
            <w:tcW w:w="1905" w:type="dxa"/>
            <w:vMerge w:val="continue"/>
            <w:shd w:val="clear" w:color="auto" w:fill="auto"/>
            <w:vAlign w:val="center"/>
          </w:tcPr>
          <w:p w14:paraId="321B65AD">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945" w:type="dxa"/>
            <w:shd w:val="clear" w:color="auto" w:fill="auto"/>
            <w:vAlign w:val="center"/>
          </w:tcPr>
          <w:p w14:paraId="14BA4C73">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4</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分</w:t>
            </w:r>
          </w:p>
        </w:tc>
        <w:tc>
          <w:tcPr>
            <w:tcW w:w="3152" w:type="dxa"/>
            <w:shd w:val="clear" w:color="auto" w:fill="auto"/>
            <w:vAlign w:val="center"/>
          </w:tcPr>
          <w:p w14:paraId="397AAA65">
            <w:pPr>
              <w:keepNext w:val="0"/>
              <w:keepLines w:val="0"/>
              <w:pageBreakBefore w:val="0"/>
              <w:widowControl w:val="0"/>
              <w:kinsoku/>
              <w:wordWrap/>
              <w:overflowPunct/>
              <w:topLinePunct w:val="0"/>
              <w:bidi w:val="0"/>
              <w:adjustRightInd/>
              <w:snapToGrid/>
              <w:spacing w:line="360" w:lineRule="exact"/>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信用等级C</w:t>
            </w:r>
          </w:p>
        </w:tc>
      </w:tr>
      <w:tr w14:paraId="0A97B8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02DDE86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02678C36">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continue"/>
            <w:shd w:val="clear" w:color="auto" w:fill="auto"/>
            <w:vAlign w:val="center"/>
          </w:tcPr>
          <w:p w14:paraId="5C430A09">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110" w:type="dxa"/>
            <w:vMerge w:val="continue"/>
            <w:shd w:val="clear" w:color="auto" w:fill="auto"/>
            <w:vAlign w:val="center"/>
          </w:tcPr>
          <w:p w14:paraId="0D9691F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1905" w:type="dxa"/>
            <w:vMerge w:val="continue"/>
            <w:shd w:val="clear" w:color="auto" w:fill="auto"/>
            <w:vAlign w:val="center"/>
          </w:tcPr>
          <w:p w14:paraId="0CDCF5E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945" w:type="dxa"/>
            <w:shd w:val="clear" w:color="auto" w:fill="auto"/>
            <w:vAlign w:val="center"/>
          </w:tcPr>
          <w:p w14:paraId="52B58CC3">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分</w:t>
            </w:r>
          </w:p>
        </w:tc>
        <w:tc>
          <w:tcPr>
            <w:tcW w:w="3152" w:type="dxa"/>
            <w:shd w:val="clear" w:color="auto" w:fill="auto"/>
            <w:vAlign w:val="center"/>
          </w:tcPr>
          <w:p w14:paraId="533DD8E1">
            <w:pPr>
              <w:keepNext w:val="0"/>
              <w:keepLines w:val="0"/>
              <w:pageBreakBefore w:val="0"/>
              <w:widowControl w:val="0"/>
              <w:kinsoku/>
              <w:wordWrap/>
              <w:overflowPunct/>
              <w:topLinePunct w:val="0"/>
              <w:bidi w:val="0"/>
              <w:adjustRightInd/>
              <w:snapToGrid/>
              <w:spacing w:line="360" w:lineRule="exact"/>
              <w:jc w:val="both"/>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信用等级</w:t>
            </w:r>
            <w:r>
              <w:rPr>
                <w:rFonts w:hint="eastAsia" w:ascii="宋体" w:hAnsi="宋体" w:eastAsia="宋体" w:cs="宋体"/>
                <w:color w:val="auto"/>
                <w:sz w:val="21"/>
                <w:szCs w:val="21"/>
                <w:highlight w:val="none"/>
                <w:lang w:val="en-US" w:eastAsia="zh-CN"/>
              </w:rPr>
              <w:t>D</w:t>
            </w:r>
          </w:p>
        </w:tc>
      </w:tr>
      <w:tr w14:paraId="21BCAA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69" w:type="dxa"/>
            <w:vMerge w:val="continue"/>
            <w:shd w:val="clear" w:color="auto" w:fill="auto"/>
            <w:vAlign w:val="center"/>
          </w:tcPr>
          <w:p w14:paraId="0403A9C5">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49" w:type="dxa"/>
            <w:vMerge w:val="continue"/>
            <w:shd w:val="clear" w:color="auto" w:fill="auto"/>
            <w:vAlign w:val="center"/>
          </w:tcPr>
          <w:p w14:paraId="3ACA1E1E">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676" w:type="dxa"/>
            <w:vMerge w:val="continue"/>
            <w:shd w:val="clear" w:color="auto" w:fill="auto"/>
            <w:vAlign w:val="center"/>
          </w:tcPr>
          <w:p w14:paraId="0A42BBF1">
            <w:pPr>
              <w:keepNext w:val="0"/>
              <w:keepLines w:val="0"/>
              <w:pageBreakBefore w:val="0"/>
              <w:widowControl w:val="0"/>
              <w:kinsoku/>
              <w:wordWrap/>
              <w:overflowPunct/>
              <w:topLinePunct w:val="0"/>
              <w:bidi w:val="0"/>
              <w:adjustRightInd/>
              <w:snapToGrid/>
              <w:spacing w:line="360" w:lineRule="exact"/>
              <w:jc w:val="center"/>
              <w:textAlignment w:val="auto"/>
              <w:rPr>
                <w:rFonts w:hint="eastAsia" w:ascii="宋体" w:hAnsi="宋体" w:eastAsia="宋体" w:cs="宋体"/>
                <w:color w:val="auto"/>
                <w:sz w:val="21"/>
                <w:szCs w:val="21"/>
                <w:highlight w:val="none"/>
              </w:rPr>
            </w:pPr>
          </w:p>
        </w:tc>
        <w:tc>
          <w:tcPr>
            <w:tcW w:w="7112" w:type="dxa"/>
            <w:gridSpan w:val="4"/>
            <w:shd w:val="clear" w:color="auto" w:fill="auto"/>
            <w:vAlign w:val="center"/>
          </w:tcPr>
          <w:p w14:paraId="0787D56E">
            <w:pPr>
              <w:keepNext w:val="0"/>
              <w:keepLines w:val="0"/>
              <w:pageBreakBefore w:val="0"/>
              <w:widowControl w:val="0"/>
              <w:kinsoku/>
              <w:wordWrap/>
              <w:overflowPunct/>
              <w:topLinePunct w:val="0"/>
              <w:autoSpaceDE w:val="0"/>
              <w:autoSpaceDN w:val="0"/>
              <w:bidi w:val="0"/>
              <w:adjustRightInd/>
              <w:snapToGrid/>
              <w:spacing w:line="36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注：</w:t>
            </w:r>
            <w:r>
              <w:rPr>
                <w:rFonts w:hint="eastAsia" w:ascii="宋体" w:hAnsi="宋体" w:eastAsia="宋体" w:cs="宋体"/>
                <w:color w:val="auto"/>
                <w:kern w:val="0"/>
                <w:sz w:val="21"/>
                <w:szCs w:val="21"/>
                <w:highlight w:val="none"/>
              </w:rPr>
              <w:t>信用评价等级</w:t>
            </w:r>
            <w:r>
              <w:rPr>
                <w:rFonts w:hint="eastAsia" w:ascii="宋体" w:hAnsi="宋体" w:eastAsia="宋体" w:cs="宋体"/>
                <w:color w:val="auto"/>
                <w:sz w:val="21"/>
                <w:szCs w:val="21"/>
                <w:highlight w:val="none"/>
              </w:rPr>
              <w:t>优先采用以下所列</w:t>
            </w:r>
            <w:r>
              <w:rPr>
                <w:rFonts w:hint="eastAsia" w:ascii="宋体" w:hAnsi="宋体" w:eastAsia="宋体" w:cs="宋体"/>
                <w:color w:val="auto"/>
                <w:sz w:val="21"/>
                <w:szCs w:val="21"/>
                <w:highlight w:val="none"/>
                <w:lang w:val="en-US" w:eastAsia="zh-CN"/>
              </w:rPr>
              <w:t>顺序</w:t>
            </w:r>
            <w:r>
              <w:rPr>
                <w:rFonts w:hint="eastAsia" w:ascii="宋体" w:hAnsi="宋体" w:eastAsia="宋体" w:cs="宋体"/>
                <w:color w:val="auto"/>
                <w:sz w:val="21"/>
                <w:szCs w:val="21"/>
                <w:highlight w:val="none"/>
              </w:rPr>
              <w:t>在前的企业信用等级：</w:t>
            </w:r>
          </w:p>
          <w:p w14:paraId="1B793D78">
            <w:pPr>
              <w:keepNext w:val="0"/>
              <w:keepLines w:val="0"/>
              <w:pageBreakBefore w:val="0"/>
              <w:widowControl w:val="0"/>
              <w:kinsoku/>
              <w:wordWrap/>
              <w:overflowPunct/>
              <w:topLinePunct w:val="0"/>
              <w:autoSpaceDE w:val="0"/>
              <w:autoSpaceDN w:val="0"/>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（1）吉林省交通运输厅发布的“吉林省202</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年度公路建设市场省级信用评价结果的通告</w:t>
            </w:r>
            <w:r>
              <w:rPr>
                <w:rFonts w:hint="eastAsia" w:ascii="宋体" w:hAnsi="宋体" w:eastAsia="宋体" w:cs="宋体"/>
                <w:color w:val="auto"/>
                <w:kern w:val="0"/>
                <w:sz w:val="21"/>
                <w:szCs w:val="21"/>
                <w:highlight w:val="none"/>
              </w:rPr>
              <w:t>”中投标人的信用等级；</w:t>
            </w:r>
          </w:p>
          <w:p w14:paraId="0F9EFB61">
            <w:pPr>
              <w:keepNext w:val="0"/>
              <w:keepLines w:val="0"/>
              <w:pageBreakBefore w:val="0"/>
              <w:widowControl w:val="0"/>
              <w:kinsoku/>
              <w:wordWrap/>
              <w:overflowPunct/>
              <w:topLinePunct w:val="0"/>
              <w:autoSpaceDE w:val="0"/>
              <w:autoSpaceDN w:val="0"/>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（2）交通运输部“全国公路建设市场监督管理系统</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全国公路从业单位信用评价结果”</w:t>
            </w:r>
            <w:r>
              <w:rPr>
                <w:rFonts w:hint="eastAsia" w:ascii="宋体" w:hAnsi="宋体" w:eastAsia="宋体" w:cs="宋体"/>
                <w:color w:val="auto"/>
                <w:sz w:val="21"/>
                <w:szCs w:val="21"/>
                <w:highlight w:val="none"/>
                <w:lang w:val="en-US" w:eastAsia="zh-CN"/>
              </w:rPr>
              <w:t>中，</w:t>
            </w:r>
            <w:r>
              <w:rPr>
                <w:rFonts w:hint="eastAsia" w:ascii="宋体" w:hAnsi="宋体" w:eastAsia="宋体" w:cs="宋体"/>
                <w:color w:val="auto"/>
                <w:sz w:val="21"/>
                <w:szCs w:val="21"/>
                <w:highlight w:val="none"/>
              </w:rPr>
              <w:t>投标人的202</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度“监理企业”</w:t>
            </w:r>
            <w:r>
              <w:rPr>
                <w:rFonts w:hint="eastAsia" w:ascii="宋体" w:hAnsi="宋体" w:eastAsia="宋体" w:cs="宋体"/>
                <w:color w:val="auto"/>
                <w:sz w:val="21"/>
                <w:szCs w:val="21"/>
                <w:highlight w:val="none"/>
              </w:rPr>
              <w:t>信用等级；</w:t>
            </w:r>
          </w:p>
          <w:p w14:paraId="2817A773">
            <w:pPr>
              <w:keepNext w:val="0"/>
              <w:keepLines w:val="0"/>
              <w:pageBreakBefore w:val="0"/>
              <w:widowControl w:val="0"/>
              <w:kinsoku/>
              <w:wordWrap/>
              <w:overflowPunct/>
              <w:topLinePunct w:val="0"/>
              <w:autoSpaceDE w:val="0"/>
              <w:autoSpaceDN w:val="0"/>
              <w:bidi w:val="0"/>
              <w:adjustRightInd/>
              <w:snapToGrid/>
              <w:spacing w:line="3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（3）企业无上述信用评价的，若未列入交通运输部“全国公路建设市场监督管理系统”中“不良信用记录”的，按A级对待，否则</w:t>
            </w:r>
            <w:r>
              <w:rPr>
                <w:rFonts w:hint="eastAsia" w:ascii="宋体" w:hAnsi="宋体" w:eastAsia="宋体" w:cs="宋体"/>
                <w:color w:val="auto"/>
                <w:sz w:val="21"/>
                <w:szCs w:val="21"/>
                <w:highlight w:val="none"/>
                <w:lang w:val="en-US" w:eastAsia="zh-CN"/>
              </w:rPr>
              <w:t>视其严重程度</w:t>
            </w:r>
            <w:r>
              <w:rPr>
                <w:rFonts w:hint="eastAsia" w:ascii="宋体" w:hAnsi="宋体" w:eastAsia="宋体" w:cs="宋体"/>
                <w:color w:val="auto"/>
                <w:sz w:val="21"/>
                <w:szCs w:val="21"/>
                <w:highlight w:val="none"/>
              </w:rPr>
              <w:t>按B级或以下等级对待</w:t>
            </w:r>
            <w:r>
              <w:rPr>
                <w:rFonts w:hint="eastAsia" w:ascii="宋体" w:hAnsi="宋体" w:eastAsia="宋体" w:cs="宋体"/>
                <w:color w:val="auto"/>
                <w:sz w:val="21"/>
                <w:szCs w:val="21"/>
                <w:highlight w:val="none"/>
                <w:lang w:eastAsia="zh-CN"/>
              </w:rPr>
              <w:t>；</w:t>
            </w:r>
          </w:p>
          <w:p w14:paraId="0534306C">
            <w:pPr>
              <w:keepNext w:val="0"/>
              <w:keepLines w:val="0"/>
              <w:pageBreakBefore w:val="0"/>
              <w:widowControl w:val="0"/>
              <w:kinsoku/>
              <w:wordWrap/>
              <w:overflowPunct/>
              <w:topLinePunct w:val="0"/>
              <w:autoSpaceDE w:val="0"/>
              <w:autoSpaceDN w:val="0"/>
              <w:bidi w:val="0"/>
              <w:adjustRightInd/>
              <w:snapToGrid/>
              <w:spacing w:line="36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）以联合体形式参与投标的，其信用等级按照联合体</w:t>
            </w:r>
            <w:r>
              <w:rPr>
                <w:rFonts w:hint="eastAsia" w:ascii="宋体" w:hAnsi="宋体" w:eastAsia="宋体" w:cs="宋体"/>
                <w:color w:val="auto"/>
                <w:sz w:val="21"/>
                <w:szCs w:val="21"/>
                <w:highlight w:val="none"/>
                <w:lang w:val="en-US" w:eastAsia="zh-CN"/>
              </w:rPr>
              <w:t>牵头人</w:t>
            </w:r>
            <w:r>
              <w:rPr>
                <w:rFonts w:hint="eastAsia" w:ascii="宋体" w:hAnsi="宋体" w:eastAsia="宋体" w:cs="宋体"/>
                <w:color w:val="auto"/>
                <w:sz w:val="21"/>
                <w:szCs w:val="21"/>
                <w:highlight w:val="none"/>
                <w:lang w:eastAsia="zh-CN"/>
              </w:rPr>
              <w:t>信用等级认定</w:t>
            </w:r>
            <w:r>
              <w:rPr>
                <w:rFonts w:hint="eastAsia" w:ascii="宋体" w:hAnsi="宋体" w:eastAsia="宋体" w:cs="宋体"/>
                <w:color w:val="auto"/>
                <w:sz w:val="21"/>
                <w:szCs w:val="21"/>
                <w:highlight w:val="none"/>
                <w:lang w:val="en-US" w:eastAsia="zh-CN"/>
              </w:rPr>
              <w:t>。</w:t>
            </w:r>
          </w:p>
        </w:tc>
      </w:tr>
      <w:tr w14:paraId="040BE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0" w:hRule="atLeast"/>
          <w:jc w:val="center"/>
        </w:trPr>
        <w:tc>
          <w:tcPr>
            <w:tcW w:w="9606" w:type="dxa"/>
            <w:gridSpan w:val="7"/>
            <w:shd w:val="clear" w:color="auto" w:fill="auto"/>
            <w:vAlign w:val="center"/>
          </w:tcPr>
          <w:p w14:paraId="40F29932">
            <w:pPr>
              <w:pStyle w:val="19"/>
              <w:keepNext w:val="0"/>
              <w:keepLines w:val="0"/>
              <w:pageBreakBefore w:val="0"/>
              <w:widowControl w:val="0"/>
              <w:kinsoku/>
              <w:wordWrap/>
              <w:overflowPunct/>
              <w:topLinePunct w:val="0"/>
              <w:autoSpaceDE/>
              <w:autoSpaceDN/>
              <w:bidi w:val="0"/>
              <w:adjustRightInd w:val="0"/>
              <w:snapToGrid w:val="0"/>
              <w:spacing w:line="360" w:lineRule="exact"/>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需要补充的其他内容：</w:t>
            </w:r>
          </w:p>
          <w:p w14:paraId="160CCBAE">
            <w:pPr>
              <w:pStyle w:val="19"/>
              <w:keepNext w:val="0"/>
              <w:keepLines w:val="0"/>
              <w:pageBreakBefore w:val="0"/>
              <w:widowControl w:val="0"/>
              <w:kinsoku/>
              <w:wordWrap/>
              <w:overflowPunct/>
              <w:topLinePunct w:val="0"/>
              <w:autoSpaceDE/>
              <w:autoSpaceDN/>
              <w:bidi w:val="0"/>
              <w:adjustRightInd w:val="0"/>
              <w:snapToGrid w:val="0"/>
              <w:spacing w:line="360" w:lineRule="exact"/>
              <w:textAlignment w:val="baseline"/>
              <w:rPr>
                <w:rFonts w:hint="eastAsia" w:ascii="宋体" w:hAnsi="宋体" w:eastAsia="宋体" w:cs="宋体"/>
                <w:kern w:val="20"/>
                <w:sz w:val="21"/>
                <w:szCs w:val="21"/>
                <w:highlight w:val="none"/>
              </w:rPr>
            </w:pPr>
            <w:r>
              <w:rPr>
                <w:rFonts w:hint="eastAsia" w:ascii="宋体" w:hAnsi="宋体" w:eastAsia="宋体" w:cs="宋体"/>
                <w:b w:val="0"/>
                <w:bCs w:val="0"/>
                <w:kern w:val="2"/>
                <w:sz w:val="21"/>
                <w:szCs w:val="21"/>
                <w:highlight w:val="none"/>
                <w:lang w:val="en-US" w:eastAsia="zh-CN" w:bidi="ar-SA"/>
              </w:rPr>
              <w:t>（1）</w:t>
            </w:r>
            <w:r>
              <w:rPr>
                <w:rFonts w:hint="eastAsia" w:ascii="宋体" w:hAnsi="宋体" w:eastAsia="宋体" w:cs="宋体"/>
                <w:sz w:val="21"/>
                <w:szCs w:val="21"/>
              </w:rPr>
              <w:t>各评分因素</w:t>
            </w:r>
            <w:r>
              <w:rPr>
                <w:rFonts w:hint="eastAsia" w:ascii="宋体" w:hAnsi="宋体" w:eastAsia="宋体" w:cs="宋体"/>
                <w:sz w:val="21"/>
                <w:szCs w:val="21"/>
                <w:lang w:bidi="en-US"/>
              </w:rPr>
              <w:t>（</w:t>
            </w:r>
            <w:r>
              <w:rPr>
                <w:rFonts w:hint="eastAsia" w:ascii="宋体" w:hAnsi="宋体" w:eastAsia="宋体" w:cs="宋体"/>
                <w:sz w:val="21"/>
                <w:szCs w:val="21"/>
              </w:rPr>
              <w:t>评标价和履约信誉评分项除外）得分一般不得低于其权重分值的60%，且各评分因素得分应以评标委员会各成员的打分平均值确定。评标委员会成员总数为7人以上（含7人）时，该平均值以去掉一个最高分和一个最低分后计算。评标委员会成员对某一项评分因素的评分低于权重分值60%的，应在评标报告中做出说明。</w:t>
            </w:r>
          </w:p>
          <w:p w14:paraId="1CA33B9F">
            <w:pPr>
              <w:keepNext w:val="0"/>
              <w:keepLines w:val="0"/>
              <w:pageBreakBefore w:val="0"/>
              <w:widowControl w:val="0"/>
              <w:kinsoku/>
              <w:wordWrap/>
              <w:overflowPunct/>
              <w:topLinePunct w:val="0"/>
              <w:bidi w:val="0"/>
              <w:adjustRightInd/>
              <w:snapToGrid/>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en-US" w:eastAsia="zh-CN"/>
              </w:rPr>
              <w:t>2</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rPr>
              <w:t>投标文件的技术建议书</w:t>
            </w:r>
            <w:r>
              <w:rPr>
                <w:rFonts w:hint="eastAsia" w:ascii="宋体" w:hAnsi="宋体" w:eastAsia="宋体" w:cs="宋体"/>
                <w:b w:val="0"/>
                <w:bCs w:val="0"/>
                <w:sz w:val="21"/>
                <w:szCs w:val="21"/>
              </w:rPr>
              <w:t>采用</w:t>
            </w:r>
            <w:r>
              <w:rPr>
                <w:rFonts w:hint="eastAsia" w:ascii="宋体" w:hAnsi="宋体" w:eastAsia="宋体" w:cs="宋体"/>
                <w:sz w:val="21"/>
                <w:szCs w:val="21"/>
              </w:rPr>
              <w:t>“暗标”评</w:t>
            </w:r>
            <w:r>
              <w:rPr>
                <w:rFonts w:hint="eastAsia" w:ascii="宋体" w:hAnsi="宋体" w:eastAsia="宋体" w:cs="宋体"/>
                <w:b w:val="0"/>
                <w:bCs w:val="0"/>
                <w:sz w:val="21"/>
                <w:szCs w:val="21"/>
                <w:highlight w:val="none"/>
              </w:rPr>
              <w:t>审，</w:t>
            </w:r>
            <w:r>
              <w:rPr>
                <w:rFonts w:hint="eastAsia" w:ascii="宋体" w:hAnsi="宋体" w:eastAsia="宋体" w:cs="宋体"/>
                <w:sz w:val="21"/>
                <w:szCs w:val="21"/>
              </w:rPr>
              <w:t>如果某投标人的</w:t>
            </w:r>
            <w:r>
              <w:rPr>
                <w:rFonts w:hint="eastAsia" w:ascii="宋体" w:hAnsi="宋体" w:eastAsia="宋体" w:cs="宋体"/>
                <w:sz w:val="21"/>
                <w:szCs w:val="21"/>
                <w:lang w:val="en-US" w:eastAsia="zh-CN"/>
              </w:rPr>
              <w:t>技术建议书</w:t>
            </w:r>
            <w:r>
              <w:rPr>
                <w:rFonts w:hint="eastAsia" w:ascii="宋体" w:hAnsi="宋体" w:eastAsia="宋体" w:cs="宋体"/>
                <w:sz w:val="21"/>
                <w:szCs w:val="21"/>
              </w:rPr>
              <w:t>没有按照招标文件规定的</w:t>
            </w:r>
            <w:r>
              <w:rPr>
                <w:rFonts w:hint="eastAsia" w:ascii="宋体" w:hAnsi="宋体" w:eastAsia="宋体" w:cs="宋体"/>
                <w:sz w:val="21"/>
                <w:szCs w:val="21"/>
                <w:lang w:val="en-US" w:eastAsia="zh-CN"/>
              </w:rPr>
              <w:t>要求</w:t>
            </w:r>
            <w:r>
              <w:rPr>
                <w:rFonts w:hint="eastAsia" w:ascii="宋体" w:hAnsi="宋体" w:eastAsia="宋体" w:cs="宋体"/>
                <w:sz w:val="21"/>
                <w:szCs w:val="21"/>
              </w:rPr>
              <w:t>编制，</w:t>
            </w:r>
            <w:r>
              <w:rPr>
                <w:rFonts w:hint="eastAsia" w:ascii="宋体" w:hAnsi="宋体" w:eastAsia="宋体" w:cs="宋体"/>
                <w:sz w:val="21"/>
                <w:szCs w:val="21"/>
                <w:lang w:val="en-US" w:eastAsia="zh-CN"/>
              </w:rPr>
              <w:t>但</w:t>
            </w:r>
            <w:r>
              <w:rPr>
                <w:rFonts w:hint="eastAsia" w:ascii="宋体" w:hAnsi="宋体" w:eastAsia="宋体" w:cs="宋体"/>
                <w:b w:val="0"/>
                <w:bCs w:val="0"/>
                <w:sz w:val="21"/>
                <w:szCs w:val="21"/>
                <w:highlight w:val="none"/>
              </w:rPr>
              <w:t>技术建议书</w:t>
            </w:r>
            <w:r>
              <w:rPr>
                <w:rFonts w:hint="eastAsia" w:ascii="宋体" w:hAnsi="宋体" w:eastAsia="宋体" w:cs="宋体"/>
                <w:b w:val="0"/>
                <w:bCs w:val="0"/>
                <w:sz w:val="21"/>
                <w:szCs w:val="21"/>
                <w:highlight w:val="none"/>
                <w:lang w:val="en-US" w:eastAsia="zh-CN"/>
              </w:rPr>
              <w:t>没有</w:t>
            </w:r>
            <w:r>
              <w:rPr>
                <w:rFonts w:hint="eastAsia" w:ascii="宋体" w:hAnsi="宋体" w:eastAsia="宋体" w:cs="宋体"/>
                <w:b w:val="0"/>
                <w:bCs w:val="0"/>
                <w:sz w:val="21"/>
                <w:szCs w:val="21"/>
                <w:highlight w:val="none"/>
              </w:rPr>
              <w:t>出现能识别投标人的内容，</w:t>
            </w:r>
            <w:r>
              <w:rPr>
                <w:rFonts w:hint="eastAsia" w:ascii="宋体" w:hAnsi="宋体" w:eastAsia="宋体" w:cs="宋体"/>
                <w:b w:val="0"/>
                <w:bCs w:val="0"/>
                <w:sz w:val="21"/>
                <w:szCs w:val="21"/>
                <w:highlight w:val="none"/>
                <w:lang w:val="en-US" w:eastAsia="zh-CN"/>
              </w:rPr>
              <w:t>评标委员会可以在相应的评分因素中酌情扣分，最多可扣至0分；</w:t>
            </w:r>
            <w:r>
              <w:rPr>
                <w:rFonts w:hint="eastAsia" w:ascii="宋体" w:hAnsi="宋体" w:eastAsia="宋体" w:cs="宋体"/>
                <w:b w:val="0"/>
                <w:bCs w:val="0"/>
                <w:sz w:val="21"/>
                <w:szCs w:val="21"/>
                <w:highlight w:val="none"/>
              </w:rPr>
              <w:t>如果技术建议书出现能识别投标人的内容，经评标委员会</w:t>
            </w:r>
            <w:r>
              <w:rPr>
                <w:rFonts w:hint="eastAsia" w:ascii="宋体" w:hAnsi="宋体" w:eastAsia="宋体" w:cs="宋体"/>
                <w:b w:val="0"/>
                <w:bCs w:val="0"/>
                <w:sz w:val="21"/>
                <w:szCs w:val="21"/>
                <w:highlight w:val="none"/>
                <w:lang w:val="en-US" w:eastAsia="zh-CN"/>
              </w:rPr>
              <w:t>认定</w:t>
            </w:r>
            <w:r>
              <w:rPr>
                <w:rFonts w:hint="eastAsia" w:ascii="宋体" w:hAnsi="宋体" w:eastAsia="宋体" w:cs="宋体"/>
                <w:b w:val="0"/>
                <w:bCs w:val="0"/>
                <w:sz w:val="21"/>
                <w:szCs w:val="21"/>
                <w:highlight w:val="none"/>
              </w:rPr>
              <w:t>后，评标委员会应在详细评审中</w:t>
            </w:r>
            <w:r>
              <w:rPr>
                <w:rFonts w:hint="eastAsia" w:ascii="宋体" w:hAnsi="宋体" w:eastAsia="宋体" w:cs="宋体"/>
                <w:b w:val="0"/>
                <w:bCs w:val="0"/>
                <w:sz w:val="21"/>
                <w:szCs w:val="21"/>
                <w:highlight w:val="none"/>
                <w:lang w:val="en-US" w:eastAsia="zh-CN"/>
              </w:rPr>
              <w:t>否决其投标</w:t>
            </w:r>
            <w:r>
              <w:rPr>
                <w:rFonts w:hint="eastAsia" w:ascii="宋体" w:hAnsi="宋体" w:eastAsia="宋体" w:cs="宋体"/>
                <w:sz w:val="21"/>
                <w:szCs w:val="21"/>
              </w:rPr>
              <w:t>，并在评标报告中作出详细说明。</w:t>
            </w:r>
            <w:r>
              <w:rPr>
                <w:rFonts w:hint="eastAsia" w:ascii="宋体" w:hAnsi="宋体" w:eastAsia="宋体" w:cs="宋体"/>
                <w:b/>
                <w:bCs/>
                <w:sz w:val="21"/>
                <w:szCs w:val="21"/>
                <w:lang w:val="en-US" w:eastAsia="zh-CN"/>
              </w:rPr>
              <w:t>除能识别投标人情形外</w:t>
            </w:r>
            <w:r>
              <w:rPr>
                <w:rFonts w:hint="eastAsia" w:ascii="宋体" w:hAnsi="宋体" w:eastAsia="宋体" w:cs="宋体"/>
                <w:b/>
                <w:bCs/>
                <w:sz w:val="21"/>
                <w:szCs w:val="21"/>
              </w:rPr>
              <w:t>，不得因暗标格式问题</w:t>
            </w:r>
            <w:r>
              <w:rPr>
                <w:rFonts w:hint="eastAsia" w:ascii="宋体" w:hAnsi="宋体" w:eastAsia="宋体" w:cs="宋体"/>
                <w:b/>
                <w:bCs/>
                <w:sz w:val="21"/>
                <w:szCs w:val="21"/>
                <w:lang w:val="en-US" w:eastAsia="zh-CN"/>
              </w:rPr>
              <w:t>否决其投标</w:t>
            </w:r>
            <w:r>
              <w:rPr>
                <w:rFonts w:hint="eastAsia" w:ascii="宋体" w:hAnsi="宋体" w:eastAsia="宋体" w:cs="宋体"/>
                <w:b/>
                <w:bCs/>
                <w:sz w:val="21"/>
                <w:szCs w:val="21"/>
              </w:rPr>
              <w:t>。</w:t>
            </w:r>
          </w:p>
        </w:tc>
      </w:tr>
    </w:tbl>
    <w:p w14:paraId="7F0EBA68">
      <w:pPr>
        <w:keepLines w:val="0"/>
        <w:kinsoku/>
        <w:wordWrap/>
        <w:overflowPunct/>
        <w:topLinePunct w:val="0"/>
        <w:bidi w:val="0"/>
        <w:spacing w:line="360" w:lineRule="exact"/>
        <w:jc w:val="both"/>
        <w:textAlignment w:val="auto"/>
        <w:rPr>
          <w:rFonts w:hint="eastAsia" w:ascii="宋体" w:hAnsi="宋体" w:eastAsia="宋体" w:cs="宋体"/>
          <w:b/>
          <w:bCs/>
          <w:sz w:val="21"/>
          <w:szCs w:val="21"/>
          <w:highlight w:val="none"/>
          <w:lang w:val="en-US" w:eastAsia="zh-CN"/>
        </w:rPr>
      </w:pPr>
    </w:p>
    <w:p w14:paraId="4360F9F3">
      <w:pPr>
        <w:keepLines w:val="0"/>
        <w:kinsoku/>
        <w:wordWrap/>
        <w:overflowPunct/>
        <w:topLinePunct w:val="0"/>
        <w:bidi w:val="0"/>
        <w:spacing w:line="360" w:lineRule="exact"/>
        <w:ind w:right="420"/>
        <w:jc w:val="lef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四、联系方式</w:t>
      </w:r>
    </w:p>
    <w:p w14:paraId="40D2B9A1">
      <w:pPr>
        <w:keepLines w:val="0"/>
        <w:kinsoku/>
        <w:wordWrap/>
        <w:overflowPunct/>
        <w:topLinePunct w:val="0"/>
        <w:bidi w:val="0"/>
        <w:spacing w:line="360" w:lineRule="exact"/>
        <w:ind w:firstLine="420" w:firstLineChars="200"/>
        <w:textAlignment w:val="auto"/>
        <w:rPr>
          <w:rFonts w:hint="eastAsia" w:ascii="宋体" w:hAnsi="宋体" w:eastAsia="宋体" w:cs="宋体"/>
          <w:sz w:val="21"/>
          <w:szCs w:val="21"/>
          <w:highlight w:val="none"/>
          <w:lang w:val="zh-CN" w:bidi="zh-CN"/>
        </w:rPr>
      </w:pPr>
      <w:r>
        <w:rPr>
          <w:rFonts w:hint="eastAsia" w:ascii="宋体" w:hAnsi="宋体" w:eastAsia="宋体" w:cs="宋体"/>
          <w:sz w:val="21"/>
          <w:szCs w:val="21"/>
          <w:highlight w:val="none"/>
          <w:lang w:val="zh-CN" w:bidi="zh-CN"/>
        </w:rPr>
        <w:t>招标人：白山市公路管理处</w:t>
      </w:r>
    </w:p>
    <w:p w14:paraId="01518243">
      <w:pPr>
        <w:keepLines w:val="0"/>
        <w:kinsoku/>
        <w:wordWrap/>
        <w:overflowPunct/>
        <w:topLinePunct w:val="0"/>
        <w:bidi w:val="0"/>
        <w:spacing w:line="360" w:lineRule="exact"/>
        <w:ind w:firstLine="420" w:firstLineChars="200"/>
        <w:textAlignment w:val="auto"/>
        <w:rPr>
          <w:rFonts w:hint="eastAsia" w:ascii="宋体" w:hAnsi="宋体" w:eastAsia="宋体" w:cs="宋体"/>
          <w:sz w:val="21"/>
          <w:szCs w:val="21"/>
          <w:highlight w:val="none"/>
          <w:lang w:val="zh-CN" w:bidi="zh-CN"/>
        </w:rPr>
      </w:pPr>
      <w:r>
        <w:rPr>
          <w:rFonts w:hint="eastAsia" w:ascii="宋体" w:hAnsi="宋体" w:eastAsia="宋体" w:cs="宋体"/>
          <w:sz w:val="21"/>
          <w:szCs w:val="21"/>
          <w:highlight w:val="none"/>
          <w:lang w:val="zh-CN" w:bidi="zh-CN"/>
        </w:rPr>
        <w:t>地  址：吉林省白山市浑江大街</w:t>
      </w:r>
      <w:r>
        <w:rPr>
          <w:rFonts w:hint="eastAsia" w:ascii="宋体" w:hAnsi="宋体" w:eastAsia="宋体" w:cs="宋体"/>
          <w:sz w:val="21"/>
          <w:szCs w:val="21"/>
          <w:highlight w:val="none"/>
          <w:lang w:val="en-US" w:bidi="zh-CN"/>
        </w:rPr>
        <w:t>1008</w:t>
      </w:r>
      <w:r>
        <w:rPr>
          <w:rFonts w:hint="eastAsia" w:ascii="宋体" w:hAnsi="宋体" w:eastAsia="宋体" w:cs="宋体"/>
          <w:sz w:val="21"/>
          <w:szCs w:val="21"/>
          <w:highlight w:val="none"/>
          <w:lang w:val="zh-CN" w:bidi="zh-CN"/>
        </w:rPr>
        <w:t>号</w:t>
      </w:r>
    </w:p>
    <w:p w14:paraId="4E90BAF2">
      <w:pPr>
        <w:keepLines w:val="0"/>
        <w:kinsoku/>
        <w:wordWrap/>
        <w:overflowPunct/>
        <w:topLinePunct w:val="0"/>
        <w:bidi w:val="0"/>
        <w:spacing w:line="360" w:lineRule="exact"/>
        <w:ind w:firstLine="420" w:firstLineChars="200"/>
        <w:textAlignment w:val="auto"/>
        <w:rPr>
          <w:rFonts w:hint="eastAsia" w:ascii="宋体" w:hAnsi="宋体" w:eastAsia="宋体" w:cs="宋体"/>
          <w:sz w:val="21"/>
          <w:szCs w:val="21"/>
          <w:highlight w:val="none"/>
          <w:lang w:val="zh-CN" w:bidi="zh-CN"/>
        </w:rPr>
      </w:pPr>
      <w:r>
        <w:rPr>
          <w:rFonts w:hint="eastAsia" w:ascii="宋体" w:hAnsi="宋体" w:eastAsia="宋体" w:cs="宋体"/>
          <w:sz w:val="21"/>
          <w:szCs w:val="21"/>
          <w:highlight w:val="none"/>
          <w:lang w:val="zh-CN" w:bidi="zh-CN"/>
        </w:rPr>
        <w:t>联系人：张喆湧</w:t>
      </w:r>
    </w:p>
    <w:p w14:paraId="385AB446">
      <w:pPr>
        <w:keepLines w:val="0"/>
        <w:kinsoku/>
        <w:wordWrap/>
        <w:overflowPunct/>
        <w:topLinePunct w:val="0"/>
        <w:bidi w:val="0"/>
        <w:spacing w:line="360" w:lineRule="exact"/>
        <w:ind w:firstLine="420" w:firstLineChars="200"/>
        <w:textAlignment w:val="auto"/>
        <w:rPr>
          <w:rFonts w:hint="eastAsia" w:ascii="宋体" w:hAnsi="宋体" w:eastAsia="宋体" w:cs="宋体"/>
          <w:sz w:val="21"/>
          <w:szCs w:val="21"/>
          <w:highlight w:val="none"/>
          <w:lang w:val="zh-CN" w:bidi="zh-CN"/>
        </w:rPr>
      </w:pPr>
      <w:r>
        <w:rPr>
          <w:rFonts w:hint="eastAsia" w:ascii="宋体" w:hAnsi="宋体" w:eastAsia="宋体" w:cs="宋体"/>
          <w:sz w:val="21"/>
          <w:szCs w:val="21"/>
          <w:highlight w:val="none"/>
          <w:lang w:val="zh-CN" w:bidi="zh-CN"/>
        </w:rPr>
        <w:t>电  话：0439-3350525</w:t>
      </w:r>
      <w:bookmarkStart w:id="9" w:name="_GoBack"/>
      <w:bookmarkEnd w:id="9"/>
    </w:p>
    <w:p w14:paraId="1BFE0461">
      <w:pPr>
        <w:keepLines w:val="0"/>
        <w:kinsoku/>
        <w:wordWrap/>
        <w:overflowPunct/>
        <w:topLinePunct w:val="0"/>
        <w:bidi w:val="0"/>
        <w:spacing w:line="360" w:lineRule="exact"/>
        <w:ind w:firstLine="420" w:firstLineChars="200"/>
        <w:textAlignment w:val="auto"/>
        <w:rPr>
          <w:rFonts w:hint="eastAsia" w:ascii="宋体" w:hAnsi="宋体" w:eastAsia="宋体" w:cs="宋体"/>
          <w:i w:val="0"/>
          <w:iCs w:val="0"/>
          <w:caps w:val="0"/>
          <w:color w:val="000000"/>
          <w:spacing w:val="0"/>
          <w:sz w:val="21"/>
          <w:szCs w:val="21"/>
          <w:shd w:val="clear" w:fill="FFFFFF"/>
          <w:lang w:val="en-US" w:eastAsia="zh-CN"/>
        </w:rPr>
      </w:pPr>
    </w:p>
    <w:sectPr>
      <w:footnotePr>
        <w:numFmt w:val="decimalEnclosedCircleChinese"/>
        <w:numRestart w:val="eachPage"/>
      </w:footnote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David">
    <w:altName w:val="Segoe Print"/>
    <w:panose1 w:val="00000000000000000000"/>
    <w:charset w:val="B1"/>
    <w:family w:val="swiss"/>
    <w:pitch w:val="default"/>
    <w:sig w:usb0="00000000" w:usb1="00000000" w:usb2="00000000" w:usb3="00000000" w:csb0="00000021"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BatangChe">
    <w:altName w:val="Malgun Gothic"/>
    <w:panose1 w:val="00000000000000000000"/>
    <w:charset w:val="81"/>
    <w:family w:val="moder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14:paraId="6CADF61D">
      <w:pPr>
        <w:pStyle w:val="9"/>
        <w:rPr>
          <w:rFonts w:ascii="楷体" w:hAnsi="楷体" w:eastAsia="楷体"/>
        </w:rPr>
      </w:pPr>
      <w:r>
        <w:rPr>
          <w:rStyle w:val="13"/>
          <w:rFonts w:ascii="楷体" w:hAnsi="楷体" w:eastAsia="楷体"/>
        </w:rPr>
        <w:footnoteRef/>
      </w:r>
      <w:r>
        <w:rPr>
          <w:rFonts w:ascii="楷体" w:hAnsi="楷体" w:eastAsia="楷体"/>
        </w:rPr>
        <w:t xml:space="preserve"> </w:t>
      </w:r>
      <w:r>
        <w:rPr>
          <w:rFonts w:hint="eastAsia" w:ascii="楷体" w:hAnsi="楷体" w:eastAsia="楷体"/>
        </w:rPr>
        <w:t>本项规定仅适用于根据《关于发布公路工程从业企业资质名录的通知》（厅公路字[2011]114号）要求，招标人应通过名录对投标人资质条件进行审核的公路施工监理企业。</w:t>
      </w:r>
    </w:p>
  </w:footnote>
  <w:footnote w:id="1">
    <w:p w14:paraId="2211166A">
      <w:pPr>
        <w:pStyle w:val="9"/>
      </w:pPr>
      <w:r>
        <w:rPr>
          <w:rStyle w:val="13"/>
        </w:rPr>
        <w:footnoteRef/>
      </w:r>
      <w:r>
        <w:rPr>
          <w:rFonts w:hint="eastAsia" w:ascii="BatangChe" w:hAnsi="BatangChe"/>
          <w:b/>
        </w:rPr>
        <w:t>“</w:t>
      </w:r>
      <w:r>
        <w:rPr>
          <w:rFonts w:hint="eastAsia" w:ascii="BatangChe" w:hAnsi="BatangChe"/>
          <w:b/>
          <w:spacing w:val="-6"/>
        </w:rPr>
        <w:t>投标人自有人员”</w:t>
      </w:r>
      <w:r>
        <w:rPr>
          <w:rFonts w:hint="eastAsia" w:ascii="BatangChe" w:hAnsi="BatangChe"/>
          <w:spacing w:val="-6"/>
        </w:rPr>
        <w:t>指</w:t>
      </w:r>
      <w:r>
        <w:t>社保缴费证明中</w:t>
      </w:r>
      <w:r>
        <w:rPr>
          <w:rFonts w:hint="eastAsia" w:ascii="宋体" w:hAnsi="宋体"/>
        </w:rPr>
        <w:t>缴费单位与投标人名称一致</w:t>
      </w:r>
      <w:r>
        <w:rPr>
          <w:rFonts w:hint="eastAsia" w:ascii="宋体" w:hAnsi="宋体"/>
          <w:lang w:eastAsia="zh-CN"/>
        </w:rPr>
        <w:t>（</w:t>
      </w:r>
      <w:r>
        <w:rPr>
          <w:rFonts w:hint="eastAsia" w:ascii="宋体" w:hAnsi="宋体"/>
          <w:lang w:val="en-US" w:eastAsia="zh-CN"/>
        </w:rPr>
        <w:t>投标人的上级公司、子公司、人力资源服务机构等其他单位缴纳或个人缴纳社会保险均不予认定，分公司缴纳的社会保险可以予以认定</w:t>
      </w:r>
      <w:r>
        <w:rPr>
          <w:rFonts w:hint="eastAsia" w:ascii="BatangChe" w:hAnsi="BatangChe"/>
          <w:spacing w:val="-6"/>
        </w:rPr>
        <w:t>。</w:t>
      </w:r>
      <w:r>
        <w:rPr>
          <w:rFonts w:hint="eastAsia" w:ascii="宋体" w:hAnsi="宋体"/>
          <w:lang w:eastAsia="zh-CN"/>
        </w:rPr>
        <w:t>）</w:t>
      </w:r>
      <w:r>
        <w:rPr>
          <w:rFonts w:hint="eastAsia" w:ascii="宋体" w:hAnsi="宋体"/>
          <w:color w:val="000000"/>
          <w:lang w:val="zh-CN"/>
        </w:rPr>
        <w:t>如果投标人属事业法人单位，则应提供拟委任的总监理工程师是投标人单位职工的有效书面证明材料。</w:t>
      </w:r>
    </w:p>
  </w:footnote>
  <w:footnote w:id="2">
    <w:p w14:paraId="5F261AAE">
      <w:pPr>
        <w:pStyle w:val="9"/>
      </w:pPr>
      <w:r>
        <w:rPr>
          <w:rStyle w:val="13"/>
          <w:rFonts w:hint="eastAsia" w:ascii="宋体" w:hAnsi="宋体" w:cs="宋体"/>
        </w:rPr>
        <w:footnoteRef/>
      </w:r>
      <w:r>
        <w:rPr>
          <w:rFonts w:hint="eastAsia" w:ascii="宋体" w:hAnsi="宋体" w:cs="宋体"/>
        </w:rPr>
        <w:t>本款规定仅适用于根据《关于发布公路工程从业企业资质名录的通知》（厅公路字[2011]114号）要求，招标人应通过名录</w:t>
      </w:r>
      <w:r>
        <w:rPr>
          <w:rFonts w:hint="eastAsia"/>
        </w:rPr>
        <w:t>对投标人资质条件进行审核的公路施工监理企业。</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numFmt w:val="decimalEnclosedCircleChinese"/>
    <w:numRestart w:val="eachPage"/>
    <w:footnote w:id="6"/>
    <w:footnote w:id="7"/>
  </w:foot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NlNmJhZWI0ZDJmODFjNDMwOTU5MGVmZDE2YzJmMjgifQ=="/>
  </w:docVars>
  <w:rsids>
    <w:rsidRoot w:val="00DE1914"/>
    <w:rsid w:val="00007D0D"/>
    <w:rsid w:val="00055983"/>
    <w:rsid w:val="000C7FFE"/>
    <w:rsid w:val="000D45D8"/>
    <w:rsid w:val="00150308"/>
    <w:rsid w:val="0016649D"/>
    <w:rsid w:val="001C5264"/>
    <w:rsid w:val="001D5135"/>
    <w:rsid w:val="001D61F8"/>
    <w:rsid w:val="001F4B00"/>
    <w:rsid w:val="001F767C"/>
    <w:rsid w:val="00250688"/>
    <w:rsid w:val="002B6B2C"/>
    <w:rsid w:val="00316C16"/>
    <w:rsid w:val="003171A3"/>
    <w:rsid w:val="0037455E"/>
    <w:rsid w:val="003C3184"/>
    <w:rsid w:val="003E1571"/>
    <w:rsid w:val="00530DB1"/>
    <w:rsid w:val="00562C9D"/>
    <w:rsid w:val="005C0428"/>
    <w:rsid w:val="00613EFF"/>
    <w:rsid w:val="00643E44"/>
    <w:rsid w:val="00694415"/>
    <w:rsid w:val="006A39C9"/>
    <w:rsid w:val="006C28DA"/>
    <w:rsid w:val="0072686E"/>
    <w:rsid w:val="00786838"/>
    <w:rsid w:val="008715DB"/>
    <w:rsid w:val="00873F02"/>
    <w:rsid w:val="00893B6D"/>
    <w:rsid w:val="008E2951"/>
    <w:rsid w:val="008E6FE1"/>
    <w:rsid w:val="009A086D"/>
    <w:rsid w:val="009B01BC"/>
    <w:rsid w:val="009D3B6D"/>
    <w:rsid w:val="00A73217"/>
    <w:rsid w:val="00AB197A"/>
    <w:rsid w:val="00AB5898"/>
    <w:rsid w:val="00B77B1E"/>
    <w:rsid w:val="00BB6447"/>
    <w:rsid w:val="00BE0105"/>
    <w:rsid w:val="00BF0284"/>
    <w:rsid w:val="00C15CD1"/>
    <w:rsid w:val="00C40C09"/>
    <w:rsid w:val="00CA2765"/>
    <w:rsid w:val="00CA3A18"/>
    <w:rsid w:val="00CC109B"/>
    <w:rsid w:val="00D43D36"/>
    <w:rsid w:val="00D57E3A"/>
    <w:rsid w:val="00DC39DC"/>
    <w:rsid w:val="00DE1914"/>
    <w:rsid w:val="00DF2D8E"/>
    <w:rsid w:val="00E16787"/>
    <w:rsid w:val="00E7408A"/>
    <w:rsid w:val="00EA5385"/>
    <w:rsid w:val="00F242F5"/>
    <w:rsid w:val="00F641C5"/>
    <w:rsid w:val="00F76FA4"/>
    <w:rsid w:val="00FC5FAE"/>
    <w:rsid w:val="00FD038E"/>
    <w:rsid w:val="00FF554C"/>
    <w:rsid w:val="17922A5F"/>
    <w:rsid w:val="19636ADF"/>
    <w:rsid w:val="1E4F7BDB"/>
    <w:rsid w:val="1EE36574"/>
    <w:rsid w:val="25817750"/>
    <w:rsid w:val="333379FC"/>
    <w:rsid w:val="470B3C35"/>
    <w:rsid w:val="51317CC1"/>
    <w:rsid w:val="5D4C2DFB"/>
    <w:rsid w:val="6623322B"/>
    <w:rsid w:val="7CED6AE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0"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2">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99"/>
    <w:rPr>
      <w:sz w:val="28"/>
      <w:szCs w:val="24"/>
    </w:rPr>
  </w:style>
  <w:style w:type="paragraph" w:styleId="4">
    <w:name w:val="Body Text Indent"/>
    <w:basedOn w:val="1"/>
    <w:next w:val="5"/>
    <w:link w:val="28"/>
    <w:qFormat/>
    <w:uiPriority w:val="99"/>
    <w:pPr>
      <w:ind w:firstLine="1120" w:firstLineChars="400"/>
    </w:pPr>
    <w:rPr>
      <w:rFonts w:ascii="Times New Roman" w:hAnsi="Times New Roman" w:eastAsia="宋体" w:cs="Times New Roman"/>
      <w:sz w:val="28"/>
      <w:szCs w:val="24"/>
    </w:rPr>
  </w:style>
  <w:style w:type="paragraph" w:styleId="5">
    <w:name w:val="Body Text Indent 2"/>
    <w:basedOn w:val="1"/>
    <w:link w:val="29"/>
    <w:semiHidden/>
    <w:unhideWhenUsed/>
    <w:qFormat/>
    <w:uiPriority w:val="99"/>
    <w:pPr>
      <w:spacing w:after="120" w:line="480" w:lineRule="auto"/>
      <w:ind w:left="420" w:leftChars="200"/>
    </w:pPr>
  </w:style>
  <w:style w:type="paragraph" w:styleId="6">
    <w:name w:val="Plain Text"/>
    <w:basedOn w:val="1"/>
    <w:link w:val="30"/>
    <w:qFormat/>
    <w:uiPriority w:val="99"/>
    <w:rPr>
      <w:rFonts w:ascii="宋体" w:hAnsi="Courier New" w:eastAsia="宋体" w:cs="Times New Roman"/>
      <w:szCs w:val="21"/>
    </w:rPr>
  </w:style>
  <w:style w:type="paragraph" w:styleId="7">
    <w:name w:val="footer"/>
    <w:basedOn w:val="1"/>
    <w:link w:val="24"/>
    <w:autoRedefine/>
    <w:unhideWhenUsed/>
    <w:qFormat/>
    <w:uiPriority w:val="99"/>
    <w:pPr>
      <w:tabs>
        <w:tab w:val="center" w:pos="4153"/>
        <w:tab w:val="right" w:pos="8306"/>
      </w:tabs>
      <w:snapToGrid w:val="0"/>
      <w:jc w:val="left"/>
    </w:pPr>
    <w:rPr>
      <w:sz w:val="18"/>
      <w:szCs w:val="18"/>
    </w:rPr>
  </w:style>
  <w:style w:type="paragraph" w:styleId="8">
    <w:name w:val="header"/>
    <w:basedOn w:val="1"/>
    <w:link w:val="23"/>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link w:val="16"/>
    <w:autoRedefine/>
    <w:unhideWhenUsed/>
    <w:qFormat/>
    <w:uiPriority w:val="0"/>
    <w:pPr>
      <w:snapToGrid w:val="0"/>
      <w:jc w:val="left"/>
    </w:pPr>
    <w:rPr>
      <w:rFonts w:ascii="Times New Roman" w:hAnsi="Times New Roman" w:eastAsia="宋体" w:cs="Times New Roman"/>
      <w:kern w:val="0"/>
      <w:sz w:val="18"/>
      <w:szCs w:val="18"/>
    </w:rPr>
  </w:style>
  <w:style w:type="paragraph" w:styleId="10">
    <w:name w:val="Body Text First Indent"/>
    <w:basedOn w:val="3"/>
    <w:qFormat/>
    <w:uiPriority w:val="0"/>
    <w:pPr>
      <w:spacing w:line="312" w:lineRule="auto"/>
      <w:ind w:firstLine="420"/>
    </w:pPr>
    <w:rPr>
      <w:rFonts w:ascii="Calibri" w:hAnsi="Calibri"/>
    </w:rPr>
  </w:style>
  <w:style w:type="character" w:styleId="13">
    <w:name w:val="footnote reference"/>
    <w:autoRedefine/>
    <w:qFormat/>
    <w:uiPriority w:val="0"/>
    <w:rPr>
      <w:vertAlign w:val="superscript"/>
    </w:rPr>
  </w:style>
  <w:style w:type="character" w:customStyle="1" w:styleId="14">
    <w:name w:val="其他_"/>
    <w:link w:val="15"/>
    <w:qFormat/>
    <w:uiPriority w:val="0"/>
    <w:rPr>
      <w:rFonts w:ascii="宋体" w:hAnsi="宋体" w:cs="宋体"/>
      <w:shd w:val="clear" w:color="auto" w:fill="FFFFFF"/>
      <w:lang w:val="zh-CN" w:bidi="zh-CN"/>
    </w:rPr>
  </w:style>
  <w:style w:type="paragraph" w:customStyle="1" w:styleId="15">
    <w:name w:val="其他"/>
    <w:basedOn w:val="1"/>
    <w:link w:val="14"/>
    <w:autoRedefine/>
    <w:qFormat/>
    <w:uiPriority w:val="0"/>
    <w:pPr>
      <w:shd w:val="clear" w:color="auto" w:fill="FFFFFF"/>
      <w:spacing w:line="430" w:lineRule="auto"/>
      <w:ind w:firstLine="400"/>
      <w:jc w:val="distribute"/>
    </w:pPr>
    <w:rPr>
      <w:rFonts w:ascii="宋体" w:hAnsi="宋体" w:cs="宋体"/>
      <w:lang w:val="zh-CN" w:bidi="zh-CN"/>
    </w:rPr>
  </w:style>
  <w:style w:type="character" w:customStyle="1" w:styleId="16">
    <w:name w:val="脚注文本 字符"/>
    <w:basedOn w:val="12"/>
    <w:link w:val="9"/>
    <w:qFormat/>
    <w:uiPriority w:val="0"/>
    <w:rPr>
      <w:rFonts w:ascii="Times New Roman" w:hAnsi="Times New Roman" w:eastAsia="宋体" w:cs="Times New Roman"/>
      <w:kern w:val="0"/>
      <w:sz w:val="18"/>
      <w:szCs w:val="18"/>
    </w:rPr>
  </w:style>
  <w:style w:type="character" w:customStyle="1" w:styleId="17">
    <w:name w:val="正文文本 (2)_"/>
    <w:link w:val="18"/>
    <w:autoRedefine/>
    <w:qFormat/>
    <w:uiPriority w:val="0"/>
    <w:rPr>
      <w:rFonts w:ascii="宋体" w:hAnsi="宋体" w:cs="宋体"/>
      <w:sz w:val="22"/>
      <w:shd w:val="clear" w:color="auto" w:fill="FFFFFF"/>
    </w:rPr>
  </w:style>
  <w:style w:type="paragraph" w:customStyle="1" w:styleId="18">
    <w:name w:val="正文文本 (2)"/>
    <w:basedOn w:val="1"/>
    <w:link w:val="17"/>
    <w:autoRedefine/>
    <w:qFormat/>
    <w:uiPriority w:val="0"/>
    <w:pPr>
      <w:shd w:val="clear" w:color="auto" w:fill="FFFFFF"/>
      <w:spacing w:before="300" w:line="439" w:lineRule="exact"/>
      <w:jc w:val="distribute"/>
    </w:pPr>
    <w:rPr>
      <w:rFonts w:ascii="宋体" w:hAnsi="宋体" w:cs="宋体"/>
      <w:sz w:val="22"/>
    </w:rPr>
  </w:style>
  <w:style w:type="paragraph" w:styleId="19">
    <w:name w:val="List Paragraph"/>
    <w:basedOn w:val="1"/>
    <w:qFormat/>
    <w:uiPriority w:val="34"/>
    <w:pPr>
      <w:ind w:firstLine="420" w:firstLineChars="200"/>
    </w:pPr>
    <w:rPr>
      <w:rFonts w:ascii="Times New Roman" w:hAnsi="Times New Roman" w:eastAsia="宋体" w:cs="Times New Roman"/>
    </w:rPr>
  </w:style>
  <w:style w:type="character" w:customStyle="1" w:styleId="20">
    <w:name w:val="正文文本 (2) + 9.5 pt"/>
    <w:qFormat/>
    <w:uiPriority w:val="0"/>
    <w:rPr>
      <w:rFonts w:ascii="MingLiU" w:hAnsi="MingLiU" w:eastAsia="MingLiU" w:cs="MingLiU"/>
      <w:color w:val="000000"/>
      <w:spacing w:val="0"/>
      <w:w w:val="100"/>
      <w:position w:val="0"/>
      <w:sz w:val="19"/>
      <w:szCs w:val="19"/>
      <w:shd w:val="clear" w:color="auto" w:fill="FFFFFF"/>
      <w:lang w:val="zh-TW" w:eastAsia="zh-TW" w:bidi="zh-TW"/>
    </w:rPr>
  </w:style>
  <w:style w:type="character" w:customStyle="1" w:styleId="21">
    <w:name w:val="正文文本 (2) + 10 pt"/>
    <w:autoRedefine/>
    <w:qFormat/>
    <w:uiPriority w:val="0"/>
    <w:rPr>
      <w:rFonts w:ascii="MingLiU" w:hAnsi="MingLiU" w:eastAsia="MingLiU" w:cs="MingLiU"/>
      <w:b/>
      <w:bCs/>
      <w:color w:val="000000"/>
      <w:spacing w:val="0"/>
      <w:w w:val="100"/>
      <w:position w:val="0"/>
      <w:sz w:val="20"/>
      <w:szCs w:val="20"/>
      <w:u w:val="none"/>
      <w:lang w:val="zh-TW" w:eastAsia="zh-TW" w:bidi="zh-TW"/>
    </w:rPr>
  </w:style>
  <w:style w:type="character" w:customStyle="1" w:styleId="22">
    <w:name w:val="正文文本 (2) + 9 pt"/>
    <w:autoRedefine/>
    <w:qFormat/>
    <w:uiPriority w:val="0"/>
    <w:rPr>
      <w:rFonts w:ascii="MingLiU" w:hAnsi="MingLiU" w:eastAsia="MingLiU" w:cs="MingLiU"/>
      <w:color w:val="000000"/>
      <w:spacing w:val="0"/>
      <w:w w:val="100"/>
      <w:position w:val="0"/>
      <w:sz w:val="18"/>
      <w:szCs w:val="18"/>
      <w:u w:val="none"/>
      <w:shd w:val="clear" w:color="auto" w:fill="FFFFFF"/>
      <w:lang w:val="en-US" w:eastAsia="en-US" w:bidi="en-US"/>
    </w:rPr>
  </w:style>
  <w:style w:type="character" w:customStyle="1" w:styleId="23">
    <w:name w:val="页眉 字符"/>
    <w:basedOn w:val="12"/>
    <w:link w:val="8"/>
    <w:qFormat/>
    <w:uiPriority w:val="99"/>
    <w:rPr>
      <w:sz w:val="18"/>
      <w:szCs w:val="18"/>
    </w:rPr>
  </w:style>
  <w:style w:type="character" w:customStyle="1" w:styleId="24">
    <w:name w:val="页脚 字符"/>
    <w:basedOn w:val="12"/>
    <w:link w:val="7"/>
    <w:autoRedefine/>
    <w:qFormat/>
    <w:uiPriority w:val="99"/>
    <w:rPr>
      <w:sz w:val="18"/>
      <w:szCs w:val="18"/>
    </w:rPr>
  </w:style>
  <w:style w:type="paragraph" w:customStyle="1" w:styleId="25">
    <w:name w:val="MSG_EN_FONT_STYLE_NAME_TEMPLATE_ROLE_NUMBER MSG_EN_FONT_STYLE_NAME_BY_ROLE_TEXT 131"/>
    <w:basedOn w:val="1"/>
    <w:link w:val="31"/>
    <w:autoRedefine/>
    <w:qFormat/>
    <w:uiPriority w:val="0"/>
    <w:pPr>
      <w:shd w:val="clear" w:color="auto" w:fill="FFFFFF"/>
      <w:spacing w:before="340" w:after="160" w:line="398" w:lineRule="exact"/>
      <w:jc w:val="distribute"/>
    </w:pPr>
    <w:rPr>
      <w:rFonts w:ascii="PMingLiU" w:hAnsi="PMingLiU" w:eastAsia="PMingLiU" w:cs="PMingLiU"/>
      <w:kern w:val="0"/>
      <w:sz w:val="20"/>
      <w:szCs w:val="20"/>
    </w:rPr>
  </w:style>
  <w:style w:type="character" w:customStyle="1" w:styleId="26">
    <w:name w:val="MSG_EN_FONT_STYLE_NAME_TEMPLATE_ROLE_NUMBER MSG_EN_FONT_STYLE_NAME_BY_ROLE_TEXT 13 + MSG_EN_FONT_STYLE_MODIFER_SIZE 8.5"/>
    <w:autoRedefine/>
    <w:qFormat/>
    <w:uiPriority w:val="0"/>
    <w:rPr>
      <w:rFonts w:ascii="PMingLiU" w:hAnsi="PMingLiU" w:eastAsia="PMingLiU" w:cs="PMingLiU"/>
      <w:color w:val="000000"/>
      <w:spacing w:val="0"/>
      <w:w w:val="100"/>
      <w:position w:val="0"/>
      <w:sz w:val="17"/>
      <w:szCs w:val="17"/>
      <w:u w:val="none"/>
      <w:shd w:val="clear" w:color="auto" w:fill="FFFFFF"/>
      <w:lang w:val="zh-CN" w:eastAsia="zh-CN" w:bidi="zh-CN"/>
    </w:rPr>
  </w:style>
  <w:style w:type="paragraph" w:customStyle="1" w:styleId="27">
    <w:name w:val="MSG_EN_FONT_STYLE_NAME_TEMPLATE_ROLE_NUMBER MSG_EN_FONT_STYLE_NAME_BY_ROLE_TEXT 5"/>
    <w:basedOn w:val="1"/>
    <w:link w:val="32"/>
    <w:autoRedefine/>
    <w:qFormat/>
    <w:uiPriority w:val="0"/>
    <w:pPr>
      <w:shd w:val="clear" w:color="auto" w:fill="FFFFFF"/>
      <w:spacing w:before="5120" w:line="170" w:lineRule="exact"/>
      <w:jc w:val="left"/>
    </w:pPr>
    <w:rPr>
      <w:rFonts w:ascii="PMingLiU" w:hAnsi="PMingLiU" w:eastAsia="PMingLiU" w:cs="PMingLiU"/>
      <w:kern w:val="0"/>
      <w:sz w:val="17"/>
      <w:szCs w:val="17"/>
    </w:rPr>
  </w:style>
  <w:style w:type="character" w:customStyle="1" w:styleId="28">
    <w:name w:val="正文文本缩进 字符"/>
    <w:basedOn w:val="12"/>
    <w:link w:val="4"/>
    <w:qFormat/>
    <w:uiPriority w:val="99"/>
    <w:rPr>
      <w:rFonts w:ascii="Times New Roman" w:hAnsi="Times New Roman" w:eastAsia="宋体" w:cs="Times New Roman"/>
      <w:kern w:val="2"/>
      <w:sz w:val="28"/>
      <w:szCs w:val="24"/>
    </w:rPr>
  </w:style>
  <w:style w:type="character" w:customStyle="1" w:styleId="29">
    <w:name w:val="正文文本缩进 2 字符"/>
    <w:basedOn w:val="12"/>
    <w:link w:val="5"/>
    <w:semiHidden/>
    <w:qFormat/>
    <w:uiPriority w:val="99"/>
    <w:rPr>
      <w:kern w:val="2"/>
      <w:sz w:val="21"/>
      <w:szCs w:val="22"/>
    </w:rPr>
  </w:style>
  <w:style w:type="character" w:customStyle="1" w:styleId="30">
    <w:name w:val="纯文本 字符"/>
    <w:basedOn w:val="12"/>
    <w:link w:val="6"/>
    <w:qFormat/>
    <w:uiPriority w:val="99"/>
    <w:rPr>
      <w:rFonts w:ascii="宋体" w:hAnsi="Courier New" w:eastAsia="宋体" w:cs="Times New Roman"/>
      <w:kern w:val="2"/>
      <w:sz w:val="21"/>
      <w:szCs w:val="21"/>
    </w:rPr>
  </w:style>
  <w:style w:type="character" w:customStyle="1" w:styleId="31">
    <w:name w:val="MSG_EN_FONT_STYLE_NAME_TEMPLATE_ROLE_NUMBER MSG_EN_FONT_STYLE_NAME_BY_ROLE_TEXT 13_"/>
    <w:link w:val="25"/>
    <w:qFormat/>
    <w:uiPriority w:val="0"/>
    <w:rPr>
      <w:rFonts w:ascii="PMingLiU" w:hAnsi="PMingLiU" w:eastAsia="PMingLiU" w:cs="PMingLiU"/>
      <w:shd w:val="clear" w:color="auto" w:fill="FFFFFF"/>
    </w:rPr>
  </w:style>
  <w:style w:type="character" w:customStyle="1" w:styleId="32">
    <w:name w:val="MSG_EN_FONT_STYLE_NAME_TEMPLATE_ROLE_NUMBER MSG_EN_FONT_STYLE_NAME_BY_ROLE_TEXT 5_"/>
    <w:link w:val="27"/>
    <w:qFormat/>
    <w:uiPriority w:val="0"/>
    <w:rPr>
      <w:rFonts w:ascii="PMingLiU" w:hAnsi="PMingLiU" w:eastAsia="PMingLiU" w:cs="PMingLiU"/>
      <w:sz w:val="17"/>
      <w:szCs w:val="17"/>
      <w:shd w:val="clear" w:color="auto" w:fill="FFFFFF"/>
    </w:rPr>
  </w:style>
  <w:style w:type="character" w:customStyle="1" w:styleId="33">
    <w:name w:val="正文文本 (2) + Times New Roman"/>
    <w:qFormat/>
    <w:uiPriority w:val="0"/>
    <w:rPr>
      <w:rFonts w:ascii="Times New Roman" w:hAnsi="Times New Roman" w:eastAsia="Times New Roman" w:cs="Times New Roman"/>
      <w:color w:val="000000"/>
      <w:spacing w:val="0"/>
      <w:w w:val="100"/>
      <w:position w:val="0"/>
      <w:sz w:val="24"/>
      <w:szCs w:val="24"/>
      <w:u w:val="none"/>
      <w:shd w:val="clear" w:color="auto" w:fill="FFFFFF"/>
      <w:lang w:val="en-US" w:eastAsia="en-US" w:bidi="en-US"/>
    </w:rPr>
  </w:style>
  <w:style w:type="character" w:customStyle="1" w:styleId="34">
    <w:name w:val="正文文本 (7) + David"/>
    <w:qFormat/>
    <w:uiPriority w:val="0"/>
    <w:rPr>
      <w:rFonts w:ascii="David" w:hAnsi="David" w:eastAsia="David" w:cs="David"/>
      <w:color w:val="000000"/>
      <w:spacing w:val="0"/>
      <w:w w:val="100"/>
      <w:position w:val="0"/>
      <w:sz w:val="42"/>
      <w:szCs w:val="42"/>
      <w:shd w:val="clear" w:color="auto" w:fill="FFFFFF"/>
      <w:lang w:val="en-US" w:eastAsia="en-US" w:bidi="en-US"/>
    </w:rPr>
  </w:style>
  <w:style w:type="character" w:customStyle="1" w:styleId="35">
    <w:name w:val="正文文本 (2) + Tahoma"/>
    <w:qFormat/>
    <w:uiPriority w:val="0"/>
    <w:rPr>
      <w:rFonts w:ascii="Tahoma" w:hAnsi="Tahoma" w:eastAsia="Tahoma" w:cs="Tahoma"/>
      <w:color w:val="000000"/>
      <w:spacing w:val="0"/>
      <w:w w:val="100"/>
      <w:position w:val="0"/>
      <w:sz w:val="18"/>
      <w:szCs w:val="18"/>
      <w:u w:val="none"/>
      <w:shd w:val="clear" w:color="auto" w:fill="FFFFFF"/>
      <w:lang w:val="en-US" w:eastAsia="en-US" w:bidi="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D1415-EB3F-4E4B-8E9A-7202B2D1D162}">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8</Pages>
  <Words>4554</Words>
  <Characters>4843</Characters>
  <Lines>37</Lines>
  <Paragraphs>10</Paragraphs>
  <TotalTime>0</TotalTime>
  <ScaleCrop>false</ScaleCrop>
  <LinksUpToDate>false</LinksUpToDate>
  <CharactersWithSpaces>4900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2021-08-02T04:08:00Z</dcterms:created>
  <dc:creator>微软用户</dc:creator>
  <cp:lastModifiedBy>ASUS</cp:lastModifiedBy>
  <dcterms:modified xsi:type="dcterms:W3CDTF">2026-09-16T02:31:37Z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97B25FE1A566477186C8543FFB10435D_12</vt:lpwstr>
  </property>
  <property fmtid="{D5CDD505-2E9C-101B-9397-08002B2CF9AE}" pid="4" name="KSOTemplateDocerSaveRecord">
    <vt:lpwstr>eyJoZGlkIjoiZWEyZGQyZDIxYjdjNzVlYjVkM2EyZTg3MWQ0M2U4ODUiLCJ1c2VySWQiOiI0MzE5OTkyMDAifQ==</vt:lpwstr>
  </property>
</Properties>
</file>