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1CA4A">
      <w:pPr>
        <w:keepLines w:val="0"/>
        <w:pageBreakBefore w:val="0"/>
        <w:kinsoku/>
        <w:wordWrap/>
        <w:overflowPunct/>
        <w:topLinePunct w:val="0"/>
        <w:bidi w:val="0"/>
        <w:spacing w:line="360" w:lineRule="exact"/>
        <w:jc w:val="center"/>
        <w:textAlignment w:val="auto"/>
        <w:rPr>
          <w:rFonts w:hint="eastAsia" w:ascii="宋体" w:hAnsi="宋体" w:eastAsia="宋体" w:cs="宋体"/>
          <w:b/>
          <w:sz w:val="21"/>
          <w:szCs w:val="21"/>
        </w:rPr>
      </w:pPr>
      <w:bookmarkStart w:id="17" w:name="_GoBack"/>
      <w:bookmarkEnd w:id="17"/>
      <w:r>
        <w:rPr>
          <w:rFonts w:hint="eastAsia" w:ascii="宋体" w:hAnsi="宋体" w:eastAsia="宋体" w:cs="宋体"/>
          <w:b/>
          <w:sz w:val="21"/>
          <w:szCs w:val="21"/>
          <w:lang w:val="en-US" w:eastAsia="zh-CN"/>
        </w:rPr>
        <w:t>松原市前郭县2026-2028年度普通国省干线</w:t>
      </w:r>
      <w:r>
        <w:rPr>
          <w:rFonts w:hint="eastAsia" w:ascii="宋体" w:hAnsi="宋体" w:eastAsia="宋体" w:cs="宋体"/>
          <w:b/>
          <w:sz w:val="21"/>
          <w:szCs w:val="21"/>
          <w:lang w:eastAsia="zh-CN"/>
        </w:rPr>
        <w:t>公路日常养护</w:t>
      </w:r>
      <w:r>
        <w:rPr>
          <w:rFonts w:hint="eastAsia" w:ascii="宋体" w:hAnsi="宋体" w:eastAsia="宋体" w:cs="宋体"/>
          <w:b/>
          <w:sz w:val="21"/>
          <w:szCs w:val="21"/>
        </w:rPr>
        <w:t>招标文件公开内容</w:t>
      </w:r>
    </w:p>
    <w:p w14:paraId="5BFA3234">
      <w:pPr>
        <w:keepLines w:val="0"/>
        <w:pageBreakBefore w:val="0"/>
        <w:tabs>
          <w:tab w:val="center" w:pos="4819"/>
        </w:tabs>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一、项目概况与招标范围</w:t>
      </w:r>
      <w:r>
        <w:rPr>
          <w:rFonts w:hint="eastAsia" w:ascii="宋体" w:hAnsi="宋体" w:eastAsia="宋体" w:cs="宋体"/>
          <w:b/>
          <w:sz w:val="21"/>
          <w:szCs w:val="21"/>
        </w:rPr>
        <w:tab/>
      </w:r>
    </w:p>
    <w:p w14:paraId="2864CD02">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详见招标公告</w:t>
      </w:r>
    </w:p>
    <w:p w14:paraId="3E199095">
      <w:pPr>
        <w:keepLines w:val="0"/>
        <w:pageBreakBefore w:val="0"/>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二、投标人资格要求</w:t>
      </w:r>
    </w:p>
    <w:p w14:paraId="75CC6936">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投标人须知前附表（投标人资格要求部分）</w:t>
      </w:r>
    </w:p>
    <w:tbl>
      <w:tblPr>
        <w:tblStyle w:val="9"/>
        <w:tblW w:w="9475" w:type="dxa"/>
        <w:jc w:val="center"/>
        <w:tblLayout w:type="fixed"/>
        <w:tblCellMar>
          <w:top w:w="0" w:type="dxa"/>
          <w:left w:w="28" w:type="dxa"/>
          <w:bottom w:w="0" w:type="dxa"/>
          <w:right w:w="28" w:type="dxa"/>
        </w:tblCellMar>
      </w:tblPr>
      <w:tblGrid>
        <w:gridCol w:w="953"/>
        <w:gridCol w:w="2006"/>
        <w:gridCol w:w="6516"/>
      </w:tblGrid>
      <w:tr w14:paraId="50334ED8">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3DED2897">
            <w:pPr>
              <w:keepLines w:val="0"/>
              <w:pageBreakBefore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2006" w:type="dxa"/>
            <w:tcBorders>
              <w:top w:val="single" w:color="000000" w:sz="4" w:space="0"/>
              <w:left w:val="single" w:color="000000" w:sz="4" w:space="0"/>
              <w:bottom w:val="single" w:color="000000" w:sz="4" w:space="0"/>
              <w:right w:val="single" w:color="000000" w:sz="4" w:space="0"/>
            </w:tcBorders>
            <w:vAlign w:val="center"/>
          </w:tcPr>
          <w:p w14:paraId="4E3AF8F4">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6516" w:type="dxa"/>
            <w:tcBorders>
              <w:top w:val="single" w:color="000000" w:sz="4" w:space="0"/>
              <w:left w:val="single" w:color="000000" w:sz="4" w:space="0"/>
              <w:bottom w:val="single" w:color="000000" w:sz="4" w:space="0"/>
              <w:right w:val="single" w:color="auto" w:sz="12" w:space="0"/>
            </w:tcBorders>
            <w:vAlign w:val="center"/>
          </w:tcPr>
          <w:p w14:paraId="476D8926">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编列内容</w:t>
            </w:r>
          </w:p>
        </w:tc>
      </w:tr>
      <w:tr w14:paraId="2CA833FA">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5B649EB7">
            <w:pPr>
              <w:keepLines w:val="0"/>
              <w:pageBreakBefore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1.4.1</w:t>
            </w:r>
          </w:p>
        </w:tc>
        <w:tc>
          <w:tcPr>
            <w:tcW w:w="2006" w:type="dxa"/>
            <w:tcBorders>
              <w:top w:val="single" w:color="000000" w:sz="4" w:space="0"/>
              <w:left w:val="single" w:color="000000" w:sz="4" w:space="0"/>
              <w:bottom w:val="single" w:color="000000" w:sz="4" w:space="0"/>
              <w:right w:val="single" w:color="000000" w:sz="4" w:space="0"/>
            </w:tcBorders>
            <w:vAlign w:val="center"/>
          </w:tcPr>
          <w:p w14:paraId="08C6CADB">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投标人资质条件、</w:t>
            </w:r>
          </w:p>
          <w:p w14:paraId="6CA97F08">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能力和信誉</w:t>
            </w:r>
          </w:p>
        </w:tc>
        <w:tc>
          <w:tcPr>
            <w:tcW w:w="6516" w:type="dxa"/>
            <w:tcBorders>
              <w:top w:val="single" w:color="000000" w:sz="4" w:space="0"/>
              <w:left w:val="single" w:color="000000" w:sz="4" w:space="0"/>
              <w:bottom w:val="single" w:color="000000" w:sz="4" w:space="0"/>
              <w:right w:val="single" w:color="auto" w:sz="12" w:space="0"/>
            </w:tcBorders>
            <w:vAlign w:val="center"/>
          </w:tcPr>
          <w:p w14:paraId="40119E2F">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资质条件：见附录1</w:t>
            </w:r>
          </w:p>
          <w:p w14:paraId="449DCECC">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财务要求：见附录2</w:t>
            </w:r>
          </w:p>
          <w:p w14:paraId="63C228C9">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业绩要求：见附录3</w:t>
            </w:r>
          </w:p>
          <w:p w14:paraId="6A310C85">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信誉要求：见附录4</w:t>
            </w:r>
          </w:p>
          <w:p w14:paraId="4F278837">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项目经理经历和项目总工资格：见附录5</w:t>
            </w:r>
          </w:p>
          <w:p w14:paraId="6D8EB0F6">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其他要求：无</w:t>
            </w:r>
          </w:p>
        </w:tc>
      </w:tr>
      <w:tr w14:paraId="62D62B33">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BDEBA49">
            <w:pPr>
              <w:keepLines w:val="0"/>
              <w:pageBreakBefore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1.4.2</w:t>
            </w:r>
          </w:p>
        </w:tc>
        <w:tc>
          <w:tcPr>
            <w:tcW w:w="2006" w:type="dxa"/>
            <w:tcBorders>
              <w:top w:val="single" w:color="000000" w:sz="4" w:space="0"/>
              <w:left w:val="single" w:color="000000" w:sz="4" w:space="0"/>
              <w:bottom w:val="single" w:color="000000" w:sz="4" w:space="0"/>
              <w:right w:val="single" w:color="000000" w:sz="4" w:space="0"/>
            </w:tcBorders>
            <w:vAlign w:val="center"/>
          </w:tcPr>
          <w:p w14:paraId="3A9D72C3">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是否接受联合体投标</w:t>
            </w:r>
          </w:p>
        </w:tc>
        <w:tc>
          <w:tcPr>
            <w:tcW w:w="6516" w:type="dxa"/>
            <w:tcBorders>
              <w:top w:val="single" w:color="000000" w:sz="4" w:space="0"/>
              <w:left w:val="single" w:color="000000" w:sz="4" w:space="0"/>
              <w:bottom w:val="single" w:color="000000" w:sz="4" w:space="0"/>
              <w:right w:val="single" w:color="auto" w:sz="12" w:space="0"/>
            </w:tcBorders>
            <w:vAlign w:val="center"/>
          </w:tcPr>
          <w:p w14:paraId="1E1591CD">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fldChar w:fldCharType="begin"/>
            </w:r>
            <w:r>
              <w:rPr>
                <w:rFonts w:hint="eastAsia" w:ascii="宋体" w:hAnsi="宋体" w:eastAsia="宋体" w:cs="宋体"/>
                <w:kern w:val="0"/>
                <w:sz w:val="21"/>
                <w:szCs w:val="21"/>
                <w:lang w:val="zh-CN"/>
              </w:rPr>
              <w:instrText xml:space="preserve"> eq \o\ac(</w:instrText>
            </w:r>
            <w:r>
              <w:rPr>
                <w:rFonts w:hint="eastAsia" w:ascii="宋体" w:hAnsi="宋体" w:eastAsia="宋体" w:cs="宋体"/>
                <w:kern w:val="0"/>
                <w:position w:val="-4"/>
                <w:sz w:val="31"/>
                <w:szCs w:val="21"/>
                <w:lang w:val="zh-CN"/>
              </w:rPr>
              <w:instrText xml:space="preserve">□</w:instrText>
            </w:r>
            <w:r>
              <w:rPr>
                <w:rFonts w:hint="eastAsia" w:ascii="宋体" w:hAnsi="宋体" w:eastAsia="宋体" w:cs="宋体"/>
                <w:kern w:val="0"/>
                <w:position w:val="0"/>
                <w:sz w:val="21"/>
                <w:szCs w:val="21"/>
                <w:lang w:val="zh-CN"/>
              </w:rPr>
              <w:instrText xml:space="preserve">,√)</w:instrText>
            </w:r>
            <w:r>
              <w:rPr>
                <w:rFonts w:hint="eastAsia" w:ascii="宋体" w:hAnsi="宋体" w:eastAsia="宋体" w:cs="宋体"/>
                <w:kern w:val="0"/>
                <w:sz w:val="21"/>
                <w:szCs w:val="21"/>
                <w:lang w:val="zh-CN"/>
              </w:rPr>
              <w:fldChar w:fldCharType="end"/>
            </w:r>
            <w:r>
              <w:rPr>
                <w:rFonts w:hint="eastAsia" w:ascii="宋体" w:hAnsi="宋体" w:eastAsia="宋体" w:cs="宋体"/>
                <w:sz w:val="21"/>
                <w:szCs w:val="21"/>
              </w:rPr>
              <w:t>不接受</w:t>
            </w:r>
          </w:p>
          <w:p w14:paraId="458DECE7">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□接受</w:t>
            </w:r>
          </w:p>
        </w:tc>
      </w:tr>
      <w:tr w14:paraId="29727569">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D443B6A">
            <w:pPr>
              <w:keepLines w:val="0"/>
              <w:pageBreakBefore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1.4.3</w:t>
            </w:r>
          </w:p>
        </w:tc>
        <w:tc>
          <w:tcPr>
            <w:tcW w:w="2006" w:type="dxa"/>
            <w:tcBorders>
              <w:top w:val="single" w:color="000000" w:sz="4" w:space="0"/>
              <w:left w:val="single" w:color="000000" w:sz="4" w:space="0"/>
              <w:bottom w:val="single" w:color="000000" w:sz="4" w:space="0"/>
              <w:right w:val="single" w:color="000000" w:sz="4" w:space="0"/>
            </w:tcBorders>
            <w:vAlign w:val="center"/>
          </w:tcPr>
          <w:p w14:paraId="221CDC80">
            <w:pPr>
              <w:pStyle w:val="13"/>
              <w:keepNext/>
              <w:keepLines w:val="0"/>
              <w:pageBreakBefore w:val="0"/>
              <w:shd w:val="clear" w:color="auto" w:fill="auto"/>
              <w:kinsoku/>
              <w:wordWrap/>
              <w:overflowPunct/>
              <w:topLinePunct w:val="0"/>
              <w:bidi w:val="0"/>
              <w:spacing w:line="360" w:lineRule="exact"/>
              <w:ind w:firstLine="0"/>
              <w:jc w:val="center"/>
              <w:textAlignment w:val="auto"/>
              <w:rPr>
                <w:rFonts w:hint="eastAsia" w:ascii="宋体" w:hAnsi="宋体" w:eastAsia="宋体" w:cs="宋体"/>
                <w:kern w:val="2"/>
                <w:sz w:val="21"/>
                <w:szCs w:val="21"/>
                <w:lang w:val="en-US" w:bidi="ar-SA"/>
              </w:rPr>
            </w:pPr>
            <w:r>
              <w:rPr>
                <w:rFonts w:hint="eastAsia" w:ascii="宋体" w:hAnsi="宋体" w:eastAsia="宋体" w:cs="宋体"/>
                <w:kern w:val="2"/>
                <w:sz w:val="21"/>
                <w:szCs w:val="21"/>
                <w:lang w:val="en-US" w:bidi="ar-SA"/>
              </w:rPr>
              <w:t>投标人不得存在的</w:t>
            </w:r>
          </w:p>
          <w:p w14:paraId="5F20441C">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其他关联情形</w:t>
            </w:r>
          </w:p>
        </w:tc>
        <w:tc>
          <w:tcPr>
            <w:tcW w:w="6516" w:type="dxa"/>
            <w:tcBorders>
              <w:top w:val="single" w:color="000000" w:sz="4" w:space="0"/>
              <w:left w:val="single" w:color="000000" w:sz="4" w:space="0"/>
              <w:bottom w:val="single" w:color="000000" w:sz="4" w:space="0"/>
              <w:right w:val="single" w:color="auto" w:sz="12" w:space="0"/>
            </w:tcBorders>
            <w:vAlign w:val="center"/>
          </w:tcPr>
          <w:p w14:paraId="5676DFBF">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t>/</w:t>
            </w:r>
          </w:p>
        </w:tc>
      </w:tr>
      <w:tr w14:paraId="3EB1FBDB">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270EFA83">
            <w:pPr>
              <w:keepLines w:val="0"/>
              <w:pageBreakBefore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1.4.4</w:t>
            </w:r>
          </w:p>
        </w:tc>
        <w:tc>
          <w:tcPr>
            <w:tcW w:w="2006" w:type="dxa"/>
            <w:tcBorders>
              <w:top w:val="single" w:color="000000" w:sz="4" w:space="0"/>
              <w:left w:val="single" w:color="000000" w:sz="4" w:space="0"/>
              <w:bottom w:val="single" w:color="000000" w:sz="4" w:space="0"/>
              <w:right w:val="single" w:color="000000" w:sz="4" w:space="0"/>
            </w:tcBorders>
            <w:vAlign w:val="center"/>
          </w:tcPr>
          <w:p w14:paraId="01DF6D31">
            <w:pPr>
              <w:pStyle w:val="13"/>
              <w:keepNext/>
              <w:keepLines w:val="0"/>
              <w:pageBreakBefore w:val="0"/>
              <w:shd w:val="clear" w:color="auto" w:fill="auto"/>
              <w:kinsoku/>
              <w:wordWrap/>
              <w:overflowPunct/>
              <w:topLinePunct w:val="0"/>
              <w:bidi w:val="0"/>
              <w:spacing w:line="360" w:lineRule="exact"/>
              <w:ind w:firstLine="0"/>
              <w:jc w:val="center"/>
              <w:textAlignment w:val="auto"/>
              <w:rPr>
                <w:rFonts w:hint="eastAsia" w:ascii="宋体" w:hAnsi="宋体" w:eastAsia="宋体" w:cs="宋体"/>
                <w:kern w:val="2"/>
                <w:sz w:val="21"/>
                <w:szCs w:val="21"/>
                <w:lang w:val="en-US" w:bidi="ar-SA"/>
              </w:rPr>
            </w:pPr>
            <w:r>
              <w:rPr>
                <w:rFonts w:hint="eastAsia" w:ascii="宋体" w:hAnsi="宋体" w:eastAsia="宋体" w:cs="宋体"/>
                <w:kern w:val="2"/>
                <w:sz w:val="21"/>
                <w:szCs w:val="21"/>
                <w:lang w:val="en-US" w:bidi="ar-SA"/>
              </w:rPr>
              <w:t>投标人不得存在的</w:t>
            </w:r>
          </w:p>
          <w:p w14:paraId="12A23320">
            <w:pPr>
              <w:pStyle w:val="13"/>
              <w:keepNext/>
              <w:keepLines w:val="0"/>
              <w:pageBreakBefore w:val="0"/>
              <w:shd w:val="clear" w:color="auto" w:fill="auto"/>
              <w:kinsoku/>
              <w:wordWrap/>
              <w:overflowPunct/>
              <w:topLinePunct w:val="0"/>
              <w:bidi w:val="0"/>
              <w:spacing w:line="360" w:lineRule="exact"/>
              <w:ind w:firstLine="0" w:firstLineChars="0"/>
              <w:jc w:val="center"/>
              <w:textAlignment w:val="auto"/>
              <w:rPr>
                <w:rFonts w:hint="eastAsia" w:ascii="宋体" w:hAnsi="宋体" w:eastAsia="宋体" w:cs="宋体"/>
                <w:sz w:val="21"/>
                <w:szCs w:val="21"/>
                <w:lang w:val="en-US" w:bidi="ar-SA"/>
              </w:rPr>
            </w:pPr>
            <w:r>
              <w:rPr>
                <w:rFonts w:hint="eastAsia" w:ascii="宋体" w:hAnsi="宋体" w:eastAsia="宋体" w:cs="宋体"/>
                <w:kern w:val="2"/>
                <w:sz w:val="21"/>
                <w:szCs w:val="21"/>
                <w:lang w:val="en-US" w:bidi="ar-SA"/>
              </w:rPr>
              <w:t>其他不良状况或不良信用记录</w:t>
            </w:r>
          </w:p>
        </w:tc>
        <w:tc>
          <w:tcPr>
            <w:tcW w:w="6516" w:type="dxa"/>
            <w:tcBorders>
              <w:top w:val="single" w:color="000000" w:sz="4" w:space="0"/>
              <w:left w:val="single" w:color="000000" w:sz="4" w:space="0"/>
              <w:bottom w:val="single" w:color="000000" w:sz="4" w:space="0"/>
              <w:right w:val="single" w:color="auto" w:sz="12" w:space="0"/>
            </w:tcBorders>
            <w:vAlign w:val="center"/>
          </w:tcPr>
          <w:p w14:paraId="3CA5C637">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t>/</w:t>
            </w:r>
          </w:p>
        </w:tc>
      </w:tr>
    </w:tbl>
    <w:p w14:paraId="19818078">
      <w:pPr>
        <w:keepLines w:val="0"/>
        <w:pageBreakBefore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bookmarkStart w:id="0" w:name="_Toc152045534"/>
      <w:bookmarkStart w:id="1" w:name="_Toc179632551"/>
      <w:bookmarkStart w:id="2" w:name="_Toc152042310"/>
      <w:bookmarkStart w:id="3" w:name="_Toc502741808"/>
      <w:bookmarkStart w:id="4" w:name="_Toc144974502"/>
      <w:bookmarkStart w:id="5" w:name="_Toc14854"/>
      <w:r>
        <w:rPr>
          <w:rFonts w:hint="eastAsia" w:ascii="宋体" w:hAnsi="宋体" w:eastAsia="宋体" w:cs="宋体"/>
          <w:color w:val="auto"/>
          <w:sz w:val="21"/>
          <w:szCs w:val="21"/>
          <w:highlight w:val="none"/>
        </w:rPr>
        <w:t>1.4投标人资格要求（适用于未进行资格预审的）</w:t>
      </w:r>
      <w:bookmarkEnd w:id="0"/>
      <w:bookmarkEnd w:id="1"/>
      <w:bookmarkEnd w:id="2"/>
      <w:bookmarkEnd w:id="3"/>
      <w:bookmarkEnd w:id="4"/>
    </w:p>
    <w:p w14:paraId="5663C51C">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bookmarkStart w:id="6" w:name="_Hlk141167126"/>
      <w:r>
        <w:rPr>
          <w:rFonts w:hint="eastAsia" w:ascii="宋体" w:hAnsi="宋体" w:eastAsia="宋体" w:cs="宋体"/>
          <w:color w:val="auto"/>
          <w:sz w:val="21"/>
          <w:szCs w:val="21"/>
          <w:highlight w:val="none"/>
        </w:rPr>
        <w:t>1.4.1投标人应具备承担本标段施工的资质条件、能力和信誉。</w:t>
      </w:r>
    </w:p>
    <w:p w14:paraId="23FCB49E">
      <w:pPr>
        <w:keepLines w:val="0"/>
        <w:pageBreakBefore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：见投标人须知前附表；</w:t>
      </w:r>
    </w:p>
    <w:p w14:paraId="1072C945">
      <w:pPr>
        <w:keepLines w:val="0"/>
        <w:pageBreakBefore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财务要求：见投标人须知前附表；</w:t>
      </w:r>
    </w:p>
    <w:p w14:paraId="261A30DC">
      <w:pPr>
        <w:keepLines w:val="0"/>
        <w:pageBreakBefore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业绩要求：见投标人须知前附表；</w:t>
      </w:r>
    </w:p>
    <w:p w14:paraId="67981840">
      <w:pPr>
        <w:keepLines w:val="0"/>
        <w:pageBreakBefore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信誉要求：见投标人须知前附表；</w:t>
      </w:r>
    </w:p>
    <w:p w14:paraId="47A2043F">
      <w:pPr>
        <w:keepLines w:val="0"/>
        <w:pageBreakBefore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项目经理和项目总工资格：见投标人须知前附表；</w:t>
      </w:r>
    </w:p>
    <w:p w14:paraId="1A223AE8">
      <w:pPr>
        <w:keepLines w:val="0"/>
        <w:pageBreakBefore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其他要求：见投标人须知前附表。</w:t>
      </w:r>
    </w:p>
    <w:p w14:paraId="4EC405D3">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需要提交的相关证明材料见本章第3.5款的规定。</w:t>
      </w:r>
    </w:p>
    <w:p w14:paraId="70AB73D2">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1.4.2投标人须知前附表规定接受联合体投标的，联合体除应符合本章第1.4.1项和投标人须知前附表的要求外，还应遵守以下规定：</w:t>
      </w:r>
    </w:p>
    <w:p w14:paraId="5DABB272">
      <w:pPr>
        <w:keepLines w:val="0"/>
        <w:pageBreakBefore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w:t>
      </w:r>
    </w:p>
    <w:p w14:paraId="5AF869EA">
      <w:pPr>
        <w:keepLines w:val="0"/>
        <w:pageBreakBefore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由同一专业的单位组成的联合体，按照资质等级较低的单位确定资质等级；</w:t>
      </w:r>
    </w:p>
    <w:p w14:paraId="1D72446C">
      <w:pPr>
        <w:keepLines w:val="0"/>
        <w:pageBreakBefore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联合体各方不得再以自</w:t>
      </w:r>
      <w:r>
        <w:rPr>
          <w:rFonts w:hint="eastAsia" w:ascii="宋体" w:hAnsi="宋体" w:eastAsia="宋体" w:cs="宋体"/>
          <w:color w:val="auto"/>
          <w:sz w:val="21"/>
          <w:szCs w:val="21"/>
          <w:highlight w:val="none"/>
          <w:lang w:eastAsia="zh-CN"/>
        </w:rPr>
        <w:t>己</w:t>
      </w:r>
      <w:r>
        <w:rPr>
          <w:rFonts w:hint="eastAsia" w:ascii="宋体" w:hAnsi="宋体" w:eastAsia="宋体" w:cs="宋体"/>
          <w:color w:val="auto"/>
          <w:sz w:val="21"/>
          <w:szCs w:val="21"/>
          <w:highlight w:val="none"/>
        </w:rPr>
        <w:t>名义单独或参加其他联合体在同一标段中投标；</w:t>
      </w:r>
    </w:p>
    <w:p w14:paraId="159EDFBC">
      <w:pPr>
        <w:keepLines w:val="0"/>
        <w:pageBreakBefore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4BF0AB2E">
      <w:pPr>
        <w:keepLines w:val="0"/>
        <w:pageBreakBefore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尽管委任了联合体牵头人，但联合体各成员在投标、签订合同与履行合同过程中，仍负有连带的和各自的法律责任。</w:t>
      </w:r>
    </w:p>
    <w:p w14:paraId="77E78017">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1.4.3投标人（包括联合体各成员）不得与本标段相关单位存在下列关联</w:t>
      </w:r>
      <w:r>
        <w:rPr>
          <w:rFonts w:hint="eastAsia" w:ascii="宋体" w:hAnsi="宋体" w:eastAsia="宋体" w:cs="宋体"/>
          <w:color w:val="auto"/>
          <w:sz w:val="21"/>
          <w:szCs w:val="21"/>
          <w:highlight w:val="none"/>
          <w:lang w:val="en-US" w:eastAsia="zh-CN"/>
        </w:rPr>
        <w:t>情形</w:t>
      </w:r>
      <w:r>
        <w:rPr>
          <w:rFonts w:hint="eastAsia" w:ascii="宋体" w:hAnsi="宋体" w:eastAsia="宋体" w:cs="宋体"/>
          <w:color w:val="auto"/>
          <w:sz w:val="21"/>
          <w:szCs w:val="21"/>
          <w:highlight w:val="none"/>
        </w:rPr>
        <w:t>：</w:t>
      </w:r>
    </w:p>
    <w:p w14:paraId="2A359697">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为招标人不具有独立法人资格的附属机构（单位）；</w:t>
      </w:r>
    </w:p>
    <w:p w14:paraId="14AF51CC">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与招标人存在利害关系且可能影响招标公正性；</w:t>
      </w:r>
    </w:p>
    <w:p w14:paraId="13CB4389">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与本标段的其他投标人同为一个单位负责人；</w:t>
      </w:r>
    </w:p>
    <w:p w14:paraId="7987CDD8">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与本标段的其他投标人存在控股、管理关系；</w:t>
      </w:r>
    </w:p>
    <w:p w14:paraId="7AACCD91">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为本标段前期准备提供设计或咨询服务的法人或其任何附属机构（单位）；</w:t>
      </w:r>
    </w:p>
    <w:p w14:paraId="22B4DEE5">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为本标段的监理人；</w:t>
      </w:r>
    </w:p>
    <w:p w14:paraId="4C4B7E0D">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为本标段的代建人；</w:t>
      </w:r>
    </w:p>
    <w:p w14:paraId="06C47BB7">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为本标段的招标代理机构；</w:t>
      </w:r>
    </w:p>
    <w:p w14:paraId="41DDB17B">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与本标段的监理人或代建人或招标代理机构同为一个法定代表人；</w:t>
      </w:r>
    </w:p>
    <w:p w14:paraId="644E5696">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与本标段的监理人或代建人或招标代理机构存在控股或参股关系；</w:t>
      </w:r>
    </w:p>
    <w:p w14:paraId="7580BD7D">
      <w:pPr>
        <w:keepLines w:val="0"/>
        <w:pageBreakBefore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法律法规或投标人须知前附表规定的其他情形。</w:t>
      </w:r>
    </w:p>
    <w:p w14:paraId="6D5F7B55">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1.4.4投标人（包括联合体各成员）不得存在下列不良状况或不良信用记录：</w:t>
      </w:r>
    </w:p>
    <w:p w14:paraId="10E59FB4">
      <w:pPr>
        <w:keepLines w:val="0"/>
        <w:pageBreakBefore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被省级及以上交通运输主管部门取消招标项目所在地的投标资格且处于有效期内；</w:t>
      </w:r>
    </w:p>
    <w:p w14:paraId="64012D1D">
      <w:pPr>
        <w:keepLines w:val="0"/>
        <w:pageBreakBefore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被责令停业，暂扣或吊销执照，或吊销资质证书；</w:t>
      </w:r>
    </w:p>
    <w:p w14:paraId="1C63722E">
      <w:pPr>
        <w:keepLines w:val="0"/>
        <w:pageBreakBefore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进入清算程序，或被宣告破产，或其他丧失履约能力的情形；</w:t>
      </w:r>
    </w:p>
    <w:p w14:paraId="7846B617">
      <w:pPr>
        <w:keepLines w:val="0"/>
        <w:pageBreakBefore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在国家企业信用信息公示系统（http://www.gsxt.gov.cn/）中被列入严重违法失信企业名单；</w:t>
      </w:r>
    </w:p>
    <w:p w14:paraId="74000A6C">
      <w:pPr>
        <w:keepLines w:val="0"/>
        <w:pageBreakBefore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在“信用中国”网站（http://www.creditchina.gov.cn/）中被列入失信被执行人名单；</w:t>
      </w:r>
    </w:p>
    <w:p w14:paraId="4915253C">
      <w:pPr>
        <w:keepLines w:val="0"/>
        <w:pageBreakBefore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投标人或其法定代表人、拟委任的项目经理在近三年内有行贿犯罪行为的；</w:t>
      </w:r>
    </w:p>
    <w:p w14:paraId="4C0BA07C">
      <w:pPr>
        <w:keepLines w:val="0"/>
        <w:pageBreakBefore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法律法规或投标人须知前附表规定的其他情形。</w:t>
      </w:r>
    </w:p>
    <w:p w14:paraId="4013ED23">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1.4.5投标人（包括联合体各成员）应进入交通运输部“全国公路建设市场监督管理系统（https://hwdms.mot.gov.cn）”中的公路工程施工资质企业名录，且投标人名称和资质与该名录中的相应企业名称和资质完全一致。投标人不满足本项规定条件的，将被否决投标。</w:t>
      </w:r>
      <w:r>
        <w:rPr>
          <w:rStyle w:val="11"/>
          <w:rFonts w:hint="eastAsia" w:ascii="宋体" w:hAnsi="宋体" w:eastAsia="宋体" w:cs="宋体"/>
          <w:color w:val="auto"/>
          <w:sz w:val="21"/>
          <w:szCs w:val="21"/>
          <w:highlight w:val="none"/>
        </w:rPr>
        <w:footnoteReference w:id="0"/>
      </w:r>
    </w:p>
    <w:bookmarkEnd w:id="6"/>
    <w:p w14:paraId="24376A0C">
      <w:pPr>
        <w:keepLines w:val="0"/>
        <w:pageBreakBefore w:val="0"/>
        <w:kinsoku/>
        <w:wordWrap/>
        <w:overflowPunct/>
        <w:topLinePunct w:val="0"/>
        <w:bidi w:val="0"/>
        <w:spacing w:before="100" w:beforeAutospacing="1" w:line="360" w:lineRule="exact"/>
        <w:jc w:val="center"/>
        <w:textAlignment w:val="auto"/>
        <w:outlineLvl w:val="2"/>
        <w:rPr>
          <w:rFonts w:hint="eastAsia" w:ascii="宋体" w:hAnsi="宋体" w:eastAsia="宋体" w:cs="宋体"/>
          <w:color w:val="auto"/>
          <w:sz w:val="21"/>
          <w:szCs w:val="21"/>
          <w:highlight w:val="none"/>
        </w:rPr>
      </w:pPr>
    </w:p>
    <w:p w14:paraId="634909E0">
      <w:pPr>
        <w:keepLines w:val="0"/>
        <w:pageBreakBefore w:val="0"/>
        <w:kinsoku/>
        <w:wordWrap/>
        <w:overflowPunct/>
        <w:topLinePunct w:val="0"/>
        <w:bidi w:val="0"/>
        <w:spacing w:before="100" w:beforeAutospacing="1" w:line="360" w:lineRule="exact"/>
        <w:jc w:val="center"/>
        <w:textAlignment w:val="auto"/>
        <w:outlineLvl w:val="2"/>
        <w:rPr>
          <w:rFonts w:hint="eastAsia" w:ascii="宋体" w:hAnsi="宋体" w:eastAsia="宋体" w:cs="宋体"/>
          <w:b/>
          <w:bCs/>
          <w:sz w:val="21"/>
          <w:szCs w:val="21"/>
        </w:rPr>
      </w:pPr>
    </w:p>
    <w:bookmarkEnd w:id="5"/>
    <w:p w14:paraId="6AB9DEA3">
      <w:pPr>
        <w:keepLines w:val="0"/>
        <w:pageBreakBefore w:val="0"/>
        <w:kinsoku/>
        <w:wordWrap/>
        <w:overflowPunct/>
        <w:topLinePunct w:val="0"/>
        <w:bidi w:val="0"/>
        <w:spacing w:before="100" w:beforeAutospacing="1" w:line="360" w:lineRule="exact"/>
        <w:jc w:val="center"/>
        <w:textAlignment w:val="auto"/>
        <w:outlineLvl w:val="2"/>
        <w:rPr>
          <w:rFonts w:hint="eastAsia" w:ascii="宋体" w:hAnsi="宋体" w:eastAsia="宋体" w:cs="宋体"/>
          <w:b/>
          <w:bCs/>
          <w:sz w:val="21"/>
          <w:szCs w:val="21"/>
        </w:rPr>
      </w:pPr>
      <w:bookmarkStart w:id="7" w:name="_Toc25344"/>
      <w:r>
        <w:rPr>
          <w:rFonts w:hint="eastAsia" w:ascii="宋体" w:hAnsi="宋体" w:eastAsia="宋体" w:cs="宋体"/>
          <w:b/>
          <w:bCs/>
          <w:sz w:val="21"/>
          <w:szCs w:val="21"/>
        </w:rPr>
        <w:t>附录1 资格审查条件（资质最低要求）</w:t>
      </w:r>
      <w:bookmarkEnd w:id="7"/>
    </w:p>
    <w:tbl>
      <w:tblPr>
        <w:tblStyle w:val="9"/>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1"/>
      </w:tblGrid>
      <w:tr w14:paraId="1551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9531" w:type="dxa"/>
            <w:tcBorders>
              <w:top w:val="single" w:color="auto" w:sz="12" w:space="0"/>
              <w:left w:val="single" w:color="auto" w:sz="12" w:space="0"/>
              <w:right w:val="single" w:color="auto" w:sz="12" w:space="0"/>
            </w:tcBorders>
            <w:vAlign w:val="center"/>
          </w:tcPr>
          <w:p w14:paraId="41CE16E5">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企业资质等级要求</w:t>
            </w:r>
          </w:p>
        </w:tc>
      </w:tr>
      <w:tr w14:paraId="52E5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531" w:type="dxa"/>
            <w:tcBorders>
              <w:left w:val="single" w:color="auto" w:sz="12" w:space="0"/>
              <w:bottom w:val="single" w:color="auto" w:sz="12" w:space="0"/>
              <w:right w:val="single" w:color="auto" w:sz="12" w:space="0"/>
            </w:tcBorders>
            <w:vAlign w:val="center"/>
          </w:tcPr>
          <w:p w14:paraId="3D2A778C">
            <w:pPr>
              <w:keepLines w:val="0"/>
              <w:pageBreakBefore w:val="0"/>
              <w:kinsoku/>
              <w:wordWrap/>
              <w:overflowPunct/>
              <w:topLinePunct w:val="0"/>
              <w:bidi w:val="0"/>
              <w:adjustRightInd w:val="0"/>
              <w:snapToGrid w:val="0"/>
              <w:spacing w:line="360" w:lineRule="exact"/>
              <w:ind w:firstLine="420" w:firstLineChars="200"/>
              <w:textAlignment w:val="auto"/>
              <w:rPr>
                <w:rFonts w:hint="eastAsia" w:ascii="宋体" w:hAnsi="宋体" w:eastAsia="宋体" w:cs="宋体"/>
                <w:color w:val="000000"/>
                <w:sz w:val="21"/>
                <w:szCs w:val="21"/>
                <w:shd w:val="clear" w:color="auto" w:fill="FFFFFF"/>
                <w:lang w:eastAsia="zh-CN"/>
              </w:rPr>
            </w:pPr>
            <w:r>
              <w:rPr>
                <w:rFonts w:hint="eastAsia" w:ascii="宋体" w:hAnsi="宋体" w:eastAsia="宋体" w:cs="宋体"/>
                <w:color w:val="000000"/>
                <w:sz w:val="21"/>
                <w:szCs w:val="21"/>
                <w:shd w:val="clear" w:color="auto" w:fill="FFFFFF"/>
                <w:lang w:val="en-US" w:eastAsia="zh-CN"/>
              </w:rPr>
              <w:t>无</w:t>
            </w:r>
          </w:p>
        </w:tc>
      </w:tr>
    </w:tbl>
    <w:p w14:paraId="21DD2E6E">
      <w:pPr>
        <w:keepLines w:val="0"/>
        <w:pageBreakBefore w:val="0"/>
        <w:kinsoku/>
        <w:wordWrap/>
        <w:overflowPunct/>
        <w:topLinePunct w:val="0"/>
        <w:bidi w:val="0"/>
        <w:spacing w:before="100" w:beforeAutospacing="1" w:line="360" w:lineRule="exact"/>
        <w:jc w:val="center"/>
        <w:textAlignment w:val="auto"/>
        <w:outlineLvl w:val="2"/>
        <w:rPr>
          <w:rFonts w:hint="eastAsia" w:ascii="宋体" w:hAnsi="宋体" w:eastAsia="宋体" w:cs="宋体"/>
          <w:b/>
          <w:bCs/>
          <w:sz w:val="21"/>
          <w:szCs w:val="21"/>
        </w:rPr>
      </w:pPr>
      <w:bookmarkStart w:id="8" w:name="_Toc6224"/>
      <w:r>
        <w:rPr>
          <w:rFonts w:hint="eastAsia" w:ascii="宋体" w:hAnsi="宋体" w:eastAsia="宋体" w:cs="宋体"/>
          <w:b/>
          <w:bCs/>
          <w:sz w:val="21"/>
          <w:szCs w:val="21"/>
        </w:rPr>
        <w:t>附录2 资格审查条件（财务最低要求）</w:t>
      </w:r>
      <w:bookmarkEnd w:id="8"/>
    </w:p>
    <w:tbl>
      <w:tblPr>
        <w:tblStyle w:val="9"/>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3BB4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516" w:type="dxa"/>
            <w:tcBorders>
              <w:top w:val="single" w:color="auto" w:sz="12" w:space="0"/>
              <w:left w:val="single" w:color="auto" w:sz="12" w:space="0"/>
              <w:bottom w:val="single" w:color="auto" w:sz="4" w:space="0"/>
              <w:right w:val="single" w:color="auto" w:sz="12" w:space="0"/>
            </w:tcBorders>
            <w:vAlign w:val="center"/>
          </w:tcPr>
          <w:p w14:paraId="199B3983">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财务要求</w:t>
            </w:r>
          </w:p>
        </w:tc>
      </w:tr>
      <w:tr w14:paraId="4CA2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516" w:type="dxa"/>
            <w:tcBorders>
              <w:top w:val="single" w:color="auto" w:sz="4" w:space="0"/>
              <w:left w:val="single" w:color="auto" w:sz="12" w:space="0"/>
              <w:bottom w:val="single" w:color="auto" w:sz="12" w:space="0"/>
              <w:right w:val="single" w:color="auto" w:sz="12" w:space="0"/>
            </w:tcBorders>
            <w:vAlign w:val="center"/>
          </w:tcPr>
          <w:p w14:paraId="60301CC5">
            <w:pPr>
              <w:keepLines w:val="0"/>
              <w:pageBreakBefore w:val="0"/>
              <w:kinsoku/>
              <w:wordWrap/>
              <w:overflowPunct/>
              <w:topLinePunct w:val="0"/>
              <w:bidi w:val="0"/>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rPr>
              <w:t>投标人具有</w:t>
            </w:r>
            <w:r>
              <w:rPr>
                <w:rFonts w:hint="eastAsia" w:ascii="宋体" w:hAnsi="宋体" w:eastAsia="宋体" w:cs="宋体"/>
                <w:color w:val="000000"/>
                <w:kern w:val="0"/>
                <w:sz w:val="21"/>
                <w:szCs w:val="21"/>
              </w:rPr>
              <w:t>健全的财务会计制度。</w:t>
            </w:r>
          </w:p>
        </w:tc>
      </w:tr>
    </w:tbl>
    <w:p w14:paraId="59077F59">
      <w:pPr>
        <w:keepLines w:val="0"/>
        <w:pageBreakBefore w:val="0"/>
        <w:kinsoku/>
        <w:wordWrap/>
        <w:overflowPunct/>
        <w:topLinePunct w:val="0"/>
        <w:bidi w:val="0"/>
        <w:spacing w:before="100" w:beforeAutospacing="1" w:line="360" w:lineRule="exact"/>
        <w:jc w:val="center"/>
        <w:textAlignment w:val="auto"/>
        <w:outlineLvl w:val="2"/>
        <w:rPr>
          <w:rFonts w:hint="eastAsia" w:ascii="宋体" w:hAnsi="宋体" w:eastAsia="宋体" w:cs="宋体"/>
          <w:b/>
          <w:bCs/>
          <w:sz w:val="21"/>
          <w:szCs w:val="21"/>
        </w:rPr>
      </w:pPr>
      <w:bookmarkStart w:id="9" w:name="_Toc20923"/>
      <w:r>
        <w:rPr>
          <w:rFonts w:hint="eastAsia" w:ascii="宋体" w:hAnsi="宋体" w:eastAsia="宋体" w:cs="宋体"/>
          <w:b/>
          <w:bCs/>
          <w:sz w:val="21"/>
          <w:szCs w:val="21"/>
        </w:rPr>
        <w:t>附录3 资格审查条件（业绩最低要求）</w:t>
      </w:r>
      <w:bookmarkEnd w:id="9"/>
    </w:p>
    <w:tbl>
      <w:tblPr>
        <w:tblStyle w:val="9"/>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1"/>
      </w:tblGrid>
      <w:tr w14:paraId="7483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3" w:hRule="atLeast"/>
          <w:jc w:val="center"/>
        </w:trPr>
        <w:tc>
          <w:tcPr>
            <w:tcW w:w="9521" w:type="dxa"/>
            <w:tcBorders>
              <w:top w:val="single" w:color="auto" w:sz="12" w:space="0"/>
              <w:left w:val="single" w:color="auto" w:sz="12" w:space="0"/>
              <w:right w:val="single" w:color="auto" w:sz="12" w:space="0"/>
            </w:tcBorders>
            <w:vAlign w:val="center"/>
          </w:tcPr>
          <w:p w14:paraId="5FB9CB7A">
            <w:pPr>
              <w:keepLines w:val="0"/>
              <w:pageBreakBefore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r>
      <w:tr w14:paraId="7534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521" w:type="dxa"/>
            <w:tcBorders>
              <w:left w:val="single" w:color="auto" w:sz="12" w:space="0"/>
              <w:bottom w:val="single" w:color="auto" w:sz="12" w:space="0"/>
              <w:right w:val="single" w:color="auto" w:sz="12" w:space="0"/>
            </w:tcBorders>
            <w:vAlign w:val="center"/>
          </w:tcPr>
          <w:p w14:paraId="23A4B4FE">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无</w:t>
            </w:r>
          </w:p>
        </w:tc>
      </w:tr>
    </w:tbl>
    <w:p w14:paraId="228EC01E">
      <w:pPr>
        <w:keepLines w:val="0"/>
        <w:pageBreakBefore w:val="0"/>
        <w:kinsoku/>
        <w:wordWrap/>
        <w:overflowPunct/>
        <w:topLinePunct w:val="0"/>
        <w:bidi w:val="0"/>
        <w:spacing w:before="100" w:beforeAutospacing="1" w:line="360" w:lineRule="exact"/>
        <w:jc w:val="center"/>
        <w:textAlignment w:val="auto"/>
        <w:outlineLvl w:val="2"/>
        <w:rPr>
          <w:rFonts w:hint="eastAsia" w:ascii="宋体" w:hAnsi="宋体" w:eastAsia="宋体" w:cs="宋体"/>
          <w:b/>
          <w:bCs/>
          <w:sz w:val="21"/>
          <w:szCs w:val="21"/>
        </w:rPr>
      </w:pPr>
      <w:bookmarkStart w:id="10" w:name="_Toc17755"/>
      <w:r>
        <w:rPr>
          <w:rFonts w:hint="eastAsia" w:ascii="宋体" w:hAnsi="宋体" w:eastAsia="宋体" w:cs="宋体"/>
          <w:b/>
          <w:bCs/>
          <w:sz w:val="21"/>
          <w:szCs w:val="21"/>
        </w:rPr>
        <w:t>附录4 资格审查条件（信誉最低要求）</w:t>
      </w:r>
      <w:bookmarkEnd w:id="10"/>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1568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540" w:type="dxa"/>
            <w:tcBorders>
              <w:top w:val="single" w:color="auto" w:sz="12" w:space="0"/>
              <w:left w:val="single" w:color="auto" w:sz="12" w:space="0"/>
              <w:right w:val="single" w:color="auto" w:sz="12" w:space="0"/>
            </w:tcBorders>
            <w:vAlign w:val="center"/>
          </w:tcPr>
          <w:p w14:paraId="38C92F74">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信誉要求</w:t>
            </w:r>
          </w:p>
        </w:tc>
      </w:tr>
      <w:tr w14:paraId="7F5A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540" w:type="dxa"/>
            <w:tcBorders>
              <w:left w:val="single" w:color="auto" w:sz="12" w:space="0"/>
              <w:bottom w:val="single" w:color="auto" w:sz="12" w:space="0"/>
              <w:right w:val="single" w:color="auto" w:sz="12" w:space="0"/>
            </w:tcBorders>
            <w:vAlign w:val="center"/>
          </w:tcPr>
          <w:p w14:paraId="05E4AD9E">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color w:val="auto"/>
                <w:sz w:val="21"/>
                <w:szCs w:val="21"/>
                <w:highlight w:val="none"/>
                <w:lang w:val="en-US" w:eastAsia="zh-CN"/>
              </w:rPr>
              <w:t>无</w:t>
            </w:r>
          </w:p>
        </w:tc>
      </w:tr>
    </w:tbl>
    <w:p w14:paraId="2E669E17">
      <w:pPr>
        <w:keepLines w:val="0"/>
        <w:pageBreakBefore w:val="0"/>
        <w:kinsoku/>
        <w:wordWrap/>
        <w:overflowPunct/>
        <w:topLinePunct w:val="0"/>
        <w:bidi w:val="0"/>
        <w:spacing w:before="100" w:beforeAutospacing="1" w:line="360" w:lineRule="exact"/>
        <w:jc w:val="center"/>
        <w:textAlignment w:val="auto"/>
        <w:outlineLvl w:val="2"/>
        <w:rPr>
          <w:rFonts w:hint="eastAsia" w:ascii="宋体" w:hAnsi="宋体" w:eastAsia="宋体" w:cs="宋体"/>
          <w:b/>
          <w:bCs/>
          <w:sz w:val="21"/>
          <w:szCs w:val="21"/>
        </w:rPr>
      </w:pPr>
      <w:bookmarkStart w:id="11" w:name="_Toc183610787"/>
      <w:bookmarkStart w:id="12" w:name="_Toc18183"/>
      <w:r>
        <w:rPr>
          <w:rFonts w:hint="eastAsia" w:ascii="宋体" w:hAnsi="宋体" w:eastAsia="宋体" w:cs="宋体"/>
          <w:b/>
          <w:bCs/>
          <w:sz w:val="21"/>
          <w:szCs w:val="21"/>
        </w:rPr>
        <w:t>附录5 资格审查条件（项目经理和项目总工最低要求）</w:t>
      </w:r>
      <w:bookmarkEnd w:id="11"/>
      <w:bookmarkEnd w:id="12"/>
    </w:p>
    <w:tbl>
      <w:tblPr>
        <w:tblStyle w:val="9"/>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2130"/>
        <w:gridCol w:w="4379"/>
        <w:gridCol w:w="1875"/>
      </w:tblGrid>
      <w:tr w14:paraId="6D55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154" w:type="dxa"/>
            <w:tcBorders>
              <w:top w:val="single" w:color="auto" w:sz="12" w:space="0"/>
              <w:left w:val="single" w:color="auto" w:sz="12" w:space="0"/>
            </w:tcBorders>
            <w:vAlign w:val="center"/>
          </w:tcPr>
          <w:p w14:paraId="7E6534B8">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人员</w:t>
            </w:r>
            <w:r>
              <w:rPr>
                <w:rFonts w:hint="eastAsia" w:ascii="宋体" w:hAnsi="宋体" w:eastAsia="宋体" w:cs="宋体"/>
                <w:bCs/>
                <w:sz w:val="21"/>
                <w:szCs w:val="21"/>
                <w:vertAlign w:val="superscript"/>
              </w:rPr>
              <w:footnoteReference w:id="1"/>
            </w:r>
          </w:p>
        </w:tc>
        <w:tc>
          <w:tcPr>
            <w:tcW w:w="2130" w:type="dxa"/>
            <w:tcBorders>
              <w:top w:val="single" w:color="auto" w:sz="12" w:space="0"/>
              <w:right w:val="single" w:color="auto" w:sz="4" w:space="0"/>
            </w:tcBorders>
            <w:vAlign w:val="center"/>
          </w:tcPr>
          <w:p w14:paraId="7A015016">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lang w:eastAsia="zh-CN"/>
              </w:rPr>
            </w:pPr>
            <w:r>
              <w:rPr>
                <w:rFonts w:hint="eastAsia" w:ascii="宋体" w:hAnsi="宋体" w:eastAsia="宋体" w:cs="宋体"/>
                <w:color w:val="auto"/>
                <w:sz w:val="21"/>
                <w:szCs w:val="21"/>
                <w:highlight w:val="none"/>
              </w:rPr>
              <w:t>数量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/每标段</w:t>
            </w:r>
          </w:p>
        </w:tc>
        <w:tc>
          <w:tcPr>
            <w:tcW w:w="4379" w:type="dxa"/>
            <w:tcBorders>
              <w:top w:val="single" w:color="auto" w:sz="12" w:space="0"/>
              <w:left w:val="single" w:color="auto" w:sz="4" w:space="0"/>
              <w:right w:val="single" w:color="auto" w:sz="4" w:space="0"/>
            </w:tcBorders>
            <w:vAlign w:val="center"/>
          </w:tcPr>
          <w:p w14:paraId="55563C4B">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资格要求</w:t>
            </w:r>
          </w:p>
        </w:tc>
        <w:tc>
          <w:tcPr>
            <w:tcW w:w="1875" w:type="dxa"/>
            <w:tcBorders>
              <w:top w:val="single" w:color="auto" w:sz="12" w:space="0"/>
              <w:left w:val="single" w:color="auto" w:sz="4" w:space="0"/>
              <w:right w:val="single" w:color="auto" w:sz="12" w:space="0"/>
            </w:tcBorders>
            <w:vAlign w:val="center"/>
          </w:tcPr>
          <w:p w14:paraId="3CA94C47">
            <w:pPr>
              <w:keepLines w:val="0"/>
              <w:pageBreakBefore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在岗要求</w:t>
            </w:r>
          </w:p>
        </w:tc>
      </w:tr>
      <w:tr w14:paraId="38A3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154" w:type="dxa"/>
            <w:tcBorders>
              <w:left w:val="single" w:color="auto" w:sz="12" w:space="0"/>
            </w:tcBorders>
            <w:vAlign w:val="center"/>
          </w:tcPr>
          <w:p w14:paraId="65F8696A">
            <w:pPr>
              <w:keepNext w:val="0"/>
              <w:keepLines w:val="0"/>
              <w:pageBreakBefore w:val="0"/>
              <w:widowControl w:val="0"/>
              <w:kinsoku/>
              <w:wordWrap/>
              <w:overflowPunct/>
              <w:topLinePunct w:val="0"/>
              <w:bidi w:val="0"/>
              <w:snapToGrid/>
              <w:spacing w:line="36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项目经理</w:t>
            </w:r>
          </w:p>
        </w:tc>
        <w:tc>
          <w:tcPr>
            <w:tcW w:w="2130" w:type="dxa"/>
            <w:tcBorders>
              <w:right w:val="single" w:color="auto" w:sz="4" w:space="0"/>
            </w:tcBorders>
            <w:vAlign w:val="center"/>
          </w:tcPr>
          <w:p w14:paraId="15EE9BC1">
            <w:pPr>
              <w:keepNext w:val="0"/>
              <w:keepLines w:val="0"/>
              <w:pageBreakBefore w:val="0"/>
              <w:widowControl w:val="0"/>
              <w:kinsoku/>
              <w:wordWrap/>
              <w:overflowPunct/>
              <w:topLinePunct w:val="0"/>
              <w:bidi w:val="0"/>
              <w:snapToGrid/>
              <w:spacing w:line="36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1</w:t>
            </w:r>
          </w:p>
        </w:tc>
        <w:tc>
          <w:tcPr>
            <w:tcW w:w="4379" w:type="dxa"/>
            <w:tcBorders>
              <w:left w:val="single" w:color="auto" w:sz="4" w:space="0"/>
              <w:right w:val="single" w:color="auto" w:sz="4" w:space="0"/>
            </w:tcBorders>
            <w:vAlign w:val="center"/>
          </w:tcPr>
          <w:p w14:paraId="7DFF16B4">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（1）投标人</w:t>
            </w:r>
            <w:r>
              <w:rPr>
                <w:rFonts w:hint="eastAsia" w:ascii="宋体" w:hAnsi="宋体" w:eastAsia="宋体" w:cs="宋体"/>
                <w:b/>
                <w:bCs/>
                <w:sz w:val="21"/>
                <w:szCs w:val="21"/>
                <w:highlight w:val="none"/>
              </w:rPr>
              <w:t>自有</w:t>
            </w:r>
            <w:r>
              <w:rPr>
                <w:rStyle w:val="11"/>
                <w:rFonts w:hint="eastAsia" w:ascii="宋体" w:hAnsi="宋体" w:eastAsia="宋体" w:cs="宋体"/>
                <w:bCs/>
                <w:sz w:val="21"/>
                <w:szCs w:val="21"/>
                <w:highlight w:val="none"/>
              </w:rPr>
              <w:footnoteReference w:id="2"/>
            </w:r>
            <w:r>
              <w:rPr>
                <w:rFonts w:hint="eastAsia" w:ascii="宋体" w:hAnsi="宋体" w:eastAsia="宋体" w:cs="宋体"/>
                <w:bCs/>
                <w:sz w:val="21"/>
                <w:szCs w:val="21"/>
                <w:highlight w:val="none"/>
              </w:rPr>
              <w:t>人员；</w:t>
            </w:r>
          </w:p>
          <w:p w14:paraId="29161A17">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（2）具有公路工程相关专业</w:t>
            </w:r>
            <w:r>
              <w:rPr>
                <w:rStyle w:val="11"/>
                <w:rFonts w:hint="eastAsia" w:ascii="宋体" w:hAnsi="宋体" w:eastAsia="宋体" w:cs="宋体"/>
                <w:bCs/>
                <w:sz w:val="21"/>
                <w:szCs w:val="21"/>
                <w:highlight w:val="none"/>
              </w:rPr>
              <w:footnoteReference w:id="3"/>
            </w:r>
            <w:r>
              <w:rPr>
                <w:rFonts w:hint="eastAsia" w:ascii="宋体" w:hAnsi="宋体" w:eastAsia="宋体" w:cs="宋体"/>
                <w:b/>
                <w:bCs/>
                <w:sz w:val="21"/>
                <w:szCs w:val="21"/>
                <w:highlight w:val="none"/>
                <w:lang w:val="en-US" w:eastAsia="zh-CN"/>
              </w:rPr>
              <w:t>中级</w:t>
            </w:r>
            <w:r>
              <w:rPr>
                <w:rFonts w:hint="eastAsia" w:ascii="宋体" w:hAnsi="宋体" w:eastAsia="宋体" w:cs="宋体"/>
                <w:bCs/>
                <w:sz w:val="21"/>
                <w:szCs w:val="21"/>
                <w:highlight w:val="none"/>
              </w:rPr>
              <w:t>职称。</w:t>
            </w:r>
          </w:p>
        </w:tc>
        <w:tc>
          <w:tcPr>
            <w:tcW w:w="1875" w:type="dxa"/>
            <w:vMerge w:val="restart"/>
            <w:tcBorders>
              <w:left w:val="single" w:color="auto" w:sz="4" w:space="0"/>
              <w:right w:val="single" w:color="auto" w:sz="12" w:space="0"/>
            </w:tcBorders>
            <w:vAlign w:val="center"/>
          </w:tcPr>
          <w:p w14:paraId="571A238C">
            <w:pPr>
              <w:keepLines w:val="0"/>
              <w:pageBreakBefore w:val="0"/>
              <w:widowControl/>
              <w:kinsoku/>
              <w:wordWrap/>
              <w:overflowPunct/>
              <w:topLinePunct w:val="0"/>
              <w:bidi w:val="0"/>
              <w:spacing w:line="360" w:lineRule="exact"/>
              <w:jc w:val="center"/>
              <w:textAlignment w:val="auto"/>
              <w:rPr>
                <w:rFonts w:hint="eastAsia" w:ascii="宋体" w:hAnsi="宋体" w:eastAsia="宋体" w:cs="宋体"/>
                <w:bCs/>
                <w:sz w:val="21"/>
                <w:szCs w:val="21"/>
              </w:rPr>
            </w:pPr>
            <w:r>
              <w:rPr>
                <w:rFonts w:hint="eastAsia" w:ascii="宋体" w:hAnsi="宋体" w:eastAsia="宋体" w:cs="宋体"/>
                <w:color w:val="auto"/>
                <w:kern w:val="0"/>
                <w:sz w:val="21"/>
                <w:szCs w:val="21"/>
                <w:highlight w:val="none"/>
              </w:rPr>
              <w:t>无在岗项目（指目前未在其他项目上任职，或虽在其他项目上任职但本项目中标后能从该项目撤离）</w:t>
            </w:r>
          </w:p>
        </w:tc>
      </w:tr>
      <w:tr w14:paraId="4E77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54" w:type="dxa"/>
            <w:tcBorders>
              <w:left w:val="single" w:color="auto" w:sz="12" w:space="0"/>
              <w:bottom w:val="single" w:color="auto" w:sz="12" w:space="0"/>
            </w:tcBorders>
            <w:vAlign w:val="center"/>
          </w:tcPr>
          <w:p w14:paraId="5AA27D0E">
            <w:pPr>
              <w:keepNext w:val="0"/>
              <w:keepLines w:val="0"/>
              <w:pageBreakBefore w:val="0"/>
              <w:widowControl w:val="0"/>
              <w:kinsoku/>
              <w:wordWrap/>
              <w:overflowPunct/>
              <w:topLinePunct w:val="0"/>
              <w:bidi w:val="0"/>
              <w:snapToGrid/>
              <w:spacing w:line="36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项目总工</w:t>
            </w:r>
          </w:p>
        </w:tc>
        <w:tc>
          <w:tcPr>
            <w:tcW w:w="2130" w:type="dxa"/>
            <w:tcBorders>
              <w:bottom w:val="single" w:color="auto" w:sz="12" w:space="0"/>
            </w:tcBorders>
            <w:vAlign w:val="center"/>
          </w:tcPr>
          <w:p w14:paraId="762AC0BB">
            <w:pPr>
              <w:keepNext w:val="0"/>
              <w:keepLines w:val="0"/>
              <w:pageBreakBefore w:val="0"/>
              <w:widowControl w:val="0"/>
              <w:kinsoku/>
              <w:wordWrap/>
              <w:overflowPunct/>
              <w:topLinePunct w:val="0"/>
              <w:bidi w:val="0"/>
              <w:snapToGrid/>
              <w:spacing w:line="36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1</w:t>
            </w:r>
          </w:p>
        </w:tc>
        <w:tc>
          <w:tcPr>
            <w:tcW w:w="4379" w:type="dxa"/>
            <w:tcBorders>
              <w:bottom w:val="single" w:color="auto" w:sz="12" w:space="0"/>
              <w:right w:val="single" w:color="auto" w:sz="4" w:space="0"/>
            </w:tcBorders>
            <w:vAlign w:val="center"/>
          </w:tcPr>
          <w:p w14:paraId="686E0CAE">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（1）投标人</w:t>
            </w:r>
            <w:r>
              <w:rPr>
                <w:rFonts w:hint="eastAsia" w:ascii="宋体" w:hAnsi="宋体" w:eastAsia="宋体" w:cs="宋体"/>
                <w:b/>
                <w:bCs/>
                <w:sz w:val="21"/>
                <w:szCs w:val="21"/>
                <w:highlight w:val="none"/>
              </w:rPr>
              <w:t>自有</w:t>
            </w:r>
            <w:r>
              <w:rPr>
                <w:rFonts w:hint="eastAsia" w:ascii="宋体" w:hAnsi="宋体" w:eastAsia="宋体" w:cs="宋体"/>
                <w:bCs/>
                <w:sz w:val="21"/>
                <w:szCs w:val="21"/>
                <w:highlight w:val="none"/>
              </w:rPr>
              <w:t>人员；</w:t>
            </w:r>
          </w:p>
          <w:p w14:paraId="6F4AE2B2">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（2）具有公路工程相关专业</w:t>
            </w:r>
            <w:r>
              <w:rPr>
                <w:rFonts w:hint="eastAsia" w:ascii="宋体" w:hAnsi="宋体" w:eastAsia="宋体" w:cs="宋体"/>
                <w:b/>
                <w:bCs/>
                <w:sz w:val="21"/>
                <w:szCs w:val="21"/>
                <w:highlight w:val="none"/>
                <w:lang w:val="en-US" w:eastAsia="zh-CN"/>
              </w:rPr>
              <w:t>中级</w:t>
            </w:r>
            <w:r>
              <w:rPr>
                <w:rFonts w:hint="eastAsia" w:ascii="宋体" w:hAnsi="宋体" w:eastAsia="宋体" w:cs="宋体"/>
                <w:bCs/>
                <w:sz w:val="21"/>
                <w:szCs w:val="21"/>
                <w:highlight w:val="none"/>
              </w:rPr>
              <w:t>职称。</w:t>
            </w:r>
          </w:p>
        </w:tc>
        <w:tc>
          <w:tcPr>
            <w:tcW w:w="1875" w:type="dxa"/>
            <w:vMerge w:val="continue"/>
            <w:tcBorders>
              <w:left w:val="single" w:color="auto" w:sz="4" w:space="0"/>
              <w:bottom w:val="single" w:color="auto" w:sz="12" w:space="0"/>
              <w:right w:val="single" w:color="auto" w:sz="12" w:space="0"/>
            </w:tcBorders>
          </w:tcPr>
          <w:p w14:paraId="78C6700D">
            <w:pPr>
              <w:keepLines w:val="0"/>
              <w:pageBreakBefore w:val="0"/>
              <w:widowControl/>
              <w:kinsoku/>
              <w:wordWrap/>
              <w:overflowPunct/>
              <w:topLinePunct w:val="0"/>
              <w:bidi w:val="0"/>
              <w:spacing w:line="360" w:lineRule="exact"/>
              <w:jc w:val="left"/>
              <w:textAlignment w:val="auto"/>
              <w:rPr>
                <w:rFonts w:hint="eastAsia" w:ascii="宋体" w:hAnsi="宋体" w:eastAsia="宋体" w:cs="宋体"/>
                <w:bCs/>
                <w:sz w:val="21"/>
                <w:szCs w:val="21"/>
              </w:rPr>
            </w:pPr>
          </w:p>
        </w:tc>
      </w:tr>
    </w:tbl>
    <w:p w14:paraId="5441D15A">
      <w:pPr>
        <w:keepLines w:val="0"/>
        <w:pageBreakBefore w:val="0"/>
        <w:kinsoku/>
        <w:wordWrap/>
        <w:overflowPunct/>
        <w:topLinePunct w:val="0"/>
        <w:bidi w:val="0"/>
        <w:spacing w:before="100" w:beforeAutospacing="1" w:line="360" w:lineRule="exact"/>
        <w:jc w:val="both"/>
        <w:textAlignment w:val="auto"/>
        <w:outlineLvl w:val="2"/>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 </w:t>
      </w:r>
    </w:p>
    <w:p w14:paraId="7BDE16DB">
      <w:pPr>
        <w:keepLines w:val="0"/>
        <w:pageBreakBefore w:val="0"/>
        <w:kinsoku/>
        <w:wordWrap/>
        <w:overflowPunct/>
        <w:topLinePunct w:val="0"/>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br w:type="page"/>
      </w:r>
    </w:p>
    <w:p w14:paraId="5879A07D">
      <w:pPr>
        <w:keepLines w:val="0"/>
        <w:pageBreakBefore w:val="0"/>
        <w:widowControl/>
        <w:kinsoku/>
        <w:wordWrap/>
        <w:overflowPunct/>
        <w:topLinePunct w:val="0"/>
        <w:bidi w:val="0"/>
        <w:spacing w:line="360" w:lineRule="exact"/>
        <w:jc w:val="center"/>
        <w:textAlignment w:val="auto"/>
        <w:rPr>
          <w:rFonts w:hint="eastAsia" w:ascii="宋体" w:hAnsi="宋体" w:eastAsia="宋体" w:cs="宋体"/>
          <w:b/>
          <w:sz w:val="21"/>
          <w:szCs w:val="21"/>
        </w:rPr>
      </w:pPr>
      <w:bookmarkStart w:id="13" w:name="_Toc80536764"/>
      <w:bookmarkStart w:id="14" w:name="_Toc520285006"/>
      <w:bookmarkStart w:id="15" w:name="_Toc505091277"/>
      <w:r>
        <w:rPr>
          <w:rFonts w:hint="eastAsia" w:ascii="宋体" w:hAnsi="宋体" w:eastAsia="宋体" w:cs="宋体"/>
          <w:b/>
          <w:sz w:val="21"/>
          <w:szCs w:val="21"/>
        </w:rPr>
        <w:t>评标办法（技术评分最低标价法）</w:t>
      </w:r>
    </w:p>
    <w:bookmarkEnd w:id="13"/>
    <w:bookmarkEnd w:id="14"/>
    <w:bookmarkEnd w:id="15"/>
    <w:p w14:paraId="680D5C44">
      <w:pPr>
        <w:pStyle w:val="2"/>
        <w:keepNext w:val="0"/>
        <w:keepLines w:val="0"/>
        <w:pageBreakBefore w:val="0"/>
        <w:widowControl w:val="0"/>
        <w:kinsoku/>
        <w:wordWrap/>
        <w:overflowPunct/>
        <w:topLinePunct w:val="0"/>
        <w:autoSpaceDE/>
        <w:autoSpaceDN/>
        <w:bidi w:val="0"/>
        <w:adjustRightInd/>
        <w:snapToGrid w:val="0"/>
        <w:spacing w:before="0" w:after="0" w:line="360" w:lineRule="exact"/>
        <w:jc w:val="left"/>
        <w:textAlignment w:val="auto"/>
        <w:rPr>
          <w:rFonts w:hint="eastAsia" w:ascii="宋体" w:hAnsi="宋体" w:eastAsia="宋体" w:cs="宋体"/>
          <w:bCs w:val="0"/>
          <w:sz w:val="21"/>
          <w:szCs w:val="21"/>
        </w:rPr>
      </w:pPr>
      <w:bookmarkStart w:id="16" w:name="_Toc26805"/>
      <w:r>
        <w:rPr>
          <w:rFonts w:hint="eastAsia" w:ascii="宋体" w:hAnsi="宋体" w:eastAsia="宋体" w:cs="宋体"/>
          <w:bCs w:val="0"/>
          <w:sz w:val="21"/>
          <w:szCs w:val="21"/>
        </w:rPr>
        <w:t>评标办法前附表</w:t>
      </w:r>
      <w:bookmarkEnd w:id="16"/>
    </w:p>
    <w:tbl>
      <w:tblPr>
        <w:tblStyle w:val="9"/>
        <w:tblW w:w="953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565"/>
        <w:gridCol w:w="7073"/>
      </w:tblGrid>
      <w:tr w14:paraId="7AA4E5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2464" w:type="dxa"/>
            <w:gridSpan w:val="2"/>
            <w:vAlign w:val="center"/>
          </w:tcPr>
          <w:p w14:paraId="5FDBB5A8">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条款号</w:t>
            </w:r>
          </w:p>
        </w:tc>
        <w:tc>
          <w:tcPr>
            <w:tcW w:w="7073" w:type="dxa"/>
            <w:vAlign w:val="center"/>
          </w:tcPr>
          <w:p w14:paraId="300927C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评审因素与标准</w:t>
            </w:r>
          </w:p>
        </w:tc>
      </w:tr>
      <w:tr w14:paraId="7EE56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9" w:type="dxa"/>
            <w:vAlign w:val="center"/>
          </w:tcPr>
          <w:p w14:paraId="27D05B7C">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1</w:t>
            </w:r>
          </w:p>
        </w:tc>
        <w:tc>
          <w:tcPr>
            <w:tcW w:w="1565" w:type="dxa"/>
            <w:vAlign w:val="center"/>
          </w:tcPr>
          <w:p w14:paraId="4D6660C1">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评标办法</w:t>
            </w:r>
          </w:p>
        </w:tc>
        <w:tc>
          <w:tcPr>
            <w:tcW w:w="7073" w:type="dxa"/>
            <w:vAlign w:val="center"/>
          </w:tcPr>
          <w:p w14:paraId="1FB981E3">
            <w:pPr>
              <w:keepLines w:val="0"/>
              <w:pageBreakBefore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sz w:val="21"/>
                <w:szCs w:val="21"/>
              </w:rPr>
            </w:pPr>
            <w:r>
              <w:rPr>
                <w:rFonts w:hint="eastAsia" w:ascii="宋体" w:hAnsi="宋体" w:eastAsia="宋体" w:cs="宋体"/>
                <w:color w:val="auto"/>
                <w:kern w:val="2"/>
                <w:sz w:val="21"/>
                <w:szCs w:val="21"/>
                <w:highlight w:val="none"/>
                <w:lang w:val="en-US" w:eastAsia="zh-CN"/>
              </w:rPr>
              <w:t>评标价相等时，按照第一信封的排序规则和结果推荐中标候选人。</w:t>
            </w:r>
          </w:p>
        </w:tc>
      </w:tr>
      <w:tr w14:paraId="47952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9" w:type="dxa"/>
            <w:vMerge w:val="restart"/>
            <w:vAlign w:val="center"/>
          </w:tcPr>
          <w:p w14:paraId="70A07B13">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2.1.1</w:t>
            </w:r>
          </w:p>
          <w:p w14:paraId="65B0AF5B">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2.1.3</w:t>
            </w:r>
          </w:p>
        </w:tc>
        <w:tc>
          <w:tcPr>
            <w:tcW w:w="1565" w:type="dxa"/>
            <w:vAlign w:val="center"/>
          </w:tcPr>
          <w:p w14:paraId="2CC3D471">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第一信封</w:t>
            </w:r>
          </w:p>
          <w:p w14:paraId="567EF6B0">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形式评审与响应性评审标准</w:t>
            </w:r>
          </w:p>
        </w:tc>
        <w:tc>
          <w:tcPr>
            <w:tcW w:w="7073" w:type="dxa"/>
            <w:vAlign w:val="center"/>
          </w:tcPr>
          <w:p w14:paraId="0B6B1DC6">
            <w:pPr>
              <w:keepLines w:val="0"/>
              <w:pageBreakBefore w:val="0"/>
              <w:kinsoku/>
              <w:wordWrap/>
              <w:overflowPunct/>
              <w:topLinePunct w:val="0"/>
              <w:bidi w:val="0"/>
              <w:adjustRightInd w:val="0"/>
              <w:snapToGrid w:val="0"/>
              <w:spacing w:line="36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3178E2E4">
            <w:pPr>
              <w:pStyle w:val="23"/>
              <w:keepLines w:val="0"/>
              <w:pageBreakBefore w:val="0"/>
              <w:shd w:val="clear" w:color="auto" w:fill="auto"/>
              <w:tabs>
                <w:tab w:val="left" w:pos="1055"/>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Style w:val="24"/>
                <w:rFonts w:hint="eastAsia" w:ascii="宋体" w:hAnsi="宋体" w:eastAsia="宋体" w:cs="宋体"/>
                <w:color w:val="auto"/>
                <w:sz w:val="21"/>
                <w:szCs w:val="21"/>
                <w:highlight w:val="none"/>
              </w:rPr>
              <w:t>（1）投标文件按照招标文件规定的格式、内容填写，字迹清晰可辨：</w:t>
            </w:r>
          </w:p>
          <w:p w14:paraId="054BB5ED">
            <w:pPr>
              <w:pStyle w:val="23"/>
              <w:keepLines w:val="0"/>
              <w:pageBreakBefore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a</w:t>
            </w:r>
            <w:r>
              <w:rPr>
                <w:rStyle w:val="24"/>
                <w:rFonts w:hint="eastAsia" w:ascii="宋体" w:hAnsi="宋体" w:eastAsia="宋体" w:cs="宋体"/>
                <w:color w:val="auto"/>
                <w:sz w:val="21"/>
                <w:szCs w:val="21"/>
                <w:highlight w:val="none"/>
                <w:lang w:val="en-US"/>
              </w:rPr>
              <w:t>.</w:t>
            </w:r>
            <w:r>
              <w:rPr>
                <w:rStyle w:val="24"/>
                <w:rFonts w:hint="eastAsia" w:ascii="宋体" w:hAnsi="宋体" w:eastAsia="宋体" w:cs="宋体"/>
                <w:color w:val="auto"/>
                <w:sz w:val="21"/>
                <w:szCs w:val="21"/>
                <w:highlight w:val="none"/>
              </w:rPr>
              <w:t>投标函按招标文件规定填报了项目名称、标段号、补遗书编号（如有）、工期、工程质量要求及安全目标；</w:t>
            </w:r>
          </w:p>
          <w:p w14:paraId="09C98F07">
            <w:pPr>
              <w:pStyle w:val="23"/>
              <w:keepLines w:val="0"/>
              <w:pageBreakBefore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b</w:t>
            </w:r>
            <w:r>
              <w:rPr>
                <w:rStyle w:val="24"/>
                <w:rFonts w:hint="eastAsia" w:ascii="宋体" w:hAnsi="宋体" w:eastAsia="宋体" w:cs="宋体"/>
                <w:color w:val="auto"/>
                <w:sz w:val="21"/>
                <w:szCs w:val="21"/>
                <w:highlight w:val="none"/>
                <w:lang w:val="en-US"/>
              </w:rPr>
              <w:t>.</w:t>
            </w:r>
            <w:r>
              <w:rPr>
                <w:rStyle w:val="24"/>
                <w:rFonts w:hint="eastAsia" w:ascii="宋体" w:hAnsi="宋体" w:eastAsia="宋体" w:cs="宋体"/>
                <w:color w:val="auto"/>
                <w:sz w:val="21"/>
                <w:szCs w:val="21"/>
                <w:highlight w:val="none"/>
              </w:rPr>
              <w:t>投标函附录的所有数据均符合招标文件规定；</w:t>
            </w:r>
          </w:p>
          <w:p w14:paraId="47E75B35">
            <w:pPr>
              <w:pStyle w:val="23"/>
              <w:keepLines w:val="0"/>
              <w:pageBreakBefore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c</w:t>
            </w:r>
            <w:r>
              <w:rPr>
                <w:rStyle w:val="24"/>
                <w:rFonts w:hint="eastAsia" w:ascii="宋体" w:hAnsi="宋体" w:eastAsia="宋体" w:cs="宋体"/>
                <w:color w:val="auto"/>
                <w:sz w:val="21"/>
                <w:szCs w:val="21"/>
                <w:highlight w:val="none"/>
                <w:lang w:val="en-US"/>
              </w:rPr>
              <w:t>.</w:t>
            </w:r>
            <w:r>
              <w:rPr>
                <w:rStyle w:val="24"/>
                <w:rFonts w:hint="eastAsia" w:ascii="宋体" w:hAnsi="宋体" w:eastAsia="宋体" w:cs="宋体"/>
                <w:color w:val="auto"/>
                <w:sz w:val="21"/>
                <w:szCs w:val="21"/>
                <w:highlight w:val="none"/>
              </w:rPr>
              <w:t>投标文件组成齐全完整，内容均按规定填写。</w:t>
            </w:r>
          </w:p>
          <w:p w14:paraId="2637B9D3">
            <w:pPr>
              <w:pStyle w:val="23"/>
              <w:keepLines w:val="0"/>
              <w:pageBreakBefore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（2）投标文件上法定代表人或其委托代理人的签字、投标人的单位章盖章齐全，符合招标文件规定。</w:t>
            </w:r>
          </w:p>
          <w:p w14:paraId="37110EA3">
            <w:pPr>
              <w:pStyle w:val="23"/>
              <w:keepLines w:val="0"/>
              <w:pageBreakBefore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（3）投标人按照招标文件的规定提供了投标保证金：</w:t>
            </w:r>
          </w:p>
          <w:p w14:paraId="2312B58D">
            <w:pPr>
              <w:pStyle w:val="23"/>
              <w:keepLines w:val="0"/>
              <w:pageBreakBefore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a.投标保证金金额符合招标文件规定的金额，且投标保证金有效期不少于投标有效期；</w:t>
            </w:r>
          </w:p>
          <w:p w14:paraId="7D67E806">
            <w:pPr>
              <w:pStyle w:val="23"/>
              <w:keepLines w:val="0"/>
              <w:pageBreakBefore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b.若投标保证金采用现金或支票形式提交，投标人应在递交投标文件截止时间之前，将投标保证金由投标人的基本账户转入招标人指定账户；</w:t>
            </w:r>
          </w:p>
          <w:p w14:paraId="267F70FD">
            <w:pPr>
              <w:pStyle w:val="23"/>
              <w:keepLines w:val="0"/>
              <w:pageBreakBefore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4"/>
                <w:rFonts w:hint="eastAsia" w:ascii="宋体" w:hAnsi="宋体" w:eastAsia="宋体" w:cs="宋体"/>
                <w:color w:val="auto"/>
                <w:sz w:val="21"/>
                <w:szCs w:val="21"/>
                <w:highlight w:val="none"/>
              </w:rPr>
            </w:pPr>
            <w:r>
              <w:rPr>
                <w:rStyle w:val="24"/>
                <w:rFonts w:hint="eastAsia" w:ascii="宋体" w:hAnsi="宋体" w:eastAsia="宋体" w:cs="宋体"/>
                <w:color w:val="auto"/>
                <w:sz w:val="21"/>
                <w:szCs w:val="21"/>
                <w:highlight w:val="none"/>
              </w:rPr>
              <w:t>c.若投标保证金采用保函（</w:t>
            </w:r>
            <w:r>
              <w:rPr>
                <w:rStyle w:val="24"/>
                <w:rFonts w:hint="eastAsia" w:ascii="宋体" w:hAnsi="宋体" w:eastAsia="宋体" w:cs="宋体"/>
                <w:color w:val="auto"/>
                <w:sz w:val="21"/>
                <w:szCs w:val="21"/>
                <w:highlight w:val="none"/>
                <w:lang w:val="en-US"/>
              </w:rPr>
              <w:t>保单</w:t>
            </w:r>
            <w:r>
              <w:rPr>
                <w:rStyle w:val="24"/>
                <w:rFonts w:hint="eastAsia" w:ascii="宋体" w:hAnsi="宋体" w:eastAsia="宋体" w:cs="宋体"/>
                <w:color w:val="auto"/>
                <w:sz w:val="21"/>
                <w:szCs w:val="21"/>
                <w:highlight w:val="none"/>
              </w:rPr>
              <w:t>）形式提交，应满足</w:t>
            </w:r>
            <w:r>
              <w:rPr>
                <w:rStyle w:val="24"/>
                <w:rFonts w:hint="eastAsia" w:ascii="宋体" w:hAnsi="宋体" w:eastAsia="宋体" w:cs="宋体"/>
                <w:color w:val="auto"/>
                <w:sz w:val="21"/>
                <w:szCs w:val="21"/>
                <w:highlight w:val="none"/>
                <w:lang w:val="en-US"/>
              </w:rPr>
              <w:t>招标文件</w:t>
            </w:r>
            <w:r>
              <w:rPr>
                <w:rStyle w:val="24"/>
                <w:rFonts w:hint="eastAsia" w:ascii="宋体" w:hAnsi="宋体" w:eastAsia="宋体" w:cs="宋体"/>
                <w:color w:val="auto"/>
                <w:sz w:val="21"/>
                <w:szCs w:val="21"/>
                <w:highlight w:val="none"/>
              </w:rPr>
              <w:t>要求。</w:t>
            </w:r>
          </w:p>
          <w:p w14:paraId="40C913FC">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（4）投标人法定代表人授权委托代理人签署投标文件的，</w:t>
            </w: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提交授权委托书，且授权人和被授权人均在授权委托书上签名。</w:t>
            </w:r>
          </w:p>
          <w:p w14:paraId="1E3E4A23">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（5）投标人法定代表人亲自签署投标文件的，提供了法定代表人身份证明，且法定代表人在法定代表人身份证明上签名。</w:t>
            </w:r>
          </w:p>
          <w:p w14:paraId="5424EB82">
            <w:pPr>
              <w:keepLines w:val="0"/>
              <w:pageBreakBefore w:val="0"/>
              <w:kinsoku/>
              <w:wordWrap/>
              <w:overflowPunct/>
              <w:topLinePunct w:val="0"/>
              <w:bidi w:val="0"/>
              <w:spacing w:line="360" w:lineRule="exact"/>
              <w:ind w:firstLine="420" w:firstLineChars="200"/>
              <w:textAlignment w:val="auto"/>
              <w:rPr>
                <w:rStyle w:val="18"/>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rPr>
              <w:t>（6）</w:t>
            </w:r>
            <w:r>
              <w:rPr>
                <w:rFonts w:hint="eastAsia" w:ascii="宋体" w:hAnsi="宋体" w:eastAsia="宋体" w:cs="宋体"/>
                <w:sz w:val="21"/>
                <w:szCs w:val="21"/>
              </w:rPr>
              <w:t>投标人未以联合体形式投标。</w:t>
            </w:r>
          </w:p>
          <w:p w14:paraId="3F7D5ABF">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rPr>
              <w:t>分包计划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符合招标文件第二章“投标人须知”第1.11款规定</w:t>
            </w:r>
            <w:r>
              <w:rPr>
                <w:rFonts w:hint="eastAsia" w:ascii="宋体" w:hAnsi="宋体" w:eastAsia="宋体" w:cs="宋体"/>
                <w:color w:val="auto"/>
                <w:sz w:val="21"/>
                <w:szCs w:val="21"/>
                <w:highlight w:val="none"/>
              </w:rPr>
              <w:t>。</w:t>
            </w:r>
          </w:p>
          <w:p w14:paraId="3CE09218">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（8）同一投标人未提交两个以上不同的投标文件，但招标文件要求提交备选投标的除外。</w:t>
            </w:r>
          </w:p>
          <w:p w14:paraId="7625661F">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（9）投标文件中未出现有关投标报价的内容。</w:t>
            </w:r>
          </w:p>
          <w:p w14:paraId="2B616A97">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（10）投标文件载明的招标项目完成期限未超过招标文件规定的时限。</w:t>
            </w:r>
          </w:p>
          <w:p w14:paraId="4CE90058">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14:paraId="5BC48AF4">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3880F04F">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64EB9E3B">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4A9CDCF0">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c.投标人未提出不同的工程验收、计量、支付办法；</w:t>
            </w:r>
          </w:p>
          <w:p w14:paraId="3E0361AA">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1B9F30D3">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28EF3EC9">
            <w:pPr>
              <w:keepLines w:val="0"/>
              <w:pageBreakBefore w:val="0"/>
              <w:kinsoku/>
              <w:wordWrap/>
              <w:overflowPunct/>
              <w:topLinePunct w:val="0"/>
              <w:autoSpaceDE w:val="0"/>
              <w:autoSpaceDN w:val="0"/>
              <w:bidi w:val="0"/>
              <w:adjustRightIn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3D2E5972">
            <w:pPr>
              <w:keepLines w:val="0"/>
              <w:pageBreakBefore w:val="0"/>
              <w:kinsoku/>
              <w:wordWrap/>
              <w:overflowPunct/>
              <w:topLinePunct w:val="0"/>
              <w:autoSpaceDE w:val="0"/>
              <w:autoSpaceDN w:val="0"/>
              <w:bidi w:val="0"/>
              <w:adjustRightInd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投标人所投标段数量符合招标文件的规定。</w:t>
            </w:r>
          </w:p>
        </w:tc>
      </w:tr>
      <w:tr w14:paraId="52D82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9" w:type="dxa"/>
            <w:vMerge w:val="continue"/>
            <w:vAlign w:val="center"/>
          </w:tcPr>
          <w:p w14:paraId="2D7F4FEB">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p>
        </w:tc>
        <w:tc>
          <w:tcPr>
            <w:tcW w:w="1565" w:type="dxa"/>
            <w:vAlign w:val="center"/>
          </w:tcPr>
          <w:p w14:paraId="501815B1">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bCs/>
                <w:color w:val="000000"/>
                <w:sz w:val="21"/>
                <w:szCs w:val="21"/>
                <w:lang w:val="zh-CN"/>
              </w:rPr>
            </w:pPr>
            <w:r>
              <w:rPr>
                <w:rFonts w:hint="eastAsia" w:ascii="宋体" w:hAnsi="宋体" w:eastAsia="宋体" w:cs="宋体"/>
                <w:b/>
                <w:color w:val="000000"/>
                <w:sz w:val="21"/>
                <w:szCs w:val="21"/>
              </w:rPr>
              <w:t>第二个信封</w:t>
            </w:r>
          </w:p>
          <w:p w14:paraId="01B2F9EB">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bCs/>
                <w:color w:val="000000"/>
                <w:sz w:val="21"/>
                <w:szCs w:val="21"/>
                <w:lang w:val="zh-CN"/>
              </w:rPr>
              <w:t>形式评审与响应性评审标准</w:t>
            </w:r>
          </w:p>
        </w:tc>
        <w:tc>
          <w:tcPr>
            <w:tcW w:w="7073" w:type="dxa"/>
            <w:vAlign w:val="center"/>
          </w:tcPr>
          <w:p w14:paraId="4E6D527E">
            <w:pPr>
              <w:keepLines w:val="0"/>
              <w:pageBreakBefore w:val="0"/>
              <w:tabs>
                <w:tab w:val="left" w:pos="0"/>
              </w:tabs>
              <w:kinsoku/>
              <w:wordWrap/>
              <w:overflowPunct/>
              <w:topLinePunct w:val="0"/>
              <w:bidi w:val="0"/>
              <w:adjustRightInd w:val="0"/>
              <w:snapToGrid w:val="0"/>
              <w:spacing w:before="24" w:beforeLines="10" w:after="24" w:afterLines="10" w:line="360" w:lineRule="exact"/>
              <w:ind w:left="-73" w:leftChars="-35"/>
              <w:textAlignment w:val="auto"/>
              <w:rPr>
                <w:rFonts w:hint="eastAsia" w:ascii="宋体" w:hAnsi="宋体" w:eastAsia="宋体" w:cs="宋体"/>
                <w:b/>
                <w:sz w:val="21"/>
                <w:szCs w:val="21"/>
              </w:rPr>
            </w:pPr>
            <w:r>
              <w:rPr>
                <w:rFonts w:hint="eastAsia" w:ascii="宋体" w:hAnsi="宋体" w:eastAsia="宋体" w:cs="宋体"/>
                <w:b/>
                <w:sz w:val="21"/>
                <w:szCs w:val="21"/>
              </w:rPr>
              <w:t>第二个信封（报价文件）评审标准：</w:t>
            </w:r>
          </w:p>
          <w:p w14:paraId="54482076">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（1）投标文件按照招标文件规定的格式、内容填写，字迹清晰可辨：</w:t>
            </w:r>
          </w:p>
          <w:p w14:paraId="7A1F5FBD">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a.投标函按招标文件规定填报了项目名称、标段号、补遗书编号</w:t>
            </w:r>
            <w:r>
              <w:rPr>
                <w:rFonts w:hint="eastAsia" w:ascii="宋体" w:hAnsi="宋体" w:eastAsia="宋体" w:cs="宋体"/>
                <w:sz w:val="21"/>
                <w:szCs w:val="21"/>
                <w:lang w:eastAsia="zh-CN"/>
              </w:rPr>
              <w:t>（</w:t>
            </w:r>
            <w:r>
              <w:rPr>
                <w:rFonts w:hint="eastAsia" w:ascii="宋体" w:hAnsi="宋体" w:eastAsia="宋体" w:cs="宋体"/>
                <w:sz w:val="21"/>
                <w:szCs w:val="21"/>
              </w:rPr>
              <w:t>如有</w:t>
            </w:r>
            <w:r>
              <w:rPr>
                <w:rFonts w:hint="eastAsia" w:ascii="宋体" w:hAnsi="宋体" w:eastAsia="宋体" w:cs="宋体"/>
                <w:sz w:val="21"/>
                <w:szCs w:val="21"/>
                <w:lang w:eastAsia="zh-CN"/>
              </w:rPr>
              <w:t>）</w:t>
            </w:r>
            <w:r>
              <w:rPr>
                <w:rFonts w:hint="eastAsia" w:ascii="宋体" w:hAnsi="宋体" w:eastAsia="宋体" w:cs="宋体"/>
                <w:sz w:val="21"/>
                <w:szCs w:val="21"/>
              </w:rPr>
              <w:t>、投标价（包括大写金额和小写金额</w:t>
            </w:r>
            <w:r>
              <w:rPr>
                <w:rFonts w:hint="eastAsia" w:ascii="宋体" w:hAnsi="宋体" w:eastAsia="宋体" w:cs="宋体"/>
                <w:sz w:val="21"/>
                <w:szCs w:val="21"/>
                <w:lang w:eastAsia="zh-CN"/>
              </w:rPr>
              <w:t>）</w:t>
            </w:r>
            <w:r>
              <w:rPr>
                <w:rFonts w:hint="eastAsia" w:ascii="宋体" w:hAnsi="宋体" w:eastAsia="宋体" w:cs="宋体"/>
                <w:sz w:val="21"/>
                <w:szCs w:val="21"/>
              </w:rPr>
              <w:t>；</w:t>
            </w:r>
          </w:p>
          <w:p w14:paraId="0DC6A5F8">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b.已标价工程量清单说明文字与招标文件规定一致，未进行实质性修改和删减；</w:t>
            </w:r>
          </w:p>
          <w:p w14:paraId="624E1CA3">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c.投标文件组成齐全完整，内容均按规定填写。</w:t>
            </w:r>
          </w:p>
          <w:p w14:paraId="3D2E10DA">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（2）投标文件上法定代表人或其委托代理人的签字、投标人的单位章盖章齐全，符合招标文件规定。</w:t>
            </w:r>
          </w:p>
          <w:p w14:paraId="1566AC6A">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（3）投标报价未超过招标文件设定的最高投标限价。</w:t>
            </w:r>
          </w:p>
          <w:p w14:paraId="7EA3DFB4">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（4）投标报价中报价的大写能够确定具体数值。</w:t>
            </w:r>
          </w:p>
          <w:p w14:paraId="2DCE6685">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（5）同一投标人未提交两个以上不同的投标报价，但招标文件要求提交备选投标的除外。</w:t>
            </w:r>
          </w:p>
          <w:p w14:paraId="06123D06">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（6）投标人未提交调价函。</w:t>
            </w:r>
          </w:p>
          <w:p w14:paraId="7ACD55BF">
            <w:pPr>
              <w:keepLines w:val="0"/>
              <w:pageBreakBefore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（7）投标人未对工程量清单中的内容进行修改。</w:t>
            </w:r>
          </w:p>
        </w:tc>
      </w:tr>
      <w:tr w14:paraId="3F9D2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9" w:type="dxa"/>
            <w:vAlign w:val="center"/>
          </w:tcPr>
          <w:p w14:paraId="4D2B2A37">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2.1.2</w:t>
            </w:r>
          </w:p>
        </w:tc>
        <w:tc>
          <w:tcPr>
            <w:tcW w:w="1565" w:type="dxa"/>
            <w:vAlign w:val="center"/>
          </w:tcPr>
          <w:p w14:paraId="52C0CD94">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资格评审标准</w:t>
            </w:r>
          </w:p>
        </w:tc>
        <w:tc>
          <w:tcPr>
            <w:tcW w:w="7073" w:type="dxa"/>
            <w:vAlign w:val="center"/>
          </w:tcPr>
          <w:p w14:paraId="3AAB97E3">
            <w:pPr>
              <w:pStyle w:val="25"/>
              <w:keepLines w:val="0"/>
              <w:pageBreakBefore w:val="0"/>
              <w:shd w:val="clear" w:color="auto" w:fill="auto"/>
              <w:kinsoku/>
              <w:wordWrap/>
              <w:overflowPunct/>
              <w:topLinePunct w:val="0"/>
              <w:bidi w:val="0"/>
              <w:spacing w:before="0"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bidi="en-US"/>
              </w:rPr>
              <w:t>（1）</w:t>
            </w:r>
            <w:r>
              <w:rPr>
                <w:rFonts w:hint="eastAsia" w:ascii="宋体" w:hAnsi="宋体" w:eastAsia="宋体" w:cs="宋体"/>
                <w:sz w:val="21"/>
                <w:szCs w:val="21"/>
              </w:rPr>
              <w:t>投标人具备有效的营业执照、基本账户开户证明材料；</w:t>
            </w:r>
          </w:p>
          <w:p w14:paraId="116FFCBB">
            <w:pPr>
              <w:pStyle w:val="25"/>
              <w:keepLines w:val="0"/>
              <w:pageBreakBefore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bidi="en-US"/>
              </w:rPr>
              <w:t>（2）</w:t>
            </w:r>
            <w:r>
              <w:rPr>
                <w:rFonts w:hint="eastAsia" w:ascii="宋体" w:hAnsi="宋体" w:eastAsia="宋体" w:cs="宋体"/>
                <w:sz w:val="21"/>
                <w:szCs w:val="21"/>
              </w:rPr>
              <w:t>投标人的资质等级符合招标文件规定；</w:t>
            </w:r>
          </w:p>
          <w:p w14:paraId="463461CA">
            <w:pPr>
              <w:pStyle w:val="25"/>
              <w:keepLines w:val="0"/>
              <w:pageBreakBefore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lang w:bidi="en-US"/>
              </w:rPr>
              <w:t>（3）</w:t>
            </w:r>
            <w:r>
              <w:rPr>
                <w:rFonts w:hint="eastAsia" w:ascii="宋体" w:hAnsi="宋体" w:eastAsia="宋体" w:cs="宋体"/>
                <w:sz w:val="21"/>
                <w:szCs w:val="21"/>
              </w:rPr>
              <w:t>投标人的财务状况符合招标文件规定；</w:t>
            </w:r>
          </w:p>
          <w:p w14:paraId="62B49EDF">
            <w:pPr>
              <w:pStyle w:val="25"/>
              <w:keepLines w:val="0"/>
              <w:pageBreakBefore w:val="0"/>
              <w:shd w:val="clear" w:color="auto" w:fill="auto"/>
              <w:tabs>
                <w:tab w:val="left" w:pos="3008"/>
              </w:tabs>
              <w:kinsoku/>
              <w:wordWrap/>
              <w:overflowPunct/>
              <w:topLinePunct w:val="0"/>
              <w:bidi w:val="0"/>
              <w:spacing w:before="0"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（4）投标人的类似项目业绩符合招标文件规定；</w:t>
            </w:r>
          </w:p>
          <w:p w14:paraId="62F7A658">
            <w:pPr>
              <w:keepLines w:val="0"/>
              <w:pageBreakBefore w:val="0"/>
              <w:kinsoku/>
              <w:wordWrap/>
              <w:overflowPunct/>
              <w:topLinePunct w:val="0"/>
              <w:autoSpaceDE w:val="0"/>
              <w:autoSpaceDN w:val="0"/>
              <w:bidi w:val="0"/>
              <w:adjustRightInd w:val="0"/>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（5）投标人的信誉符合招标文件规定；</w:t>
            </w:r>
          </w:p>
          <w:p w14:paraId="2DFDFDE9">
            <w:pPr>
              <w:pStyle w:val="23"/>
              <w:keepLines w:val="0"/>
              <w:pageBreakBefore w:val="0"/>
              <w:shd w:val="clear" w:color="auto" w:fill="auto"/>
              <w:tabs>
                <w:tab w:val="left" w:pos="1068"/>
              </w:tabs>
              <w:kinsoku/>
              <w:wordWrap/>
              <w:overflowPunct/>
              <w:topLinePunct w:val="0"/>
              <w:bidi w:val="0"/>
              <w:spacing w:before="0" w:after="0" w:line="360" w:lineRule="exact"/>
              <w:ind w:firstLine="420" w:firstLineChars="200"/>
              <w:jc w:val="left"/>
              <w:textAlignment w:val="auto"/>
              <w:rPr>
                <w:rFonts w:hint="eastAsia" w:ascii="宋体" w:hAnsi="宋体" w:eastAsia="宋体" w:cs="宋体"/>
                <w:sz w:val="21"/>
                <w:szCs w:val="21"/>
              </w:rPr>
            </w:pPr>
            <w:r>
              <w:rPr>
                <w:rStyle w:val="24"/>
                <w:rFonts w:hint="eastAsia" w:ascii="宋体" w:hAnsi="宋体" w:eastAsia="宋体" w:cs="宋体"/>
                <w:sz w:val="21"/>
                <w:szCs w:val="21"/>
              </w:rPr>
              <w:t>（6）投标人的</w:t>
            </w:r>
            <w:r>
              <w:rPr>
                <w:rStyle w:val="24"/>
                <w:rFonts w:hint="eastAsia" w:ascii="宋体" w:hAnsi="宋体" w:eastAsia="宋体" w:cs="宋体"/>
                <w:sz w:val="21"/>
                <w:szCs w:val="21"/>
                <w:lang w:val="en-US"/>
              </w:rPr>
              <w:t>项目经理和项目总工</w:t>
            </w:r>
            <w:r>
              <w:rPr>
                <w:rStyle w:val="24"/>
                <w:rFonts w:hint="eastAsia" w:ascii="宋体" w:hAnsi="宋体" w:eastAsia="宋体" w:cs="宋体"/>
                <w:sz w:val="21"/>
                <w:szCs w:val="21"/>
              </w:rPr>
              <w:t>资格、在岗情况符合招标文件规定；</w:t>
            </w:r>
          </w:p>
          <w:p w14:paraId="1B077432">
            <w:pPr>
              <w:pStyle w:val="23"/>
              <w:keepLines w:val="0"/>
              <w:pageBreakBefore w:val="0"/>
              <w:shd w:val="clear" w:color="auto" w:fill="auto"/>
              <w:tabs>
                <w:tab w:val="left" w:pos="1073"/>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000000"/>
                <w:sz w:val="21"/>
                <w:szCs w:val="21"/>
                <w:shd w:val="clear" w:color="auto" w:fill="FFFFFF"/>
                <w:lang w:val="zh-CN" w:bidi="zh-CN"/>
              </w:rPr>
            </w:pPr>
            <w:r>
              <w:rPr>
                <w:rStyle w:val="24"/>
                <w:rFonts w:hint="eastAsia" w:ascii="宋体" w:hAnsi="宋体" w:eastAsia="宋体" w:cs="宋体"/>
                <w:sz w:val="21"/>
                <w:szCs w:val="21"/>
              </w:rPr>
              <w:t>（7）投标人不存在第二章“投标人须知”第1.4.3项或第1.4.4项规定的任何一种情形。</w:t>
            </w:r>
          </w:p>
        </w:tc>
      </w:tr>
      <w:tr w14:paraId="708BF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9" w:type="dxa"/>
            <w:vAlign w:val="center"/>
          </w:tcPr>
          <w:p w14:paraId="276F8BFB">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2.2.1</w:t>
            </w:r>
          </w:p>
        </w:tc>
        <w:tc>
          <w:tcPr>
            <w:tcW w:w="1565" w:type="dxa"/>
            <w:vAlign w:val="center"/>
          </w:tcPr>
          <w:p w14:paraId="26001703">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第一个信封</w:t>
            </w:r>
          </w:p>
          <w:p w14:paraId="70331157">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评分值构成</w:t>
            </w:r>
          </w:p>
          <w:p w14:paraId="0618A4AE">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（总分100分）</w:t>
            </w:r>
          </w:p>
        </w:tc>
        <w:tc>
          <w:tcPr>
            <w:tcW w:w="7073" w:type="dxa"/>
            <w:vAlign w:val="center"/>
          </w:tcPr>
          <w:p w14:paraId="0C3D9651">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养护组织方案</w:t>
            </w:r>
            <w:r>
              <w:rPr>
                <w:rFonts w:hint="eastAsia" w:ascii="宋体" w:hAnsi="宋体" w:eastAsia="宋体" w:cs="宋体"/>
                <w:sz w:val="21"/>
                <w:szCs w:val="21"/>
              </w:rPr>
              <w:t>：40分；</w:t>
            </w:r>
          </w:p>
          <w:p w14:paraId="5CE726B0">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主要人员：25分；</w:t>
            </w:r>
          </w:p>
          <w:p w14:paraId="57D25FC9">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其他评分因素：35分。</w:t>
            </w:r>
          </w:p>
        </w:tc>
      </w:tr>
      <w:tr w14:paraId="3163D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9" w:type="dxa"/>
            <w:vAlign w:val="center"/>
          </w:tcPr>
          <w:p w14:paraId="36A5F91F">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2.2.3</w:t>
            </w:r>
          </w:p>
        </w:tc>
        <w:tc>
          <w:tcPr>
            <w:tcW w:w="1565" w:type="dxa"/>
            <w:vAlign w:val="center"/>
          </w:tcPr>
          <w:p w14:paraId="4001FEB3">
            <w:pPr>
              <w:keepLines w:val="0"/>
              <w:pageBreakBefore w:val="0"/>
              <w:kinsoku/>
              <w:wordWrap/>
              <w:overflowPunct/>
              <w:topLinePunct w:val="0"/>
              <w:autoSpaceDE w:val="0"/>
              <w:autoSpaceDN w:val="0"/>
              <w:bidi w:val="0"/>
              <w:adjustRightInd w:val="0"/>
              <w:spacing w:line="360" w:lineRule="exact"/>
              <w:ind w:firstLine="105" w:firstLineChars="50"/>
              <w:jc w:val="center"/>
              <w:textAlignment w:val="auto"/>
              <w:rPr>
                <w:rFonts w:hint="eastAsia" w:ascii="宋体" w:hAnsi="宋体" w:eastAsia="宋体" w:cs="宋体"/>
                <w:bCs/>
                <w:sz w:val="21"/>
                <w:szCs w:val="21"/>
                <w:lang w:val="zh-CN"/>
              </w:rPr>
            </w:pPr>
            <w:r>
              <w:rPr>
                <w:rFonts w:hint="eastAsia" w:ascii="宋体" w:hAnsi="宋体" w:eastAsia="宋体" w:cs="宋体"/>
                <w:bCs/>
                <w:sz w:val="21"/>
                <w:szCs w:val="21"/>
                <w:lang w:val="zh-CN"/>
              </w:rPr>
              <w:t>第二个信封详细评审标准</w:t>
            </w:r>
          </w:p>
        </w:tc>
        <w:tc>
          <w:tcPr>
            <w:tcW w:w="7073" w:type="dxa"/>
            <w:vAlign w:val="center"/>
          </w:tcPr>
          <w:p w14:paraId="364EABA3">
            <w:pPr>
              <w:keepLines w:val="0"/>
              <w:pageBreakBefore w:val="0"/>
              <w:kinsoku/>
              <w:wordWrap/>
              <w:overflowPunct/>
              <w:topLinePunct w:val="0"/>
              <w:autoSpaceDE w:val="0"/>
              <w:autoSpaceDN w:val="0"/>
              <w:bidi w:val="0"/>
              <w:adjustRightInd w:val="0"/>
              <w:spacing w:line="360" w:lineRule="exact"/>
              <w:textAlignment w:val="auto"/>
              <w:rPr>
                <w:rFonts w:hint="eastAsia" w:ascii="宋体" w:hAnsi="宋体" w:eastAsia="宋体" w:cs="宋体"/>
                <w:bCs/>
                <w:sz w:val="21"/>
                <w:szCs w:val="21"/>
                <w:lang w:val="zh-CN"/>
              </w:rPr>
            </w:pPr>
            <w:r>
              <w:rPr>
                <w:rFonts w:hint="eastAsia" w:ascii="宋体" w:hAnsi="宋体" w:eastAsia="宋体" w:cs="宋体"/>
                <w:b/>
                <w:sz w:val="21"/>
                <w:szCs w:val="21"/>
              </w:rPr>
              <w:t>评标价计算公式：</w:t>
            </w:r>
            <w:r>
              <w:rPr>
                <w:rFonts w:hint="eastAsia" w:ascii="宋体" w:hAnsi="宋体" w:eastAsia="宋体" w:cs="宋体"/>
                <w:sz w:val="21"/>
                <w:szCs w:val="21"/>
              </w:rPr>
              <w:t>评标价=投标函文字报价</w:t>
            </w:r>
          </w:p>
        </w:tc>
      </w:tr>
      <w:tr w14:paraId="7EE64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9" w:type="dxa"/>
            <w:vAlign w:val="center"/>
          </w:tcPr>
          <w:p w14:paraId="5912EBDD">
            <w:pPr>
              <w:keepLines w:val="0"/>
              <w:pageBreakBefore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Cs/>
                <w:sz w:val="21"/>
                <w:szCs w:val="21"/>
                <w:lang w:val="zh-CN"/>
              </w:rPr>
            </w:pPr>
            <w:r>
              <w:rPr>
                <w:rFonts w:hint="eastAsia" w:ascii="宋体" w:hAnsi="宋体" w:eastAsia="宋体" w:cs="宋体"/>
                <w:bCs/>
                <w:sz w:val="21"/>
                <w:szCs w:val="21"/>
                <w:lang w:val="zh-CN"/>
              </w:rPr>
              <w:t>3.2.4</w:t>
            </w:r>
          </w:p>
        </w:tc>
        <w:tc>
          <w:tcPr>
            <w:tcW w:w="1565" w:type="dxa"/>
            <w:vAlign w:val="center"/>
          </w:tcPr>
          <w:p w14:paraId="33BAF8AC">
            <w:pPr>
              <w:keepLines w:val="0"/>
              <w:pageBreakBefore w:val="0"/>
              <w:kinsoku/>
              <w:wordWrap/>
              <w:overflowPunct/>
              <w:topLinePunct w:val="0"/>
              <w:autoSpaceDE w:val="0"/>
              <w:autoSpaceDN w:val="0"/>
              <w:bidi w:val="0"/>
              <w:adjustRightInd w:val="0"/>
              <w:spacing w:line="360" w:lineRule="exact"/>
              <w:ind w:firstLine="105" w:firstLineChars="50"/>
              <w:jc w:val="center"/>
              <w:textAlignment w:val="auto"/>
              <w:rPr>
                <w:rFonts w:hint="eastAsia" w:ascii="宋体" w:hAnsi="宋体" w:eastAsia="宋体" w:cs="宋体"/>
                <w:bCs/>
                <w:sz w:val="21"/>
                <w:szCs w:val="21"/>
                <w:lang w:val="zh-CN"/>
              </w:rPr>
            </w:pPr>
            <w:r>
              <w:rPr>
                <w:rFonts w:hint="eastAsia" w:ascii="宋体" w:hAnsi="宋体" w:eastAsia="宋体" w:cs="宋体"/>
                <w:bCs/>
                <w:sz w:val="21"/>
                <w:szCs w:val="21"/>
                <w:lang w:val="zh-CN"/>
              </w:rPr>
              <w:t>通过第一个信封详细评审的投标人数量</w:t>
            </w:r>
          </w:p>
        </w:tc>
        <w:tc>
          <w:tcPr>
            <w:tcW w:w="7073" w:type="dxa"/>
            <w:vAlign w:val="center"/>
          </w:tcPr>
          <w:p w14:paraId="4BA4841B">
            <w:pPr>
              <w:keepLines w:val="0"/>
              <w:pageBreakBefore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按照投标人的商务和技术得分由高到低排序，选择前</w:t>
            </w:r>
            <w:r>
              <w:rPr>
                <w:rFonts w:hint="eastAsia" w:ascii="宋体" w:hAnsi="宋体" w:eastAsia="宋体" w:cs="宋体"/>
                <w:b/>
                <w:sz w:val="21"/>
                <w:szCs w:val="21"/>
              </w:rPr>
              <w:t>3</w:t>
            </w:r>
            <w:r>
              <w:rPr>
                <w:rFonts w:hint="eastAsia" w:ascii="宋体" w:hAnsi="宋体" w:eastAsia="宋体" w:cs="宋体"/>
                <w:sz w:val="21"/>
                <w:szCs w:val="21"/>
              </w:rPr>
              <w:t>名通过详细评审。</w:t>
            </w:r>
          </w:p>
          <w:p w14:paraId="3D269242">
            <w:pPr>
              <w:keepLines w:val="0"/>
              <w:pageBreakBefore w:val="0"/>
              <w:kinsoku/>
              <w:wordWrap/>
              <w:overflowPunct/>
              <w:topLinePunct w:val="0"/>
              <w:bidi w:val="0"/>
              <w:adjustRightInd w:val="0"/>
              <w:snapToGrid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如同一标段出现多名投标人的第一信封（商务及技术文件）综合评分相等时，则按照以下所列顺位在</w:t>
            </w:r>
            <w:r>
              <w:rPr>
                <w:rFonts w:hint="eastAsia" w:ascii="宋体" w:hAnsi="宋体" w:eastAsia="宋体" w:cs="宋体"/>
                <w:sz w:val="21"/>
                <w:szCs w:val="21"/>
                <w:lang w:val="en-US" w:eastAsia="zh-CN"/>
              </w:rPr>
              <w:t>前者</w:t>
            </w:r>
            <w:r>
              <w:rPr>
                <w:rFonts w:hint="eastAsia" w:ascii="宋体" w:hAnsi="宋体" w:eastAsia="宋体" w:cs="宋体"/>
                <w:sz w:val="21"/>
                <w:szCs w:val="21"/>
              </w:rPr>
              <w:t>优先：</w:t>
            </w:r>
          </w:p>
          <w:p w14:paraId="242982FA">
            <w:pPr>
              <w:keepLines w:val="0"/>
              <w:pageBreakBefore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sz w:val="21"/>
                <w:szCs w:val="21"/>
              </w:rPr>
            </w:pPr>
            <w:r>
              <w:rPr>
                <w:rFonts w:hint="eastAsia" w:ascii="宋体" w:hAnsi="宋体" w:eastAsia="宋体" w:cs="宋体"/>
                <w:sz w:val="21"/>
                <w:szCs w:val="21"/>
              </w:rPr>
              <w:t>a.按信用评价得分较高者；</w:t>
            </w:r>
          </w:p>
          <w:p w14:paraId="1D84BFD2">
            <w:pPr>
              <w:keepLines w:val="0"/>
              <w:pageBreakBefore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sz w:val="21"/>
                <w:szCs w:val="21"/>
              </w:rPr>
            </w:pPr>
            <w:r>
              <w:rPr>
                <w:rFonts w:hint="eastAsia" w:ascii="宋体" w:hAnsi="宋体" w:eastAsia="宋体" w:cs="宋体"/>
                <w:sz w:val="21"/>
                <w:szCs w:val="21"/>
              </w:rPr>
              <w:t>b.主要人员得分较高者；</w:t>
            </w:r>
          </w:p>
          <w:p w14:paraId="469AFBDB">
            <w:pPr>
              <w:keepLines w:val="0"/>
              <w:pageBreakBefore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z w:val="21"/>
                <w:szCs w:val="21"/>
                <w:lang w:eastAsia="zh-CN"/>
              </w:rPr>
              <w:t>养护组织方案</w:t>
            </w:r>
            <w:r>
              <w:rPr>
                <w:rFonts w:hint="eastAsia" w:ascii="宋体" w:hAnsi="宋体" w:eastAsia="宋体" w:cs="宋体"/>
                <w:sz w:val="21"/>
                <w:szCs w:val="21"/>
              </w:rPr>
              <w:t>得分较高者；</w:t>
            </w:r>
          </w:p>
          <w:p w14:paraId="24823996">
            <w:pPr>
              <w:keepLines w:val="0"/>
              <w:pageBreakBefore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若以上各项评分因素得分都相等，则通过评委会投票表决，推荐票数多的投标人评分排序在先。</w:t>
            </w:r>
          </w:p>
        </w:tc>
      </w:tr>
    </w:tbl>
    <w:p w14:paraId="387FB897">
      <w:pPr>
        <w:keepLines w:val="0"/>
        <w:pageBreakBefore w:val="0"/>
        <w:kinsoku/>
        <w:wordWrap/>
        <w:overflowPunct/>
        <w:topLinePunct w:val="0"/>
        <w:bidi w:val="0"/>
        <w:spacing w:line="360" w:lineRule="exact"/>
        <w:textAlignment w:val="auto"/>
        <w:rPr>
          <w:rFonts w:hint="eastAsia" w:ascii="宋体" w:hAnsi="宋体" w:eastAsia="宋体" w:cs="宋体"/>
          <w:sz w:val="21"/>
          <w:szCs w:val="21"/>
        </w:rPr>
      </w:pPr>
    </w:p>
    <w:p w14:paraId="58BADAED">
      <w:pPr>
        <w:pStyle w:val="3"/>
        <w:keepLines w:val="0"/>
        <w:pageBreakBefore w:val="0"/>
        <w:kinsoku/>
        <w:wordWrap/>
        <w:overflowPunct/>
        <w:topLinePunct w:val="0"/>
        <w:bidi w:val="0"/>
        <w:spacing w:line="360" w:lineRule="exact"/>
        <w:ind w:left="0" w:leftChars="0" w:firstLine="0" w:firstLineChars="0"/>
        <w:textAlignment w:val="auto"/>
        <w:rPr>
          <w:rFonts w:hint="eastAsia" w:ascii="宋体" w:hAnsi="宋体" w:eastAsia="宋体" w:cs="宋体"/>
          <w:sz w:val="21"/>
          <w:szCs w:val="21"/>
        </w:rPr>
      </w:pPr>
    </w:p>
    <w:p w14:paraId="10696020">
      <w:pPr>
        <w:pStyle w:val="4"/>
        <w:keepLines w:val="0"/>
        <w:pageBreakBefore w:val="0"/>
        <w:kinsoku/>
        <w:wordWrap/>
        <w:overflowPunct/>
        <w:topLinePunct w:val="0"/>
        <w:bidi w:val="0"/>
        <w:spacing w:line="360" w:lineRule="exact"/>
        <w:textAlignment w:val="auto"/>
        <w:rPr>
          <w:rFonts w:hint="eastAsia" w:ascii="宋体" w:hAnsi="宋体" w:eastAsia="宋体" w:cs="宋体"/>
          <w:sz w:val="21"/>
          <w:szCs w:val="21"/>
        </w:rPr>
      </w:pPr>
    </w:p>
    <w:p w14:paraId="2D800E07">
      <w:pPr>
        <w:pStyle w:val="4"/>
        <w:keepLines w:val="0"/>
        <w:pageBreakBefore w:val="0"/>
        <w:kinsoku/>
        <w:wordWrap/>
        <w:overflowPunct/>
        <w:topLinePunct w:val="0"/>
        <w:bidi w:val="0"/>
        <w:spacing w:line="360" w:lineRule="exact"/>
        <w:textAlignment w:val="auto"/>
        <w:rPr>
          <w:rFonts w:hint="eastAsia" w:ascii="宋体" w:hAnsi="宋体" w:eastAsia="宋体" w:cs="宋体"/>
          <w:sz w:val="21"/>
          <w:szCs w:val="21"/>
        </w:rPr>
      </w:pPr>
    </w:p>
    <w:p w14:paraId="18EEADE1">
      <w:pPr>
        <w:pStyle w:val="4"/>
        <w:keepLines w:val="0"/>
        <w:pageBreakBefore w:val="0"/>
        <w:kinsoku/>
        <w:wordWrap/>
        <w:overflowPunct/>
        <w:topLinePunct w:val="0"/>
        <w:bidi w:val="0"/>
        <w:spacing w:line="360" w:lineRule="exact"/>
        <w:textAlignment w:val="auto"/>
        <w:rPr>
          <w:rFonts w:hint="eastAsia" w:ascii="宋体" w:hAnsi="宋体" w:eastAsia="宋体" w:cs="宋体"/>
          <w:sz w:val="21"/>
          <w:szCs w:val="21"/>
        </w:rPr>
      </w:pPr>
    </w:p>
    <w:p w14:paraId="0142B787">
      <w:pPr>
        <w:pStyle w:val="4"/>
        <w:keepLines w:val="0"/>
        <w:pageBreakBefore w:val="0"/>
        <w:kinsoku/>
        <w:wordWrap/>
        <w:overflowPunct/>
        <w:topLinePunct w:val="0"/>
        <w:bidi w:val="0"/>
        <w:spacing w:line="360" w:lineRule="exact"/>
        <w:textAlignment w:val="auto"/>
        <w:rPr>
          <w:rFonts w:hint="eastAsia" w:ascii="宋体" w:hAnsi="宋体" w:eastAsia="宋体" w:cs="宋体"/>
          <w:sz w:val="21"/>
          <w:szCs w:val="21"/>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29"/>
        <w:gridCol w:w="995"/>
        <w:gridCol w:w="942"/>
        <w:gridCol w:w="2035"/>
        <w:gridCol w:w="688"/>
        <w:gridCol w:w="3819"/>
      </w:tblGrid>
      <w:tr w14:paraId="5491D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tblHeader/>
          <w:jc w:val="center"/>
        </w:trPr>
        <w:tc>
          <w:tcPr>
            <w:tcW w:w="5689" w:type="dxa"/>
            <w:gridSpan w:val="5"/>
            <w:vAlign w:val="center"/>
          </w:tcPr>
          <w:p w14:paraId="3E92AD6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评分因素与权重分值</w:t>
            </w:r>
          </w:p>
        </w:tc>
        <w:tc>
          <w:tcPr>
            <w:tcW w:w="3819" w:type="dxa"/>
            <w:vMerge w:val="restart"/>
            <w:vAlign w:val="center"/>
          </w:tcPr>
          <w:p w14:paraId="467FB18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评分标准</w:t>
            </w:r>
          </w:p>
        </w:tc>
      </w:tr>
      <w:tr w14:paraId="1C96D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2" w:hRule="atLeast"/>
          <w:tblHeader/>
          <w:jc w:val="center"/>
        </w:trPr>
        <w:tc>
          <w:tcPr>
            <w:tcW w:w="1029" w:type="dxa"/>
            <w:vAlign w:val="center"/>
          </w:tcPr>
          <w:p w14:paraId="745A59A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995" w:type="dxa"/>
            <w:vAlign w:val="center"/>
          </w:tcPr>
          <w:p w14:paraId="2E2B0B6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w:t>
            </w:r>
            <w:r>
              <w:rPr>
                <w:rFonts w:hint="eastAsia" w:ascii="宋体" w:hAnsi="宋体" w:eastAsia="宋体" w:cs="宋体"/>
                <w:sz w:val="21"/>
                <w:szCs w:val="21"/>
              </w:rPr>
              <w:br w:type="textWrapping"/>
            </w:r>
            <w:r>
              <w:rPr>
                <w:rFonts w:hint="eastAsia" w:ascii="宋体" w:hAnsi="宋体" w:eastAsia="宋体" w:cs="宋体"/>
                <w:sz w:val="21"/>
                <w:szCs w:val="21"/>
              </w:rPr>
              <w:t>因素</w:t>
            </w:r>
          </w:p>
        </w:tc>
        <w:tc>
          <w:tcPr>
            <w:tcW w:w="942" w:type="dxa"/>
            <w:vAlign w:val="center"/>
          </w:tcPr>
          <w:p w14:paraId="0153995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评分因素</w:t>
            </w:r>
            <w:r>
              <w:rPr>
                <w:rFonts w:hint="eastAsia" w:ascii="宋体" w:hAnsi="宋体" w:eastAsia="宋体" w:cs="宋体"/>
                <w:sz w:val="21"/>
                <w:szCs w:val="21"/>
              </w:rPr>
              <w:br w:type="textWrapping"/>
            </w:r>
            <w:r>
              <w:rPr>
                <w:rFonts w:hint="eastAsia" w:ascii="宋体" w:hAnsi="宋体" w:eastAsia="宋体" w:cs="宋体"/>
                <w:sz w:val="21"/>
                <w:szCs w:val="21"/>
              </w:rPr>
              <w:t>权重分值</w:t>
            </w:r>
          </w:p>
        </w:tc>
        <w:tc>
          <w:tcPr>
            <w:tcW w:w="2035" w:type="dxa"/>
            <w:vAlign w:val="center"/>
          </w:tcPr>
          <w:p w14:paraId="5CBF301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各评分因素细分项</w:t>
            </w:r>
          </w:p>
        </w:tc>
        <w:tc>
          <w:tcPr>
            <w:tcW w:w="688" w:type="dxa"/>
            <w:vAlign w:val="center"/>
          </w:tcPr>
          <w:p w14:paraId="0CC5CB9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分值</w:t>
            </w:r>
          </w:p>
        </w:tc>
        <w:tc>
          <w:tcPr>
            <w:tcW w:w="3819" w:type="dxa"/>
            <w:vMerge w:val="continue"/>
            <w:vAlign w:val="center"/>
          </w:tcPr>
          <w:p w14:paraId="1CAFCFA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sz w:val="21"/>
                <w:szCs w:val="21"/>
              </w:rPr>
            </w:pPr>
          </w:p>
        </w:tc>
      </w:tr>
      <w:tr w14:paraId="3A099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29" w:type="dxa"/>
            <w:vMerge w:val="restart"/>
            <w:vAlign w:val="center"/>
          </w:tcPr>
          <w:p w14:paraId="3957B27A">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2.2.2（1）</w:t>
            </w:r>
          </w:p>
        </w:tc>
        <w:tc>
          <w:tcPr>
            <w:tcW w:w="995" w:type="dxa"/>
            <w:vMerge w:val="restart"/>
            <w:vAlign w:val="center"/>
          </w:tcPr>
          <w:p w14:paraId="567C10EC">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lang w:eastAsia="zh-CN"/>
              </w:rPr>
              <w:t>养护组织方案</w:t>
            </w:r>
          </w:p>
        </w:tc>
        <w:tc>
          <w:tcPr>
            <w:tcW w:w="942" w:type="dxa"/>
            <w:vMerge w:val="restart"/>
            <w:vAlign w:val="center"/>
          </w:tcPr>
          <w:p w14:paraId="057B1BA4">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40分</w:t>
            </w:r>
          </w:p>
        </w:tc>
        <w:tc>
          <w:tcPr>
            <w:tcW w:w="2035" w:type="dxa"/>
            <w:vAlign w:val="center"/>
          </w:tcPr>
          <w:p w14:paraId="6E56DE8B">
            <w:pPr>
              <w:keepLines w:val="0"/>
              <w:pageBreakBefore w:val="0"/>
              <w:kinsoku/>
              <w:wordWrap/>
              <w:overflowPunct/>
              <w:topLinePunct w:val="0"/>
              <w:bidi w:val="0"/>
              <w:adjustRightInd w:val="0"/>
              <w:snapToGrid w:val="0"/>
              <w:spacing w:line="36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总体</w:t>
            </w:r>
            <w:r>
              <w:rPr>
                <w:rFonts w:hint="eastAsia" w:ascii="宋体" w:hAnsi="宋体" w:eastAsia="宋体" w:cs="宋体"/>
                <w:color w:val="auto"/>
                <w:sz w:val="21"/>
                <w:szCs w:val="21"/>
                <w:highlight w:val="none"/>
                <w:lang w:val="en-US" w:eastAsia="zh-CN"/>
              </w:rPr>
              <w:t>养护</w:t>
            </w:r>
            <w:r>
              <w:rPr>
                <w:rFonts w:hint="eastAsia" w:ascii="宋体" w:hAnsi="宋体" w:eastAsia="宋体" w:cs="宋体"/>
                <w:color w:val="auto"/>
                <w:sz w:val="21"/>
                <w:szCs w:val="21"/>
                <w:highlight w:val="none"/>
              </w:rPr>
              <w:t>组织布置及规划</w:t>
            </w:r>
          </w:p>
        </w:tc>
        <w:tc>
          <w:tcPr>
            <w:tcW w:w="688" w:type="dxa"/>
            <w:vAlign w:val="center"/>
          </w:tcPr>
          <w:p w14:paraId="55187F40">
            <w:pPr>
              <w:keepLines w:val="0"/>
              <w:pageBreakBefore w:val="0"/>
              <w:kinsoku/>
              <w:wordWrap/>
              <w:overflowPunct/>
              <w:topLinePunct w:val="0"/>
              <w:bidi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10分</w:t>
            </w:r>
          </w:p>
        </w:tc>
        <w:tc>
          <w:tcPr>
            <w:tcW w:w="3819" w:type="dxa"/>
            <w:vAlign w:val="center"/>
          </w:tcPr>
          <w:p w14:paraId="1491E35D">
            <w:pPr>
              <w:keepLines w:val="0"/>
              <w:pageBreakBefore w:val="0"/>
              <w:widowControl/>
              <w:kinsoku/>
              <w:wordWrap/>
              <w:overflowPunct/>
              <w:topLinePunct w:val="0"/>
              <w:bidi w:val="0"/>
              <w:spacing w:line="360" w:lineRule="exact"/>
              <w:jc w:val="left"/>
              <w:textAlignment w:val="auto"/>
              <w:rPr>
                <w:rFonts w:hint="eastAsia" w:ascii="宋体" w:hAnsi="宋体" w:eastAsia="宋体" w:cs="宋体"/>
                <w:kern w:val="0"/>
                <w:sz w:val="21"/>
                <w:szCs w:val="21"/>
              </w:rPr>
            </w:pPr>
            <w:r>
              <w:rPr>
                <w:rFonts w:hint="eastAsia" w:ascii="宋体" w:hAnsi="宋体" w:eastAsia="宋体" w:cs="宋体"/>
                <w:color w:val="000000"/>
                <w:sz w:val="21"/>
                <w:szCs w:val="21"/>
                <w:shd w:val="clear" w:color="auto" w:fill="FFFFFF"/>
              </w:rPr>
              <w:t>按招标文件要求编制总体布置及规划</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70FB00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29" w:type="dxa"/>
            <w:vMerge w:val="continue"/>
            <w:vAlign w:val="center"/>
          </w:tcPr>
          <w:p w14:paraId="03255A21">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vAlign w:val="center"/>
          </w:tcPr>
          <w:p w14:paraId="60B55D97">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vAlign w:val="center"/>
          </w:tcPr>
          <w:p w14:paraId="5E03BA75">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Align w:val="center"/>
          </w:tcPr>
          <w:p w14:paraId="30F3D208">
            <w:pPr>
              <w:keepLines w:val="0"/>
              <w:pageBreakBefore w:val="0"/>
              <w:kinsoku/>
              <w:wordWrap/>
              <w:overflowPunct/>
              <w:topLinePunct w:val="0"/>
              <w:bidi w:val="0"/>
              <w:adjustRightInd w:val="0"/>
              <w:snapToGrid w:val="0"/>
              <w:spacing w:line="360" w:lineRule="exact"/>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lang w:val="zh-CN"/>
              </w:rPr>
              <w:t>主要</w:t>
            </w:r>
            <w:r>
              <w:rPr>
                <w:rFonts w:hint="eastAsia" w:ascii="宋体" w:hAnsi="宋体" w:eastAsia="宋体" w:cs="宋体"/>
                <w:bCs/>
                <w:color w:val="auto"/>
                <w:sz w:val="21"/>
                <w:szCs w:val="21"/>
                <w:highlight w:val="none"/>
                <w:lang w:val="en-US" w:eastAsia="zh-CN"/>
              </w:rPr>
              <w:t>养护</w:t>
            </w:r>
            <w:r>
              <w:rPr>
                <w:rFonts w:hint="eastAsia" w:ascii="宋体" w:hAnsi="宋体" w:eastAsia="宋体" w:cs="宋体"/>
                <w:bCs/>
                <w:color w:val="auto"/>
                <w:sz w:val="21"/>
                <w:szCs w:val="21"/>
                <w:highlight w:val="none"/>
                <w:lang w:val="zh-CN"/>
              </w:rPr>
              <w:t>项目的</w:t>
            </w:r>
            <w:r>
              <w:rPr>
                <w:rFonts w:hint="eastAsia" w:ascii="宋体" w:hAnsi="宋体" w:eastAsia="宋体" w:cs="宋体"/>
                <w:bCs/>
                <w:color w:val="auto"/>
                <w:sz w:val="21"/>
                <w:szCs w:val="21"/>
                <w:highlight w:val="none"/>
                <w:lang w:val="en-US" w:eastAsia="zh-CN"/>
              </w:rPr>
              <w:t>养护</w:t>
            </w:r>
            <w:r>
              <w:rPr>
                <w:rFonts w:hint="eastAsia" w:ascii="宋体" w:hAnsi="宋体" w:eastAsia="宋体" w:cs="宋体"/>
                <w:bCs/>
                <w:color w:val="auto"/>
                <w:sz w:val="21"/>
                <w:szCs w:val="21"/>
                <w:highlight w:val="none"/>
                <w:lang w:val="zh-CN"/>
              </w:rPr>
              <w:t>方案、方法与技术措施</w:t>
            </w:r>
          </w:p>
        </w:tc>
        <w:tc>
          <w:tcPr>
            <w:tcW w:w="688" w:type="dxa"/>
            <w:vAlign w:val="center"/>
          </w:tcPr>
          <w:p w14:paraId="2E0B308F">
            <w:pPr>
              <w:keepLines w:val="0"/>
              <w:pageBreakBefore w:val="0"/>
              <w:kinsoku/>
              <w:wordWrap/>
              <w:overflowPunct/>
              <w:topLinePunct w:val="0"/>
              <w:bidi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15分</w:t>
            </w:r>
          </w:p>
        </w:tc>
        <w:tc>
          <w:tcPr>
            <w:tcW w:w="3819" w:type="dxa"/>
            <w:vAlign w:val="center"/>
          </w:tcPr>
          <w:p w14:paraId="436A67DD">
            <w:pPr>
              <w:keepLines w:val="0"/>
              <w:pageBreakBefore w:val="0"/>
              <w:widowControl/>
              <w:kinsoku/>
              <w:wordWrap/>
              <w:overflowPunct/>
              <w:topLinePunct w:val="0"/>
              <w:bidi w:val="0"/>
              <w:spacing w:line="360" w:lineRule="exact"/>
              <w:jc w:val="left"/>
              <w:textAlignment w:val="auto"/>
              <w:rPr>
                <w:rFonts w:hint="eastAsia" w:ascii="宋体" w:hAnsi="宋体" w:eastAsia="宋体" w:cs="宋体"/>
                <w:kern w:val="0"/>
                <w:sz w:val="21"/>
                <w:szCs w:val="21"/>
              </w:rPr>
            </w:pPr>
            <w:r>
              <w:rPr>
                <w:rFonts w:hint="eastAsia" w:ascii="宋体" w:hAnsi="宋体" w:eastAsia="宋体" w:cs="宋体"/>
                <w:color w:val="000000"/>
                <w:sz w:val="21"/>
                <w:szCs w:val="21"/>
                <w:shd w:val="clear" w:color="auto" w:fill="FFFFFF"/>
              </w:rPr>
              <w:t>按招标文件要求编制主要工程项目的施工方案、方法与技术措施</w:t>
            </w:r>
            <w:r>
              <w:rPr>
                <w:rFonts w:hint="eastAsia" w:ascii="宋体" w:hAnsi="宋体" w:eastAsia="宋体" w:cs="宋体"/>
                <w:kern w:val="0"/>
                <w:sz w:val="21"/>
                <w:szCs w:val="21"/>
              </w:rPr>
              <w:t>得9.0分，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酌情加分，最高加6.0分。</w:t>
            </w:r>
          </w:p>
        </w:tc>
      </w:tr>
      <w:tr w14:paraId="051C7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29" w:type="dxa"/>
            <w:vMerge w:val="continue"/>
            <w:vAlign w:val="center"/>
          </w:tcPr>
          <w:p w14:paraId="38E5F957">
            <w:pPr>
              <w:keepLines w:val="0"/>
              <w:pageBreakBefore w:val="0"/>
              <w:kinsoku/>
              <w:wordWrap/>
              <w:overflowPunct/>
              <w:topLinePunct w:val="0"/>
              <w:bidi w:val="0"/>
              <w:adjustRightInd w:val="0"/>
              <w:snapToGrid w:val="0"/>
              <w:spacing w:line="360" w:lineRule="exact"/>
              <w:jc w:val="right"/>
              <w:textAlignment w:val="auto"/>
              <w:rPr>
                <w:rFonts w:hint="eastAsia" w:ascii="宋体" w:hAnsi="宋体" w:eastAsia="宋体" w:cs="宋体"/>
                <w:sz w:val="21"/>
                <w:szCs w:val="21"/>
              </w:rPr>
            </w:pPr>
          </w:p>
        </w:tc>
        <w:tc>
          <w:tcPr>
            <w:tcW w:w="995" w:type="dxa"/>
            <w:vMerge w:val="continue"/>
            <w:vAlign w:val="center"/>
          </w:tcPr>
          <w:p w14:paraId="53DC5881">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vAlign w:val="center"/>
          </w:tcPr>
          <w:p w14:paraId="05EC5195">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Align w:val="center"/>
          </w:tcPr>
          <w:p w14:paraId="45448EBD">
            <w:pPr>
              <w:keepLines w:val="0"/>
              <w:pageBreakBefore w:val="0"/>
              <w:kinsoku/>
              <w:wordWrap/>
              <w:overflowPunct/>
              <w:topLinePunct w:val="0"/>
              <w:bidi w:val="0"/>
              <w:adjustRightInd w:val="0"/>
              <w:snapToGrid w:val="0"/>
              <w:spacing w:line="360" w:lineRule="exact"/>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lang w:val="en-US" w:eastAsia="zh-CN"/>
              </w:rPr>
              <w:t>工期</w:t>
            </w:r>
            <w:r>
              <w:rPr>
                <w:rFonts w:hint="eastAsia" w:ascii="宋体" w:hAnsi="宋体" w:eastAsia="宋体" w:cs="宋体"/>
                <w:bCs/>
                <w:color w:val="auto"/>
                <w:sz w:val="21"/>
                <w:szCs w:val="21"/>
                <w:highlight w:val="none"/>
                <w:lang w:val="zh-CN"/>
              </w:rPr>
              <w:t>、质量、安全生产、文明施工等保证体系及措施</w:t>
            </w:r>
          </w:p>
        </w:tc>
        <w:tc>
          <w:tcPr>
            <w:tcW w:w="688" w:type="dxa"/>
            <w:vAlign w:val="center"/>
          </w:tcPr>
          <w:p w14:paraId="766ED258">
            <w:pPr>
              <w:keepLines w:val="0"/>
              <w:pageBreakBefore w:val="0"/>
              <w:kinsoku/>
              <w:wordWrap/>
              <w:overflowPunct/>
              <w:topLinePunct w:val="0"/>
              <w:bidi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10分</w:t>
            </w:r>
          </w:p>
        </w:tc>
        <w:tc>
          <w:tcPr>
            <w:tcW w:w="3819" w:type="dxa"/>
            <w:vAlign w:val="center"/>
          </w:tcPr>
          <w:p w14:paraId="1C3BCDA1">
            <w:pPr>
              <w:keepLines w:val="0"/>
              <w:pageBreakBefore w:val="0"/>
              <w:widowControl/>
              <w:kinsoku/>
              <w:wordWrap/>
              <w:overflowPunct/>
              <w:topLinePunct w:val="0"/>
              <w:bidi w:val="0"/>
              <w:spacing w:line="360" w:lineRule="exact"/>
              <w:jc w:val="left"/>
              <w:textAlignment w:val="auto"/>
              <w:rPr>
                <w:rFonts w:hint="eastAsia" w:ascii="宋体" w:hAnsi="宋体" w:eastAsia="宋体" w:cs="宋体"/>
                <w:kern w:val="0"/>
                <w:sz w:val="21"/>
                <w:szCs w:val="21"/>
              </w:rPr>
            </w:pPr>
            <w:r>
              <w:rPr>
                <w:rFonts w:hint="eastAsia" w:ascii="宋体" w:hAnsi="宋体" w:eastAsia="宋体" w:cs="宋体"/>
                <w:color w:val="000000"/>
                <w:sz w:val="21"/>
                <w:szCs w:val="21"/>
                <w:shd w:val="clear" w:color="auto" w:fill="FFFFFF"/>
              </w:rPr>
              <w:t>按招标文件要求编制工期、质量、安全生产、文明施工等保证体系及措施</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4DB42D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029" w:type="dxa"/>
            <w:vMerge w:val="continue"/>
            <w:vAlign w:val="center"/>
          </w:tcPr>
          <w:p w14:paraId="74F297BE">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vAlign w:val="center"/>
          </w:tcPr>
          <w:p w14:paraId="19B12FBA">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vAlign w:val="center"/>
          </w:tcPr>
          <w:p w14:paraId="493199A5">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Align w:val="center"/>
          </w:tcPr>
          <w:p w14:paraId="24D7199D">
            <w:pPr>
              <w:keepLines w:val="0"/>
              <w:pageBreakBefore w:val="0"/>
              <w:kinsoku/>
              <w:wordWrap/>
              <w:overflowPunct/>
              <w:topLinePunct w:val="0"/>
              <w:bidi w:val="0"/>
              <w:adjustRightInd w:val="0"/>
              <w:snapToGrid w:val="0"/>
              <w:spacing w:line="360" w:lineRule="exact"/>
              <w:textAlignment w:val="auto"/>
              <w:rPr>
                <w:rFonts w:hint="eastAsia" w:ascii="宋体" w:hAnsi="宋体" w:eastAsia="宋体" w:cs="宋体"/>
                <w:sz w:val="21"/>
                <w:szCs w:val="21"/>
              </w:rPr>
            </w:pPr>
            <w:r>
              <w:rPr>
                <w:rFonts w:hint="eastAsia" w:ascii="宋体" w:hAnsi="宋体" w:eastAsia="宋体" w:cs="宋体"/>
                <w:bCs/>
                <w:color w:val="auto"/>
                <w:sz w:val="21"/>
                <w:szCs w:val="21"/>
                <w:highlight w:val="none"/>
                <w:lang w:val="zh-CN"/>
              </w:rPr>
              <w:t>项目风险预测与防范，事故应急预案</w:t>
            </w:r>
          </w:p>
        </w:tc>
        <w:tc>
          <w:tcPr>
            <w:tcW w:w="688" w:type="dxa"/>
            <w:vAlign w:val="center"/>
          </w:tcPr>
          <w:p w14:paraId="4D3FD92C">
            <w:pPr>
              <w:keepLines w:val="0"/>
              <w:pageBreakBefore w:val="0"/>
              <w:kinsoku/>
              <w:wordWrap/>
              <w:overflowPunct/>
              <w:topLinePunct w:val="0"/>
              <w:bidi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5分</w:t>
            </w:r>
          </w:p>
        </w:tc>
        <w:tc>
          <w:tcPr>
            <w:tcW w:w="3819" w:type="dxa"/>
          </w:tcPr>
          <w:p w14:paraId="1B21B499">
            <w:pPr>
              <w:keepLines w:val="0"/>
              <w:pageBreakBefore w:val="0"/>
              <w:kinsoku/>
              <w:wordWrap/>
              <w:overflowPunct/>
              <w:topLinePunct w:val="0"/>
              <w:bidi w:val="0"/>
              <w:spacing w:line="360" w:lineRule="exact"/>
              <w:jc w:val="left"/>
              <w:textAlignment w:val="auto"/>
              <w:rPr>
                <w:rFonts w:hint="eastAsia" w:ascii="宋体" w:hAnsi="宋体" w:eastAsia="宋体" w:cs="宋体"/>
                <w:sz w:val="21"/>
                <w:szCs w:val="21"/>
              </w:rPr>
            </w:pPr>
            <w:r>
              <w:rPr>
                <w:rFonts w:hint="eastAsia" w:ascii="宋体" w:hAnsi="宋体" w:eastAsia="宋体" w:cs="宋体"/>
                <w:color w:val="000000"/>
                <w:sz w:val="21"/>
                <w:szCs w:val="21"/>
                <w:shd w:val="clear" w:color="auto" w:fill="FFFFFF"/>
              </w:rPr>
              <w:t>按招标文件要求编制事故应急预案</w:t>
            </w:r>
            <w:r>
              <w:rPr>
                <w:rFonts w:hint="eastAsia" w:ascii="宋体" w:hAnsi="宋体" w:eastAsia="宋体" w:cs="宋体"/>
                <w:kern w:val="0"/>
                <w:sz w:val="21"/>
                <w:szCs w:val="21"/>
              </w:rPr>
              <w:t>得3.0分，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酌情加分，最高加2.0分。</w:t>
            </w:r>
          </w:p>
        </w:tc>
      </w:tr>
      <w:tr w14:paraId="128B0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029" w:type="dxa"/>
            <w:vMerge w:val="restart"/>
            <w:vAlign w:val="center"/>
          </w:tcPr>
          <w:p w14:paraId="58DBCDF9">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2.2.2（2）</w:t>
            </w:r>
          </w:p>
        </w:tc>
        <w:tc>
          <w:tcPr>
            <w:tcW w:w="995" w:type="dxa"/>
            <w:vMerge w:val="restart"/>
            <w:vAlign w:val="center"/>
          </w:tcPr>
          <w:p w14:paraId="6F6FB946">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主要</w:t>
            </w:r>
          </w:p>
          <w:p w14:paraId="5A15E3B9">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人员</w:t>
            </w:r>
          </w:p>
        </w:tc>
        <w:tc>
          <w:tcPr>
            <w:tcW w:w="942" w:type="dxa"/>
            <w:vMerge w:val="restart"/>
            <w:vAlign w:val="center"/>
          </w:tcPr>
          <w:p w14:paraId="53FFB0D9">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25分</w:t>
            </w:r>
          </w:p>
        </w:tc>
        <w:tc>
          <w:tcPr>
            <w:tcW w:w="2035" w:type="dxa"/>
            <w:vAlign w:val="center"/>
          </w:tcPr>
          <w:p w14:paraId="539A5DA0">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项目经理</w:t>
            </w:r>
          </w:p>
          <w:p w14:paraId="1A4F01E8">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任职资格与业绩</w:t>
            </w:r>
          </w:p>
        </w:tc>
        <w:tc>
          <w:tcPr>
            <w:tcW w:w="688" w:type="dxa"/>
            <w:vAlign w:val="center"/>
          </w:tcPr>
          <w:p w14:paraId="2C13CDCA">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15分</w:t>
            </w:r>
          </w:p>
        </w:tc>
        <w:tc>
          <w:tcPr>
            <w:tcW w:w="3819" w:type="dxa"/>
            <w:vAlign w:val="center"/>
          </w:tcPr>
          <w:p w14:paraId="0076AB21">
            <w:pPr>
              <w:keepLines w:val="0"/>
              <w:pageBreakBefore w:val="0"/>
              <w:kinsoku/>
              <w:wordWrap/>
              <w:overflowPunct/>
              <w:topLinePunct w:val="0"/>
              <w:bidi w:val="0"/>
              <w:adjustRightInd w:val="0"/>
              <w:snapToGrid w:val="0"/>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满足最低资格审查条件要求，得9分。</w:t>
            </w:r>
          </w:p>
          <w:p w14:paraId="16DE3AC1">
            <w:pPr>
              <w:keepLines w:val="0"/>
              <w:pageBreakBefore w:val="0"/>
              <w:kinsoku/>
              <w:wordWrap/>
              <w:overflowPunct/>
              <w:topLinePunct w:val="0"/>
              <w:bidi w:val="0"/>
              <w:adjustRightInd w:val="0"/>
              <w:snapToGrid w:val="0"/>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在满足最低要求的基础上，每提供</w:t>
            </w:r>
            <w:r>
              <w:rPr>
                <w:rFonts w:hint="eastAsia" w:ascii="宋体" w:hAnsi="宋体" w:eastAsia="宋体" w:cs="宋体"/>
                <w:color w:val="000000"/>
                <w:sz w:val="21"/>
                <w:szCs w:val="21"/>
                <w:shd w:val="clear" w:color="auto" w:fill="FFFFFF"/>
              </w:rPr>
              <w:t>1项二级（含）以上公路</w:t>
            </w:r>
            <w:r>
              <w:rPr>
                <w:rFonts w:hint="eastAsia" w:ascii="宋体" w:hAnsi="宋体" w:eastAsia="宋体" w:cs="宋体"/>
                <w:sz w:val="21"/>
                <w:szCs w:val="21"/>
              </w:rPr>
              <w:t>日常养护的项目经理业绩加6分，最多加6分。</w:t>
            </w:r>
          </w:p>
        </w:tc>
      </w:tr>
      <w:tr w14:paraId="3C705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029" w:type="dxa"/>
            <w:vMerge w:val="continue"/>
            <w:vAlign w:val="center"/>
          </w:tcPr>
          <w:p w14:paraId="1C289404">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vAlign w:val="center"/>
          </w:tcPr>
          <w:p w14:paraId="409F4149">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vAlign w:val="center"/>
          </w:tcPr>
          <w:p w14:paraId="6BA6D7A5">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Align w:val="center"/>
          </w:tcPr>
          <w:p w14:paraId="54ECA1FF">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项目总工</w:t>
            </w:r>
          </w:p>
          <w:p w14:paraId="4CDF65D4">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任职资格与业绩</w:t>
            </w:r>
          </w:p>
        </w:tc>
        <w:tc>
          <w:tcPr>
            <w:tcW w:w="688" w:type="dxa"/>
            <w:vAlign w:val="center"/>
          </w:tcPr>
          <w:p w14:paraId="480E0924">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10分</w:t>
            </w:r>
          </w:p>
        </w:tc>
        <w:tc>
          <w:tcPr>
            <w:tcW w:w="3819" w:type="dxa"/>
            <w:vAlign w:val="center"/>
          </w:tcPr>
          <w:p w14:paraId="010AC870">
            <w:pPr>
              <w:keepLines w:val="0"/>
              <w:pageBreakBefore w:val="0"/>
              <w:kinsoku/>
              <w:wordWrap/>
              <w:overflowPunct/>
              <w:topLinePunct w:val="0"/>
              <w:bidi w:val="0"/>
              <w:adjustRightInd w:val="0"/>
              <w:snapToGrid w:val="0"/>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满足最低资格审查条件要求，得6分。</w:t>
            </w:r>
          </w:p>
          <w:p w14:paraId="76EE2AD0">
            <w:pPr>
              <w:keepLines w:val="0"/>
              <w:pageBreakBefore w:val="0"/>
              <w:kinsoku/>
              <w:wordWrap/>
              <w:overflowPunct/>
              <w:topLinePunct w:val="0"/>
              <w:bidi w:val="0"/>
              <w:adjustRightInd w:val="0"/>
              <w:snapToGrid w:val="0"/>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在满足最低要求的基础上，每提供</w:t>
            </w:r>
            <w:r>
              <w:rPr>
                <w:rFonts w:hint="eastAsia" w:ascii="宋体" w:hAnsi="宋体" w:eastAsia="宋体" w:cs="宋体"/>
                <w:color w:val="000000"/>
                <w:sz w:val="21"/>
                <w:szCs w:val="21"/>
                <w:shd w:val="clear" w:color="auto" w:fill="FFFFFF"/>
              </w:rPr>
              <w:t>1项二级（含）以上公路</w:t>
            </w:r>
            <w:r>
              <w:rPr>
                <w:rFonts w:hint="eastAsia" w:ascii="宋体" w:hAnsi="宋体" w:eastAsia="宋体" w:cs="宋体"/>
                <w:sz w:val="21"/>
                <w:szCs w:val="21"/>
              </w:rPr>
              <w:t>日常养护的项目总工业绩加4分，最多加4分。</w:t>
            </w:r>
          </w:p>
        </w:tc>
      </w:tr>
      <w:tr w14:paraId="0B25D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029" w:type="dxa"/>
            <w:vMerge w:val="restart"/>
            <w:tcBorders>
              <w:bottom w:val="single" w:color="auto" w:sz="6" w:space="0"/>
            </w:tcBorders>
            <w:vAlign w:val="center"/>
          </w:tcPr>
          <w:p w14:paraId="267A8989">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2.2.2</w:t>
            </w: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p>
        </w:tc>
        <w:tc>
          <w:tcPr>
            <w:tcW w:w="995" w:type="dxa"/>
            <w:vMerge w:val="restart"/>
            <w:tcBorders>
              <w:bottom w:val="single" w:color="auto" w:sz="6" w:space="0"/>
            </w:tcBorders>
            <w:vAlign w:val="center"/>
          </w:tcPr>
          <w:p w14:paraId="1C47C6F0">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其他因素</w:t>
            </w:r>
          </w:p>
        </w:tc>
        <w:tc>
          <w:tcPr>
            <w:tcW w:w="942" w:type="dxa"/>
            <w:vMerge w:val="restart"/>
            <w:tcBorders>
              <w:bottom w:val="single" w:color="auto" w:sz="6" w:space="0"/>
            </w:tcBorders>
            <w:vAlign w:val="center"/>
          </w:tcPr>
          <w:p w14:paraId="2CB87299">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35分</w:t>
            </w:r>
          </w:p>
        </w:tc>
        <w:tc>
          <w:tcPr>
            <w:tcW w:w="2035" w:type="dxa"/>
            <w:vAlign w:val="center"/>
          </w:tcPr>
          <w:p w14:paraId="3F7B021E">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企业业绩</w:t>
            </w:r>
          </w:p>
        </w:tc>
        <w:tc>
          <w:tcPr>
            <w:tcW w:w="688" w:type="dxa"/>
            <w:vAlign w:val="center"/>
          </w:tcPr>
          <w:p w14:paraId="40BB70BE">
            <w:pPr>
              <w:keepLines w:val="0"/>
              <w:pageBreakBefore w:val="0"/>
              <w:kinsoku/>
              <w:wordWrap/>
              <w:overflowPunct/>
              <w:topLinePunct w:val="0"/>
              <w:bidi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20分</w:t>
            </w:r>
          </w:p>
        </w:tc>
        <w:tc>
          <w:tcPr>
            <w:tcW w:w="3819" w:type="dxa"/>
            <w:vAlign w:val="center"/>
          </w:tcPr>
          <w:p w14:paraId="0CF58D03">
            <w:pPr>
              <w:keepLines w:val="0"/>
              <w:pageBreakBefore w:val="0"/>
              <w:kinsoku/>
              <w:wordWrap/>
              <w:overflowPunct/>
              <w:topLinePunct w:val="0"/>
              <w:bidi w:val="0"/>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val="en-US" w:eastAsia="zh-CN"/>
              </w:rPr>
              <w:t>投标人通过初步评审得12分。</w:t>
            </w:r>
          </w:p>
          <w:p w14:paraId="70904151">
            <w:pPr>
              <w:keepLines w:val="0"/>
              <w:pageBreakBefore w:val="0"/>
              <w:kinsoku/>
              <w:wordWrap/>
              <w:overflowPunct/>
              <w:topLinePunct w:val="0"/>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rPr>
              <w:t>近</w:t>
            </w:r>
            <w:r>
              <w:rPr>
                <w:rFonts w:hint="eastAsia" w:ascii="宋体" w:hAnsi="宋体" w:eastAsia="宋体" w:cs="宋体"/>
                <w:sz w:val="21"/>
                <w:szCs w:val="21"/>
                <w:lang w:val="en-US" w:eastAsia="zh-CN"/>
              </w:rPr>
              <w:t>五</w:t>
            </w:r>
            <w:r>
              <w:rPr>
                <w:rFonts w:hint="eastAsia" w:ascii="宋体" w:hAnsi="宋体" w:eastAsia="宋体" w:cs="宋体"/>
                <w:sz w:val="21"/>
                <w:szCs w:val="21"/>
              </w:rPr>
              <w:t>年</w:t>
            </w:r>
            <w:r>
              <w:rPr>
                <w:rFonts w:hint="eastAsia" w:ascii="宋体" w:hAnsi="宋体" w:eastAsia="宋体" w:cs="宋体"/>
                <w:color w:val="000000"/>
                <w:sz w:val="21"/>
                <w:szCs w:val="21"/>
                <w:shd w:val="clear" w:color="auto" w:fill="FFFFFF"/>
              </w:rPr>
              <w:t>（指在202</w:t>
            </w:r>
            <w:r>
              <w:rPr>
                <w:rFonts w:hint="eastAsia" w:ascii="宋体" w:hAnsi="宋体" w:eastAsia="宋体" w:cs="宋体"/>
                <w:color w:val="000000"/>
                <w:sz w:val="21"/>
                <w:szCs w:val="21"/>
                <w:shd w:val="clear" w:color="auto" w:fill="FFFFFF"/>
                <w:lang w:val="en-US" w:eastAsia="zh-CN"/>
              </w:rPr>
              <w:t>1</w:t>
            </w:r>
            <w:r>
              <w:rPr>
                <w:rFonts w:hint="eastAsia" w:ascii="宋体" w:hAnsi="宋体" w:eastAsia="宋体" w:cs="宋体"/>
                <w:color w:val="000000"/>
                <w:sz w:val="21"/>
                <w:szCs w:val="21"/>
                <w:shd w:val="clear" w:color="auto" w:fill="FFFFFF"/>
              </w:rPr>
              <w:t>年1月1日后交工的项目）完成过1项二级（含）以上公路</w:t>
            </w:r>
            <w:r>
              <w:rPr>
                <w:rFonts w:hint="eastAsia" w:ascii="宋体" w:hAnsi="宋体" w:eastAsia="宋体" w:cs="宋体"/>
                <w:sz w:val="21"/>
                <w:szCs w:val="21"/>
              </w:rPr>
              <w:t>日常养护</w:t>
            </w:r>
            <w:r>
              <w:rPr>
                <w:rFonts w:hint="eastAsia" w:ascii="宋体" w:hAnsi="宋体" w:eastAsia="宋体" w:cs="宋体"/>
                <w:color w:val="000000"/>
                <w:sz w:val="21"/>
                <w:szCs w:val="21"/>
                <w:shd w:val="clear" w:color="auto" w:fill="FFFFFF"/>
                <w:lang w:val="en-US" w:eastAsia="zh-CN"/>
              </w:rPr>
              <w:t>项目加4分，最多加8分。</w:t>
            </w:r>
          </w:p>
        </w:tc>
      </w:tr>
      <w:tr w14:paraId="725E9D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0" w:hRule="atLeast"/>
          <w:jc w:val="center"/>
        </w:trPr>
        <w:tc>
          <w:tcPr>
            <w:tcW w:w="1029" w:type="dxa"/>
            <w:vMerge w:val="continue"/>
            <w:tcBorders>
              <w:top w:val="single" w:color="auto" w:sz="6" w:space="0"/>
              <w:bottom w:val="single" w:color="auto" w:sz="6" w:space="0"/>
            </w:tcBorders>
            <w:vAlign w:val="center"/>
          </w:tcPr>
          <w:p w14:paraId="746B9399">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tcBorders>
              <w:top w:val="single" w:color="auto" w:sz="6" w:space="0"/>
              <w:bottom w:val="single" w:color="auto" w:sz="6" w:space="0"/>
            </w:tcBorders>
            <w:vAlign w:val="center"/>
          </w:tcPr>
          <w:p w14:paraId="5DBCDD2C">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tcBorders>
              <w:top w:val="single" w:color="auto" w:sz="6" w:space="0"/>
              <w:bottom w:val="single" w:color="auto" w:sz="6" w:space="0"/>
            </w:tcBorders>
            <w:vAlign w:val="center"/>
          </w:tcPr>
          <w:p w14:paraId="44C6332B">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Merge w:val="restart"/>
            <w:vAlign w:val="center"/>
          </w:tcPr>
          <w:p w14:paraId="0C418C14">
            <w:pPr>
              <w:keepLines w:val="0"/>
              <w:pageBreakBefore w:val="0"/>
              <w:widowControl/>
              <w:shd w:val="clear" w:color="auto" w:fill="FFFFFF"/>
              <w:kinsoku/>
              <w:wordWrap/>
              <w:overflowPunct/>
              <w:topLinePunct w:val="0"/>
              <w:bidi w:val="0"/>
              <w:spacing w:line="360" w:lineRule="exact"/>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投标人的</w:t>
            </w:r>
          </w:p>
          <w:p w14:paraId="43434799">
            <w:pPr>
              <w:keepLines w:val="0"/>
              <w:pageBreakBefore w:val="0"/>
              <w:widowControl/>
              <w:shd w:val="clear" w:color="auto" w:fill="FFFFFF"/>
              <w:kinsoku/>
              <w:wordWrap/>
              <w:overflowPunct/>
              <w:topLinePunct w:val="0"/>
              <w:bidi w:val="0"/>
              <w:spacing w:line="360" w:lineRule="exact"/>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信用评价等级</w:t>
            </w:r>
          </w:p>
        </w:tc>
        <w:tc>
          <w:tcPr>
            <w:tcW w:w="688" w:type="dxa"/>
            <w:tcBorders>
              <w:bottom w:val="single" w:color="auto" w:sz="4" w:space="0"/>
            </w:tcBorders>
            <w:vAlign w:val="center"/>
          </w:tcPr>
          <w:p w14:paraId="66AF27FB">
            <w:pPr>
              <w:keepLines w:val="0"/>
              <w:pageBreakBefore w:val="0"/>
              <w:kinsoku/>
              <w:wordWrap/>
              <w:overflowPunct/>
              <w:topLinePunct w:val="0"/>
              <w:bidi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tc>
        <w:tc>
          <w:tcPr>
            <w:tcW w:w="3819" w:type="dxa"/>
            <w:tcBorders>
              <w:bottom w:val="single" w:color="auto" w:sz="4" w:space="0"/>
            </w:tcBorders>
            <w:vAlign w:val="center"/>
          </w:tcPr>
          <w:p w14:paraId="58E72CEB">
            <w:pPr>
              <w:keepLines w:val="0"/>
              <w:pageBreakBefore w:val="0"/>
              <w:kinsoku/>
              <w:wordWrap/>
              <w:overflowPunct/>
              <w:topLinePunct w:val="0"/>
              <w:bidi w:val="0"/>
              <w:snapToGrid w:val="0"/>
              <w:spacing w:line="360" w:lineRule="exact"/>
              <w:jc w:val="left"/>
              <w:textAlignment w:val="auto"/>
              <w:rPr>
                <w:rFonts w:hint="eastAsia" w:ascii="宋体" w:hAnsi="宋体" w:eastAsia="宋体" w:cs="宋体"/>
                <w:sz w:val="21"/>
                <w:szCs w:val="21"/>
              </w:rPr>
            </w:pPr>
            <w:r>
              <w:rPr>
                <w:rFonts w:hint="eastAsia" w:ascii="宋体" w:hAnsi="宋体" w:eastAsia="宋体" w:cs="宋体"/>
                <w:color w:val="000000"/>
                <w:sz w:val="21"/>
                <w:szCs w:val="21"/>
                <w:shd w:val="clear" w:color="auto" w:fill="FFFFFF"/>
              </w:rPr>
              <w:t>信用评价AA级。</w:t>
            </w:r>
          </w:p>
        </w:tc>
      </w:tr>
      <w:tr w14:paraId="5B009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0" w:hRule="atLeast"/>
          <w:jc w:val="center"/>
        </w:trPr>
        <w:tc>
          <w:tcPr>
            <w:tcW w:w="1029" w:type="dxa"/>
            <w:vMerge w:val="continue"/>
            <w:tcBorders>
              <w:top w:val="single" w:color="auto" w:sz="6" w:space="0"/>
              <w:bottom w:val="single" w:color="auto" w:sz="6" w:space="0"/>
            </w:tcBorders>
            <w:vAlign w:val="center"/>
          </w:tcPr>
          <w:p w14:paraId="786251FD">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tcBorders>
              <w:top w:val="single" w:color="auto" w:sz="6" w:space="0"/>
              <w:bottom w:val="single" w:color="auto" w:sz="6" w:space="0"/>
            </w:tcBorders>
            <w:vAlign w:val="center"/>
          </w:tcPr>
          <w:p w14:paraId="61F91CCF">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tcBorders>
              <w:top w:val="single" w:color="auto" w:sz="6" w:space="0"/>
              <w:bottom w:val="single" w:color="auto" w:sz="6" w:space="0"/>
            </w:tcBorders>
            <w:vAlign w:val="center"/>
          </w:tcPr>
          <w:p w14:paraId="76B7B4C4">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Merge w:val="continue"/>
            <w:vAlign w:val="center"/>
          </w:tcPr>
          <w:p w14:paraId="56AED708">
            <w:pPr>
              <w:keepLines w:val="0"/>
              <w:pageBreakBefore w:val="0"/>
              <w:widowControl/>
              <w:shd w:val="clear" w:color="auto" w:fill="FFFFFF"/>
              <w:kinsoku/>
              <w:wordWrap/>
              <w:overflowPunct/>
              <w:topLinePunct w:val="0"/>
              <w:bidi w:val="0"/>
              <w:spacing w:line="360" w:lineRule="exact"/>
              <w:jc w:val="center"/>
              <w:textAlignment w:val="auto"/>
              <w:rPr>
                <w:rFonts w:hint="eastAsia" w:ascii="宋体" w:hAnsi="宋体" w:eastAsia="宋体" w:cs="宋体"/>
                <w:color w:val="000000"/>
                <w:kern w:val="0"/>
                <w:sz w:val="21"/>
                <w:szCs w:val="21"/>
              </w:rPr>
            </w:pPr>
          </w:p>
        </w:tc>
        <w:tc>
          <w:tcPr>
            <w:tcW w:w="688" w:type="dxa"/>
            <w:tcBorders>
              <w:top w:val="single" w:color="auto" w:sz="4" w:space="0"/>
            </w:tcBorders>
            <w:vAlign w:val="center"/>
          </w:tcPr>
          <w:p w14:paraId="7733B287">
            <w:pPr>
              <w:keepLines w:val="0"/>
              <w:pageBreakBefore w:val="0"/>
              <w:kinsoku/>
              <w:wordWrap/>
              <w:overflowPunct/>
              <w:topLinePunct w:val="0"/>
              <w:bidi w:val="0"/>
              <w:spacing w:line="36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12</w:t>
            </w:r>
            <w:r>
              <w:rPr>
                <w:rFonts w:hint="eastAsia" w:ascii="宋体" w:hAnsi="宋体" w:eastAsia="宋体" w:cs="宋体"/>
                <w:color w:val="000000"/>
                <w:sz w:val="21"/>
                <w:szCs w:val="21"/>
              </w:rPr>
              <w:t>分</w:t>
            </w:r>
          </w:p>
        </w:tc>
        <w:tc>
          <w:tcPr>
            <w:tcW w:w="3819" w:type="dxa"/>
            <w:tcBorders>
              <w:top w:val="single" w:color="auto" w:sz="4" w:space="0"/>
            </w:tcBorders>
            <w:vAlign w:val="center"/>
          </w:tcPr>
          <w:p w14:paraId="29792C96">
            <w:pPr>
              <w:keepLines w:val="0"/>
              <w:pageBreakBefore w:val="0"/>
              <w:kinsoku/>
              <w:wordWrap/>
              <w:overflowPunct/>
              <w:topLinePunct w:val="0"/>
              <w:bidi w:val="0"/>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信用评价A级。</w:t>
            </w:r>
          </w:p>
        </w:tc>
      </w:tr>
      <w:tr w14:paraId="0C2487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0" w:hRule="atLeast"/>
          <w:jc w:val="center"/>
        </w:trPr>
        <w:tc>
          <w:tcPr>
            <w:tcW w:w="1029" w:type="dxa"/>
            <w:vMerge w:val="continue"/>
            <w:tcBorders>
              <w:top w:val="single" w:color="auto" w:sz="6" w:space="0"/>
              <w:bottom w:val="single" w:color="auto" w:sz="6" w:space="0"/>
            </w:tcBorders>
            <w:vAlign w:val="center"/>
          </w:tcPr>
          <w:p w14:paraId="059B3AB8">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tcBorders>
              <w:top w:val="single" w:color="auto" w:sz="6" w:space="0"/>
              <w:bottom w:val="single" w:color="auto" w:sz="6" w:space="0"/>
            </w:tcBorders>
            <w:vAlign w:val="center"/>
          </w:tcPr>
          <w:p w14:paraId="665F8E85">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tcBorders>
              <w:top w:val="single" w:color="auto" w:sz="6" w:space="0"/>
              <w:bottom w:val="single" w:color="auto" w:sz="6" w:space="0"/>
            </w:tcBorders>
            <w:vAlign w:val="center"/>
          </w:tcPr>
          <w:p w14:paraId="37656DAC">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Merge w:val="continue"/>
            <w:vAlign w:val="center"/>
          </w:tcPr>
          <w:p w14:paraId="6A4229A4">
            <w:pPr>
              <w:keepLines w:val="0"/>
              <w:pageBreakBefore w:val="0"/>
              <w:widowControl/>
              <w:shd w:val="clear" w:color="auto" w:fill="FFFFFF"/>
              <w:kinsoku/>
              <w:wordWrap/>
              <w:overflowPunct/>
              <w:topLinePunct w:val="0"/>
              <w:bidi w:val="0"/>
              <w:spacing w:line="360" w:lineRule="exact"/>
              <w:jc w:val="center"/>
              <w:textAlignment w:val="auto"/>
              <w:rPr>
                <w:rFonts w:hint="eastAsia" w:ascii="宋体" w:hAnsi="宋体" w:eastAsia="宋体" w:cs="宋体"/>
                <w:color w:val="000000"/>
                <w:kern w:val="0"/>
                <w:sz w:val="21"/>
                <w:szCs w:val="21"/>
              </w:rPr>
            </w:pPr>
          </w:p>
        </w:tc>
        <w:tc>
          <w:tcPr>
            <w:tcW w:w="688" w:type="dxa"/>
            <w:tcBorders>
              <w:top w:val="single" w:color="auto" w:sz="4" w:space="0"/>
            </w:tcBorders>
            <w:vAlign w:val="center"/>
          </w:tcPr>
          <w:p w14:paraId="59559B04">
            <w:pPr>
              <w:keepLines w:val="0"/>
              <w:pageBreakBefore w:val="0"/>
              <w:kinsoku/>
              <w:wordWrap/>
              <w:overflowPunct/>
              <w:topLinePunct w:val="0"/>
              <w:bidi w:val="0"/>
              <w:spacing w:line="36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分</w:t>
            </w:r>
          </w:p>
        </w:tc>
        <w:tc>
          <w:tcPr>
            <w:tcW w:w="3819" w:type="dxa"/>
            <w:tcBorders>
              <w:top w:val="single" w:color="auto" w:sz="4" w:space="0"/>
            </w:tcBorders>
            <w:vAlign w:val="center"/>
          </w:tcPr>
          <w:p w14:paraId="02D51A8D">
            <w:pPr>
              <w:keepLines w:val="0"/>
              <w:pageBreakBefore w:val="0"/>
              <w:kinsoku/>
              <w:wordWrap/>
              <w:overflowPunct/>
              <w:topLinePunct w:val="0"/>
              <w:bidi w:val="0"/>
              <w:spacing w:line="3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信用评价B级。</w:t>
            </w:r>
          </w:p>
        </w:tc>
      </w:tr>
      <w:tr w14:paraId="2B57F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0" w:hRule="atLeast"/>
          <w:jc w:val="center"/>
        </w:trPr>
        <w:tc>
          <w:tcPr>
            <w:tcW w:w="1029" w:type="dxa"/>
            <w:vMerge w:val="continue"/>
            <w:tcBorders>
              <w:top w:val="single" w:color="auto" w:sz="6" w:space="0"/>
              <w:bottom w:val="single" w:color="auto" w:sz="6" w:space="0"/>
            </w:tcBorders>
            <w:vAlign w:val="center"/>
          </w:tcPr>
          <w:p w14:paraId="7CE7AB95">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tcBorders>
              <w:top w:val="single" w:color="auto" w:sz="6" w:space="0"/>
              <w:bottom w:val="single" w:color="auto" w:sz="6" w:space="0"/>
            </w:tcBorders>
            <w:vAlign w:val="center"/>
          </w:tcPr>
          <w:p w14:paraId="15E85EF3">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tcBorders>
              <w:top w:val="single" w:color="auto" w:sz="6" w:space="0"/>
              <w:bottom w:val="single" w:color="auto" w:sz="6" w:space="0"/>
            </w:tcBorders>
            <w:vAlign w:val="center"/>
          </w:tcPr>
          <w:p w14:paraId="49FE0B7A">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Merge w:val="continue"/>
            <w:vAlign w:val="center"/>
          </w:tcPr>
          <w:p w14:paraId="451DC7D3">
            <w:pPr>
              <w:keepLines w:val="0"/>
              <w:pageBreakBefore w:val="0"/>
              <w:widowControl/>
              <w:shd w:val="clear" w:color="auto" w:fill="FFFFFF"/>
              <w:kinsoku/>
              <w:wordWrap/>
              <w:overflowPunct/>
              <w:topLinePunct w:val="0"/>
              <w:bidi w:val="0"/>
              <w:spacing w:line="360" w:lineRule="exact"/>
              <w:jc w:val="center"/>
              <w:textAlignment w:val="auto"/>
              <w:rPr>
                <w:rFonts w:hint="eastAsia" w:ascii="宋体" w:hAnsi="宋体" w:eastAsia="宋体" w:cs="宋体"/>
                <w:color w:val="000000"/>
                <w:kern w:val="0"/>
                <w:sz w:val="21"/>
                <w:szCs w:val="21"/>
              </w:rPr>
            </w:pPr>
          </w:p>
        </w:tc>
        <w:tc>
          <w:tcPr>
            <w:tcW w:w="688" w:type="dxa"/>
            <w:tcBorders>
              <w:top w:val="single" w:color="auto" w:sz="4" w:space="0"/>
            </w:tcBorders>
            <w:shd w:val="clear" w:color="auto" w:fill="auto"/>
            <w:vAlign w:val="center"/>
          </w:tcPr>
          <w:p w14:paraId="29F0C72B">
            <w:pPr>
              <w:keepLines w:val="0"/>
              <w:pageBreakBefore w:val="0"/>
              <w:kinsoku/>
              <w:wordWrap/>
              <w:overflowPunct/>
              <w:topLinePunct w:val="0"/>
              <w:bidi w:val="0"/>
              <w:spacing w:line="36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分</w:t>
            </w:r>
          </w:p>
        </w:tc>
        <w:tc>
          <w:tcPr>
            <w:tcW w:w="3819" w:type="dxa"/>
            <w:tcBorders>
              <w:top w:val="single" w:color="auto" w:sz="4" w:space="0"/>
            </w:tcBorders>
            <w:shd w:val="clear" w:color="auto" w:fill="auto"/>
            <w:vAlign w:val="center"/>
          </w:tcPr>
          <w:p w14:paraId="52A7F17E">
            <w:pPr>
              <w:keepLines w:val="0"/>
              <w:pageBreakBefore w:val="0"/>
              <w:kinsoku/>
              <w:wordWrap/>
              <w:overflowPunct/>
              <w:topLinePunct w:val="0"/>
              <w:bidi w:val="0"/>
              <w:spacing w:line="360" w:lineRule="exact"/>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信用评价C级。</w:t>
            </w:r>
          </w:p>
        </w:tc>
      </w:tr>
      <w:tr w14:paraId="08EE1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0" w:hRule="atLeast"/>
          <w:jc w:val="center"/>
        </w:trPr>
        <w:tc>
          <w:tcPr>
            <w:tcW w:w="1029" w:type="dxa"/>
            <w:vMerge w:val="continue"/>
            <w:tcBorders>
              <w:top w:val="single" w:color="auto" w:sz="6" w:space="0"/>
              <w:bottom w:val="single" w:color="auto" w:sz="6" w:space="0"/>
            </w:tcBorders>
            <w:vAlign w:val="center"/>
          </w:tcPr>
          <w:p w14:paraId="4E24BBFC">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tcBorders>
              <w:top w:val="single" w:color="auto" w:sz="6" w:space="0"/>
              <w:bottom w:val="single" w:color="auto" w:sz="6" w:space="0"/>
            </w:tcBorders>
            <w:vAlign w:val="center"/>
          </w:tcPr>
          <w:p w14:paraId="7FEA6F9F">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tcBorders>
              <w:top w:val="single" w:color="auto" w:sz="6" w:space="0"/>
              <w:bottom w:val="single" w:color="auto" w:sz="6" w:space="0"/>
            </w:tcBorders>
            <w:vAlign w:val="center"/>
          </w:tcPr>
          <w:p w14:paraId="6EC81402">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2035" w:type="dxa"/>
            <w:vMerge w:val="continue"/>
            <w:vAlign w:val="center"/>
          </w:tcPr>
          <w:p w14:paraId="73FC6899">
            <w:pPr>
              <w:keepLines w:val="0"/>
              <w:pageBreakBefore w:val="0"/>
              <w:widowControl/>
              <w:shd w:val="clear" w:color="auto" w:fill="FFFFFF"/>
              <w:kinsoku/>
              <w:wordWrap/>
              <w:overflowPunct/>
              <w:topLinePunct w:val="0"/>
              <w:bidi w:val="0"/>
              <w:spacing w:line="360" w:lineRule="exact"/>
              <w:jc w:val="center"/>
              <w:textAlignment w:val="auto"/>
              <w:rPr>
                <w:rFonts w:hint="eastAsia" w:ascii="宋体" w:hAnsi="宋体" w:eastAsia="宋体" w:cs="宋体"/>
                <w:color w:val="000000"/>
                <w:kern w:val="0"/>
                <w:sz w:val="21"/>
                <w:szCs w:val="21"/>
              </w:rPr>
            </w:pPr>
          </w:p>
        </w:tc>
        <w:tc>
          <w:tcPr>
            <w:tcW w:w="688" w:type="dxa"/>
            <w:tcBorders>
              <w:top w:val="single" w:color="auto" w:sz="4" w:space="0"/>
            </w:tcBorders>
            <w:vAlign w:val="center"/>
          </w:tcPr>
          <w:p w14:paraId="7C21A33B">
            <w:pPr>
              <w:keepLines w:val="0"/>
              <w:pageBreakBefore w:val="0"/>
              <w:kinsoku/>
              <w:wordWrap/>
              <w:overflowPunct/>
              <w:topLinePunct w:val="0"/>
              <w:bidi w:val="0"/>
              <w:spacing w:line="360" w:lineRule="exact"/>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0分</w:t>
            </w:r>
          </w:p>
        </w:tc>
        <w:tc>
          <w:tcPr>
            <w:tcW w:w="3819" w:type="dxa"/>
            <w:tcBorders>
              <w:top w:val="single" w:color="auto" w:sz="4" w:space="0"/>
            </w:tcBorders>
            <w:vAlign w:val="center"/>
          </w:tcPr>
          <w:p w14:paraId="2AF6FA3C">
            <w:pPr>
              <w:keepLines w:val="0"/>
              <w:pageBreakBefore w:val="0"/>
              <w:kinsoku/>
              <w:wordWrap/>
              <w:overflowPunct/>
              <w:topLinePunct w:val="0"/>
              <w:bidi w:val="0"/>
              <w:spacing w:line="360" w:lineRule="exac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信用评价</w:t>
            </w:r>
            <w:r>
              <w:rPr>
                <w:rFonts w:hint="eastAsia" w:ascii="宋体" w:hAnsi="宋体" w:eastAsia="宋体" w:cs="宋体"/>
                <w:color w:val="000000"/>
                <w:sz w:val="21"/>
                <w:szCs w:val="21"/>
                <w:lang w:val="en-US" w:eastAsia="zh-CN"/>
              </w:rPr>
              <w:t>D</w:t>
            </w:r>
            <w:r>
              <w:rPr>
                <w:rFonts w:hint="eastAsia" w:ascii="宋体" w:hAnsi="宋体" w:eastAsia="宋体" w:cs="宋体"/>
                <w:color w:val="000000"/>
                <w:sz w:val="21"/>
                <w:szCs w:val="21"/>
              </w:rPr>
              <w:t>级</w:t>
            </w:r>
            <w:r>
              <w:rPr>
                <w:rFonts w:hint="eastAsia" w:ascii="宋体" w:hAnsi="宋体" w:eastAsia="宋体" w:cs="宋体"/>
                <w:color w:val="000000"/>
                <w:sz w:val="21"/>
                <w:szCs w:val="21"/>
                <w:lang w:eastAsia="zh-CN"/>
              </w:rPr>
              <w:t>。</w:t>
            </w:r>
          </w:p>
        </w:tc>
      </w:tr>
      <w:tr w14:paraId="60437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9" w:hRule="atLeast"/>
          <w:jc w:val="center"/>
        </w:trPr>
        <w:tc>
          <w:tcPr>
            <w:tcW w:w="1029" w:type="dxa"/>
            <w:vMerge w:val="continue"/>
            <w:tcBorders>
              <w:top w:val="single" w:color="auto" w:sz="6" w:space="0"/>
              <w:bottom w:val="single" w:color="auto" w:sz="6" w:space="0"/>
            </w:tcBorders>
            <w:vAlign w:val="center"/>
          </w:tcPr>
          <w:p w14:paraId="2D18AFED">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95" w:type="dxa"/>
            <w:vMerge w:val="continue"/>
            <w:tcBorders>
              <w:top w:val="single" w:color="auto" w:sz="6" w:space="0"/>
              <w:bottom w:val="single" w:color="auto" w:sz="6" w:space="0"/>
            </w:tcBorders>
            <w:vAlign w:val="center"/>
          </w:tcPr>
          <w:p w14:paraId="06C168E5">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942" w:type="dxa"/>
            <w:vMerge w:val="continue"/>
            <w:tcBorders>
              <w:top w:val="single" w:color="auto" w:sz="6" w:space="0"/>
              <w:bottom w:val="single" w:color="auto" w:sz="6" w:space="0"/>
            </w:tcBorders>
            <w:vAlign w:val="center"/>
          </w:tcPr>
          <w:p w14:paraId="73352D22">
            <w:pPr>
              <w:keepLines w:val="0"/>
              <w:pageBreakBefore w:val="0"/>
              <w:kinsoku/>
              <w:wordWrap/>
              <w:overflowPunct/>
              <w:topLinePunct w:val="0"/>
              <w:bidi w:val="0"/>
              <w:adjustRightInd w:val="0"/>
              <w:snapToGrid w:val="0"/>
              <w:spacing w:line="360" w:lineRule="exact"/>
              <w:jc w:val="center"/>
              <w:textAlignment w:val="auto"/>
              <w:rPr>
                <w:rFonts w:hint="eastAsia" w:ascii="宋体" w:hAnsi="宋体" w:eastAsia="宋体" w:cs="宋体"/>
                <w:sz w:val="21"/>
                <w:szCs w:val="21"/>
              </w:rPr>
            </w:pPr>
          </w:p>
        </w:tc>
        <w:tc>
          <w:tcPr>
            <w:tcW w:w="6542" w:type="dxa"/>
            <w:gridSpan w:val="3"/>
            <w:tcBorders>
              <w:top w:val="single" w:color="auto" w:sz="4" w:space="0"/>
              <w:bottom w:val="single" w:color="auto" w:sz="4" w:space="0"/>
            </w:tcBorders>
            <w:vAlign w:val="center"/>
          </w:tcPr>
          <w:p w14:paraId="0710E7D7">
            <w:pPr>
              <w:keepLines w:val="0"/>
              <w:pageBreakBefore w:val="0"/>
              <w:widowControl/>
              <w:shd w:val="clear" w:color="auto" w:fill="FFFFFF"/>
              <w:kinsoku/>
              <w:wordWrap/>
              <w:overflowPunct/>
              <w:topLinePunct w:val="0"/>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注：信用评价等级优先采用以下所列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在前的企业信用等级：</w:t>
            </w:r>
          </w:p>
          <w:p w14:paraId="53C929C4">
            <w:pPr>
              <w:keepLines w:val="0"/>
              <w:pageBreakBefore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1.采用《吉林省公路管理局202</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年度普通干线公路</w:t>
            </w:r>
            <w:r>
              <w:rPr>
                <w:rFonts w:hint="eastAsia" w:ascii="宋体" w:hAnsi="宋体" w:eastAsia="宋体" w:cs="宋体"/>
                <w:color w:val="000000"/>
                <w:kern w:val="0"/>
                <w:sz w:val="21"/>
                <w:szCs w:val="21"/>
                <w:lang w:val="en-US" w:eastAsia="zh-CN"/>
              </w:rPr>
              <w:t>日常养护</w:t>
            </w:r>
            <w:r>
              <w:rPr>
                <w:rFonts w:hint="eastAsia" w:ascii="宋体" w:hAnsi="宋体" w:eastAsia="宋体" w:cs="宋体"/>
                <w:color w:val="000000"/>
                <w:kern w:val="0"/>
                <w:sz w:val="21"/>
                <w:szCs w:val="21"/>
              </w:rPr>
              <w:t>企业信用评价公告》中的投标人信用评价等级。</w:t>
            </w:r>
          </w:p>
          <w:p w14:paraId="7E6019EE">
            <w:pPr>
              <w:keepLines w:val="0"/>
              <w:pageBreakBefore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.采用《吉林省公路管理局202</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年度普通干线公路</w:t>
            </w:r>
            <w:r>
              <w:rPr>
                <w:rFonts w:hint="eastAsia" w:ascii="宋体" w:hAnsi="宋体" w:eastAsia="宋体" w:cs="宋体"/>
                <w:color w:val="000000"/>
                <w:kern w:val="0"/>
                <w:sz w:val="21"/>
                <w:szCs w:val="21"/>
                <w:lang w:val="en-US" w:eastAsia="zh-CN"/>
              </w:rPr>
              <w:t>养护工程</w:t>
            </w:r>
            <w:r>
              <w:rPr>
                <w:rFonts w:hint="eastAsia" w:ascii="宋体" w:hAnsi="宋体" w:eastAsia="宋体" w:cs="宋体"/>
                <w:color w:val="000000"/>
                <w:kern w:val="0"/>
                <w:sz w:val="21"/>
                <w:szCs w:val="21"/>
              </w:rPr>
              <w:t>企业信用评价公告》中的投标人信用评价等级。</w:t>
            </w:r>
          </w:p>
          <w:p w14:paraId="47C6A445">
            <w:pPr>
              <w:keepLines w:val="0"/>
              <w:pageBreakBefore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3.采用</w:t>
            </w:r>
            <w:r>
              <w:rPr>
                <w:rFonts w:hint="eastAsia" w:ascii="宋体" w:hAnsi="宋体" w:eastAsia="宋体" w:cs="宋体"/>
                <w:color w:val="000000"/>
                <w:kern w:val="0"/>
                <w:sz w:val="21"/>
                <w:szCs w:val="21"/>
              </w:rPr>
              <w:t>交通运输部“全国公路建设市场监督管理系统</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全国公路从业单位信用评价结果”中投标人的202</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年度</w:t>
            </w:r>
            <w:r>
              <w:rPr>
                <w:rFonts w:hint="eastAsia" w:ascii="宋体" w:hAnsi="宋体" w:eastAsia="宋体" w:cs="宋体"/>
                <w:color w:val="000000"/>
                <w:kern w:val="0"/>
                <w:sz w:val="21"/>
                <w:szCs w:val="21"/>
                <w:lang w:val="en-US" w:eastAsia="zh-CN"/>
              </w:rPr>
              <w:t>施工</w:t>
            </w:r>
            <w:r>
              <w:rPr>
                <w:rFonts w:hint="eastAsia" w:ascii="宋体" w:hAnsi="宋体" w:eastAsia="宋体" w:cs="宋体"/>
                <w:color w:val="000000"/>
                <w:kern w:val="0"/>
                <w:sz w:val="21"/>
                <w:szCs w:val="21"/>
              </w:rPr>
              <w:t>企业信用评价等级</w:t>
            </w:r>
            <w:r>
              <w:rPr>
                <w:rFonts w:hint="eastAsia" w:ascii="宋体" w:hAnsi="宋体" w:eastAsia="宋体" w:cs="宋体"/>
                <w:color w:val="000000"/>
                <w:kern w:val="0"/>
                <w:sz w:val="21"/>
                <w:szCs w:val="21"/>
                <w:lang w:eastAsia="zh-CN"/>
              </w:rPr>
              <w:t>。</w:t>
            </w:r>
          </w:p>
          <w:p w14:paraId="3D469C61">
            <w:pPr>
              <w:keepLines w:val="0"/>
              <w:pageBreakBefore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.企业无上述信用评价的，若未列入交通运输部“全国公路建设市场监督管理系统”中“不良信用记录”的，按A级对待，否则</w:t>
            </w:r>
            <w:r>
              <w:rPr>
                <w:rFonts w:hint="eastAsia" w:ascii="宋体" w:hAnsi="宋体" w:eastAsia="宋体" w:cs="宋体"/>
                <w:color w:val="auto"/>
                <w:sz w:val="21"/>
                <w:szCs w:val="21"/>
                <w:highlight w:val="none"/>
                <w:lang w:val="en-US" w:eastAsia="zh-CN"/>
              </w:rPr>
              <w:t>视其严重程度</w:t>
            </w:r>
            <w:r>
              <w:rPr>
                <w:rFonts w:hint="eastAsia" w:ascii="宋体" w:hAnsi="宋体" w:eastAsia="宋体" w:cs="宋体"/>
                <w:color w:val="auto"/>
                <w:sz w:val="21"/>
                <w:szCs w:val="21"/>
                <w:highlight w:val="none"/>
              </w:rPr>
              <w:t>按B级或以下等级对待。</w:t>
            </w:r>
          </w:p>
        </w:tc>
      </w:tr>
      <w:tr w14:paraId="73BC2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9" w:hRule="atLeast"/>
          <w:jc w:val="center"/>
        </w:trPr>
        <w:tc>
          <w:tcPr>
            <w:tcW w:w="9508" w:type="dxa"/>
            <w:gridSpan w:val="6"/>
            <w:vAlign w:val="center"/>
          </w:tcPr>
          <w:p w14:paraId="0F6B5E43">
            <w:pPr>
              <w:keepLines w:val="0"/>
              <w:pageBreakBefore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需要补充的其他内容：</w:t>
            </w:r>
          </w:p>
          <w:p w14:paraId="2AF6BADF">
            <w:pPr>
              <w:keepLines w:val="0"/>
              <w:pageBreakBefore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sz w:val="21"/>
                <w:szCs w:val="21"/>
              </w:rPr>
              <w:t>各评分因素（评标价和履约信誉评分项除外）得分均不应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w:t>
            </w:r>
          </w:p>
          <w:p w14:paraId="7E2DBBF4">
            <w:pPr>
              <w:keepLines w:val="0"/>
              <w:pageBreakBefore w:val="0"/>
              <w:widowControl/>
              <w:shd w:val="clear" w:color="auto" w:fill="FFFFFF"/>
              <w:kinsoku/>
              <w:wordWrap/>
              <w:overflowPunct/>
              <w:topLinePunct w:val="0"/>
              <w:bidi w:val="0"/>
              <w:spacing w:line="360" w:lineRule="exact"/>
              <w:ind w:firstLine="422"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（2）投标文件的养护组织方案部分采用“暗标”形式，如果养护组织方案出现能识别投标人的内容，经评标</w:t>
            </w:r>
            <w:r>
              <w:rPr>
                <w:rFonts w:hint="eastAsia" w:ascii="宋体" w:hAnsi="宋体" w:eastAsia="宋体" w:cs="宋体"/>
                <w:b/>
                <w:bCs/>
                <w:color w:val="auto"/>
                <w:sz w:val="21"/>
                <w:szCs w:val="21"/>
                <w:highlight w:val="none"/>
              </w:rPr>
              <w:t>委员会确定后，</w:t>
            </w:r>
            <w:r>
              <w:rPr>
                <w:rFonts w:hint="eastAsia" w:ascii="宋体" w:hAnsi="宋体" w:eastAsia="宋体" w:cs="宋体"/>
                <w:b/>
                <w:bCs/>
                <w:color w:val="auto"/>
                <w:sz w:val="21"/>
                <w:szCs w:val="21"/>
                <w:highlight w:val="none"/>
                <w:lang w:val="en-US" w:eastAsia="zh-CN"/>
              </w:rPr>
              <w:t>将</w:t>
            </w:r>
            <w:r>
              <w:rPr>
                <w:rFonts w:hint="eastAsia" w:ascii="宋体" w:hAnsi="宋体" w:eastAsia="宋体" w:cs="宋体"/>
                <w:b/>
                <w:bCs/>
                <w:color w:val="auto"/>
                <w:sz w:val="21"/>
                <w:szCs w:val="21"/>
                <w:highlight w:val="none"/>
              </w:rPr>
              <w:t>否决其投标。</w:t>
            </w:r>
          </w:p>
        </w:tc>
      </w:tr>
    </w:tbl>
    <w:p w14:paraId="476B14CA">
      <w:pPr>
        <w:keepLines w:val="0"/>
        <w:pageBreakBefore w:val="0"/>
        <w:kinsoku/>
        <w:wordWrap/>
        <w:overflowPunct/>
        <w:topLinePunct w:val="0"/>
        <w:bidi w:val="0"/>
        <w:spacing w:line="360" w:lineRule="exact"/>
        <w:textAlignment w:val="auto"/>
        <w:rPr>
          <w:rFonts w:hint="eastAsia" w:ascii="宋体" w:hAnsi="宋体" w:eastAsia="宋体" w:cs="宋体"/>
          <w:b/>
          <w:bCs/>
          <w:sz w:val="21"/>
          <w:szCs w:val="21"/>
        </w:rPr>
      </w:pPr>
    </w:p>
    <w:p w14:paraId="4360F9F3">
      <w:pPr>
        <w:keepLines w:val="0"/>
        <w:pageBreakBefore w:val="0"/>
        <w:kinsoku/>
        <w:wordWrap/>
        <w:overflowPunct/>
        <w:topLinePunct w:val="0"/>
        <w:bidi w:val="0"/>
        <w:spacing w:line="360" w:lineRule="exact"/>
        <w:ind w:right="420"/>
        <w:jc w:val="left"/>
        <w:textAlignment w:val="auto"/>
        <w:rPr>
          <w:rFonts w:hint="eastAsia" w:ascii="宋体" w:hAnsi="宋体" w:eastAsia="宋体" w:cs="宋体"/>
          <w:b/>
          <w:sz w:val="21"/>
          <w:szCs w:val="21"/>
        </w:rPr>
      </w:pPr>
      <w:r>
        <w:rPr>
          <w:rFonts w:hint="eastAsia" w:ascii="宋体" w:hAnsi="宋体" w:eastAsia="宋体" w:cs="宋体"/>
          <w:b/>
          <w:sz w:val="21"/>
          <w:szCs w:val="21"/>
        </w:rPr>
        <w:t>四、联系方式</w:t>
      </w:r>
    </w:p>
    <w:p w14:paraId="09D3C166">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招</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标</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人：</w:t>
      </w:r>
      <w:r>
        <w:rPr>
          <w:rFonts w:hint="eastAsia" w:ascii="宋体" w:hAnsi="宋体" w:eastAsia="宋体" w:cs="宋体"/>
          <w:color w:val="auto"/>
          <w:kern w:val="0"/>
          <w:sz w:val="21"/>
          <w:szCs w:val="21"/>
          <w:highlight w:val="none"/>
          <w:lang w:val="en-US" w:bidi="zh-CN"/>
        </w:rPr>
        <w:t>松原市</w:t>
      </w:r>
      <w:r>
        <w:rPr>
          <w:rFonts w:hint="eastAsia" w:ascii="宋体" w:hAnsi="宋体" w:eastAsia="宋体" w:cs="宋体"/>
          <w:color w:val="auto"/>
          <w:kern w:val="0"/>
          <w:sz w:val="21"/>
          <w:szCs w:val="21"/>
          <w:highlight w:val="none"/>
          <w:lang w:val="zh-CN" w:bidi="zh-CN"/>
        </w:rPr>
        <w:t>公路服务中心</w:t>
      </w:r>
    </w:p>
    <w:p w14:paraId="458E1991">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地</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址：松原市宁江区沿江东路77号</w:t>
      </w:r>
    </w:p>
    <w:p w14:paraId="09EBFA2F">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联</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系</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人：张凯</w:t>
      </w:r>
    </w:p>
    <w:p w14:paraId="219A7D4F">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电</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话：0438-6831347</w:t>
      </w:r>
    </w:p>
    <w:p w14:paraId="668AC0FD">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招</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标</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人：</w:t>
      </w:r>
      <w:r>
        <w:rPr>
          <w:rFonts w:hint="eastAsia" w:ascii="宋体" w:hAnsi="宋体" w:eastAsia="宋体" w:cs="宋体"/>
          <w:color w:val="auto"/>
          <w:sz w:val="21"/>
          <w:szCs w:val="21"/>
          <w:highlight w:val="none"/>
          <w:lang w:val="en-US" w:eastAsia="zh-CN"/>
        </w:rPr>
        <w:t>前郭尔罗斯蒙古族自治县公路事业发展中心</w:t>
      </w:r>
    </w:p>
    <w:p w14:paraId="3A3A05D0">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color w:val="auto"/>
          <w:kern w:val="0"/>
          <w:sz w:val="21"/>
          <w:szCs w:val="21"/>
          <w:highlight w:val="none"/>
          <w:lang w:val="en-US" w:bidi="zh-CN"/>
        </w:rPr>
      </w:pPr>
      <w:r>
        <w:rPr>
          <w:rFonts w:hint="eastAsia" w:ascii="宋体" w:hAnsi="宋体" w:eastAsia="宋体" w:cs="宋体"/>
          <w:color w:val="auto"/>
          <w:kern w:val="0"/>
          <w:sz w:val="21"/>
          <w:szCs w:val="21"/>
          <w:highlight w:val="none"/>
          <w:lang w:val="zh-CN" w:bidi="zh-CN"/>
        </w:rPr>
        <w:t>地</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址：松原市宁江区</w:t>
      </w:r>
      <w:r>
        <w:rPr>
          <w:rFonts w:hint="eastAsia" w:ascii="宋体" w:hAnsi="宋体" w:eastAsia="宋体" w:cs="宋体"/>
          <w:color w:val="auto"/>
          <w:kern w:val="0"/>
          <w:sz w:val="21"/>
          <w:szCs w:val="21"/>
          <w:highlight w:val="none"/>
          <w:lang w:val="en-US" w:bidi="zh-CN"/>
        </w:rPr>
        <w:t>松江大街683号</w:t>
      </w:r>
    </w:p>
    <w:p w14:paraId="4CC52885">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联</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系</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人：张智超</w:t>
      </w:r>
    </w:p>
    <w:p w14:paraId="67B78D61">
      <w:pPr>
        <w:keepLines w:val="0"/>
        <w:pageBreakBefore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bidi="zh-CN"/>
        </w:rPr>
        <w:t>电</w:t>
      </w:r>
      <w:r>
        <w:rPr>
          <w:rFonts w:hint="eastAsia" w:ascii="宋体" w:hAnsi="宋体" w:eastAsia="宋体" w:cs="宋体"/>
          <w:color w:val="auto"/>
          <w:kern w:val="0"/>
          <w:sz w:val="21"/>
          <w:szCs w:val="21"/>
          <w:highlight w:val="none"/>
          <w:lang w:val="en-US" w:bidi="zh-CN"/>
        </w:rPr>
        <w:t xml:space="preserve">    </w:t>
      </w:r>
      <w:r>
        <w:rPr>
          <w:rFonts w:hint="eastAsia" w:ascii="宋体" w:hAnsi="宋体" w:eastAsia="宋体" w:cs="宋体"/>
          <w:color w:val="auto"/>
          <w:kern w:val="0"/>
          <w:sz w:val="21"/>
          <w:szCs w:val="21"/>
          <w:highlight w:val="none"/>
          <w:lang w:val="zh-CN" w:bidi="zh-CN"/>
        </w:rPr>
        <w:t>话：</w:t>
      </w:r>
      <w:r>
        <w:rPr>
          <w:rFonts w:hint="eastAsia" w:ascii="宋体" w:hAnsi="宋体" w:eastAsia="宋体" w:cs="宋体"/>
          <w:color w:val="auto"/>
          <w:kern w:val="0"/>
          <w:sz w:val="21"/>
          <w:szCs w:val="21"/>
          <w:highlight w:val="none"/>
          <w:lang w:val="en-US" w:bidi="zh-CN"/>
        </w:rPr>
        <w:t>0438-2133222</w:t>
      </w:r>
    </w:p>
    <w:sectPr>
      <w:footnotePr>
        <w:numFmt w:val="decimalEnclosedCircleChinese"/>
        <w:numRestart w:val="eachPage"/>
      </w:footnote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PMingLiU">
    <w:panose1 w:val="02020500000000000000"/>
    <w:charset w:val="88"/>
    <w:family w:val="roman"/>
    <w:pitch w:val="default"/>
    <w:sig w:usb0="A00002FF" w:usb1="28CFFCFA" w:usb2="00000016" w:usb3="00000000" w:csb0="00100001" w:csb1="00000000"/>
  </w:font>
  <w:font w:name="BatangChe">
    <w:panose1 w:val="02030609000101010101"/>
    <w:charset w:val="81"/>
    <w:family w:val="modern"/>
    <w:pitch w:val="default"/>
    <w:sig w:usb0="B00002AF" w:usb1="69D77CFB" w:usb2="00000030" w:usb3="00000000" w:csb0="4008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73E92334">
      <w:pPr>
        <w:pStyle w:val="8"/>
      </w:pPr>
      <w:r>
        <w:rPr>
          <w:rStyle w:val="11"/>
        </w:rPr>
        <w:footnoteRef/>
      </w:r>
      <w:r>
        <w:rPr>
          <w:rFonts w:hint="eastAsia"/>
        </w:rPr>
        <w:t>本款规定仅适用于根据《关于发布公路工程从业企业资质名录的通知》（厅公路字[2011]114号）要求，招标人应通过名录对投标人资质条件进行审核的公路施工企业。</w:t>
      </w:r>
    </w:p>
  </w:footnote>
  <w:footnote w:id="1">
    <w:p w14:paraId="2AF314B8">
      <w:pPr>
        <w:rPr>
          <w:sz w:val="18"/>
          <w:szCs w:val="18"/>
        </w:rPr>
      </w:pPr>
      <w:r>
        <w:rPr>
          <w:rStyle w:val="11"/>
        </w:rPr>
        <w:footnoteRef/>
      </w:r>
      <w:r>
        <w:rPr>
          <w:rFonts w:hint="eastAsia" w:ascii="宋体" w:hAnsi="宋体" w:cs="宋体"/>
          <w:kern w:val="0"/>
          <w:sz w:val="18"/>
          <w:szCs w:val="18"/>
          <w:lang w:val="zh-CN"/>
        </w:rPr>
        <w:t>本表所列人员不得互相兼职。</w:t>
      </w:r>
    </w:p>
  </w:footnote>
  <w:footnote w:id="2">
    <w:p w14:paraId="16514FD0">
      <w:pPr>
        <w:pStyle w:val="8"/>
      </w:pPr>
      <w:r>
        <w:rPr>
          <w:rStyle w:val="11"/>
        </w:rPr>
        <w:footnoteRef/>
      </w:r>
      <w:r>
        <w:rPr>
          <w:rFonts w:hint="eastAsia" w:ascii="BatangChe" w:hAnsi="BatangChe"/>
          <w:b/>
        </w:rPr>
        <w:t>“</w:t>
      </w:r>
      <w:r>
        <w:rPr>
          <w:rFonts w:hint="eastAsia" w:ascii="BatangChe" w:hAnsi="BatangChe"/>
          <w:b/>
          <w:spacing w:val="-6"/>
        </w:rPr>
        <w:t>投标人自有人员”</w:t>
      </w:r>
      <w:r>
        <w:rPr>
          <w:rFonts w:hint="eastAsia" w:ascii="BatangChe" w:hAnsi="BatangChe"/>
          <w:spacing w:val="-6"/>
        </w:rPr>
        <w:t>指</w:t>
      </w:r>
      <w:r>
        <w:t>社保缴费证明中</w:t>
      </w:r>
      <w:r>
        <w:rPr>
          <w:rFonts w:hint="eastAsia" w:ascii="宋体" w:hAnsi="宋体"/>
        </w:rPr>
        <w:t>缴费单位与投标人名称一致</w:t>
      </w:r>
      <w:r>
        <w:rPr>
          <w:rFonts w:hint="eastAsia" w:ascii="宋体" w:hAnsi="宋体"/>
          <w:lang w:eastAsia="zh-CN"/>
        </w:rPr>
        <w:t>（</w:t>
      </w:r>
      <w:r>
        <w:rPr>
          <w:rFonts w:hint="eastAsia" w:ascii="宋体" w:hAnsi="宋体"/>
          <w:lang w:val="en-US" w:eastAsia="zh-CN"/>
        </w:rPr>
        <w:t>投标人的上级公司、子公司、人力资源服务机构等其他单位缴纳或个人缴纳社会保险均不予认定，分公司缴纳的社会保险可以予以认定</w:t>
      </w:r>
      <w:r>
        <w:rPr>
          <w:rFonts w:hint="eastAsia" w:ascii="宋体" w:hAnsi="宋体"/>
          <w:lang w:eastAsia="zh-CN"/>
        </w:rPr>
        <w:t>）</w:t>
      </w:r>
      <w:r>
        <w:rPr>
          <w:rFonts w:hint="eastAsia" w:ascii="BatangChe" w:hAnsi="BatangChe"/>
          <w:spacing w:val="-6"/>
        </w:rPr>
        <w:t>。</w:t>
      </w:r>
    </w:p>
  </w:footnote>
  <w:footnote w:id="3">
    <w:p w14:paraId="42294237">
      <w:pPr>
        <w:pStyle w:val="8"/>
      </w:pPr>
      <w:r>
        <w:rPr>
          <w:rStyle w:val="11"/>
        </w:rPr>
        <w:footnoteRef/>
      </w:r>
      <w:r>
        <w:rPr>
          <w:rFonts w:hint="eastAsia" w:ascii="宋体" w:hAnsi="宋体" w:cs="宋体"/>
          <w:lang w:val="zh-CN"/>
        </w:rPr>
        <w:t>公路工程相关专业职称包括公路工程、桥梁工程、公路与桥梁工程、交通土建、隧道（地下结构）工程、交通工程等专业职称。如职称证上无专业，则以毕业证上的专业为准。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NlNmJhZWI0ZDJmODFjNDMwOTU5MGVmZDE2YzJmMjgifQ=="/>
  </w:docVars>
  <w:rsids>
    <w:rsidRoot w:val="00DE1914"/>
    <w:rsid w:val="00007D0D"/>
    <w:rsid w:val="000C7FFE"/>
    <w:rsid w:val="000D45D8"/>
    <w:rsid w:val="00150308"/>
    <w:rsid w:val="0016649D"/>
    <w:rsid w:val="001C5264"/>
    <w:rsid w:val="001F4B00"/>
    <w:rsid w:val="001F767C"/>
    <w:rsid w:val="00250688"/>
    <w:rsid w:val="002B6B2C"/>
    <w:rsid w:val="00316C16"/>
    <w:rsid w:val="003171A3"/>
    <w:rsid w:val="0037455E"/>
    <w:rsid w:val="003C3184"/>
    <w:rsid w:val="003E1571"/>
    <w:rsid w:val="00530DB1"/>
    <w:rsid w:val="00562C9D"/>
    <w:rsid w:val="005C0428"/>
    <w:rsid w:val="00643E44"/>
    <w:rsid w:val="006A39C9"/>
    <w:rsid w:val="006C28DA"/>
    <w:rsid w:val="0072686E"/>
    <w:rsid w:val="00786838"/>
    <w:rsid w:val="008715DB"/>
    <w:rsid w:val="00873F02"/>
    <w:rsid w:val="008E2951"/>
    <w:rsid w:val="008E6FE1"/>
    <w:rsid w:val="009A086D"/>
    <w:rsid w:val="009B01BC"/>
    <w:rsid w:val="009D3B6D"/>
    <w:rsid w:val="00A73217"/>
    <w:rsid w:val="00AB197A"/>
    <w:rsid w:val="00AB5898"/>
    <w:rsid w:val="00B77B1E"/>
    <w:rsid w:val="00BB6447"/>
    <w:rsid w:val="00BE0105"/>
    <w:rsid w:val="00BF0284"/>
    <w:rsid w:val="00C15CD1"/>
    <w:rsid w:val="00C40C09"/>
    <w:rsid w:val="00CA2765"/>
    <w:rsid w:val="00CA3A18"/>
    <w:rsid w:val="00CC109B"/>
    <w:rsid w:val="00D43D36"/>
    <w:rsid w:val="00D57E3A"/>
    <w:rsid w:val="00DC39DC"/>
    <w:rsid w:val="00DE1914"/>
    <w:rsid w:val="00DF2D8E"/>
    <w:rsid w:val="00E16787"/>
    <w:rsid w:val="00E7408A"/>
    <w:rsid w:val="00EA5385"/>
    <w:rsid w:val="00F641C5"/>
    <w:rsid w:val="00F76FA4"/>
    <w:rsid w:val="00FC5FAE"/>
    <w:rsid w:val="00FD038E"/>
    <w:rsid w:val="00FF554C"/>
    <w:rsid w:val="09137F54"/>
    <w:rsid w:val="135525CF"/>
    <w:rsid w:val="13B267E8"/>
    <w:rsid w:val="13B9605E"/>
    <w:rsid w:val="16E64B95"/>
    <w:rsid w:val="1F350AFA"/>
    <w:rsid w:val="27170727"/>
    <w:rsid w:val="2F714C72"/>
    <w:rsid w:val="3B602C1D"/>
    <w:rsid w:val="4C4832FE"/>
    <w:rsid w:val="4F480164"/>
    <w:rsid w:val="5C5A3AFA"/>
    <w:rsid w:val="6623322B"/>
    <w:rsid w:val="7C983D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link w:val="26"/>
    <w:qFormat/>
    <w:uiPriority w:val="99"/>
    <w:pPr>
      <w:ind w:firstLine="1120" w:firstLineChars="400"/>
    </w:pPr>
    <w:rPr>
      <w:rFonts w:ascii="Times New Roman" w:hAnsi="Times New Roman" w:eastAsia="宋体" w:cs="Times New Roman"/>
      <w:sz w:val="28"/>
      <w:szCs w:val="24"/>
    </w:rPr>
  </w:style>
  <w:style w:type="paragraph" w:styleId="4">
    <w:name w:val="Body Text Indent 2"/>
    <w:basedOn w:val="1"/>
    <w:link w:val="27"/>
    <w:semiHidden/>
    <w:unhideWhenUsed/>
    <w:qFormat/>
    <w:uiPriority w:val="99"/>
    <w:pPr>
      <w:spacing w:after="120" w:line="480" w:lineRule="auto"/>
      <w:ind w:left="420" w:leftChars="200"/>
    </w:pPr>
  </w:style>
  <w:style w:type="paragraph" w:styleId="5">
    <w:name w:val="Plain Text"/>
    <w:basedOn w:val="1"/>
    <w:link w:val="28"/>
    <w:qFormat/>
    <w:uiPriority w:val="99"/>
    <w:rPr>
      <w:rFonts w:ascii="宋体" w:hAnsi="Courier New" w:eastAsia="宋体" w:cs="Times New Roman"/>
      <w:szCs w:val="21"/>
    </w:rPr>
  </w:style>
  <w:style w:type="paragraph" w:styleId="6">
    <w:name w:val="footer"/>
    <w:basedOn w:val="1"/>
    <w:link w:val="22"/>
    <w:autoRedefine/>
    <w:unhideWhenUsed/>
    <w:qFormat/>
    <w:uiPriority w:val="99"/>
    <w:pPr>
      <w:tabs>
        <w:tab w:val="center" w:pos="4153"/>
        <w:tab w:val="right" w:pos="8306"/>
      </w:tabs>
      <w:snapToGrid w:val="0"/>
      <w:jc w:val="left"/>
    </w:pPr>
    <w:rPr>
      <w:sz w:val="18"/>
      <w:szCs w:val="18"/>
    </w:rPr>
  </w:style>
  <w:style w:type="paragraph" w:styleId="7">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4"/>
    <w:autoRedefine/>
    <w:unhideWhenUsed/>
    <w:qFormat/>
    <w:uiPriority w:val="0"/>
    <w:pPr>
      <w:snapToGrid w:val="0"/>
      <w:jc w:val="left"/>
    </w:pPr>
    <w:rPr>
      <w:rFonts w:ascii="Times New Roman" w:hAnsi="Times New Roman" w:eastAsia="宋体" w:cs="Times New Roman"/>
      <w:kern w:val="0"/>
      <w:sz w:val="18"/>
      <w:szCs w:val="18"/>
    </w:rPr>
  </w:style>
  <w:style w:type="character" w:styleId="11">
    <w:name w:val="footnote reference"/>
    <w:autoRedefine/>
    <w:qFormat/>
    <w:uiPriority w:val="0"/>
    <w:rPr>
      <w:vertAlign w:val="superscript"/>
    </w:rPr>
  </w:style>
  <w:style w:type="character" w:customStyle="1" w:styleId="12">
    <w:name w:val="其他_"/>
    <w:link w:val="13"/>
    <w:qFormat/>
    <w:uiPriority w:val="0"/>
    <w:rPr>
      <w:rFonts w:ascii="宋体" w:hAnsi="宋体" w:cs="宋体"/>
      <w:shd w:val="clear" w:color="auto" w:fill="FFFFFF"/>
      <w:lang w:val="zh-CN" w:bidi="zh-CN"/>
    </w:rPr>
  </w:style>
  <w:style w:type="paragraph" w:customStyle="1" w:styleId="13">
    <w:name w:val="其他"/>
    <w:basedOn w:val="1"/>
    <w:link w:val="12"/>
    <w:autoRedefine/>
    <w:qFormat/>
    <w:uiPriority w:val="0"/>
    <w:pPr>
      <w:shd w:val="clear" w:color="auto" w:fill="FFFFFF"/>
      <w:spacing w:line="430" w:lineRule="auto"/>
      <w:ind w:firstLine="400"/>
      <w:jc w:val="distribute"/>
    </w:pPr>
    <w:rPr>
      <w:rFonts w:ascii="宋体" w:hAnsi="宋体" w:cs="宋体"/>
      <w:lang w:val="zh-CN" w:bidi="zh-CN"/>
    </w:rPr>
  </w:style>
  <w:style w:type="character" w:customStyle="1" w:styleId="14">
    <w:name w:val="脚注文本 字符"/>
    <w:basedOn w:val="10"/>
    <w:link w:val="8"/>
    <w:qFormat/>
    <w:uiPriority w:val="0"/>
    <w:rPr>
      <w:rFonts w:ascii="Times New Roman" w:hAnsi="Times New Roman" w:eastAsia="宋体" w:cs="Times New Roman"/>
      <w:kern w:val="0"/>
      <w:sz w:val="18"/>
      <w:szCs w:val="18"/>
    </w:rPr>
  </w:style>
  <w:style w:type="character" w:customStyle="1" w:styleId="15">
    <w:name w:val="正文文本 (2)_"/>
    <w:link w:val="16"/>
    <w:autoRedefine/>
    <w:qFormat/>
    <w:uiPriority w:val="0"/>
    <w:rPr>
      <w:rFonts w:ascii="宋体" w:hAnsi="宋体" w:cs="宋体"/>
      <w:sz w:val="22"/>
      <w:shd w:val="clear" w:color="auto" w:fill="FFFFFF"/>
    </w:rPr>
  </w:style>
  <w:style w:type="paragraph" w:customStyle="1" w:styleId="16">
    <w:name w:val="正文文本 (2)"/>
    <w:basedOn w:val="1"/>
    <w:link w:val="15"/>
    <w:autoRedefine/>
    <w:qFormat/>
    <w:uiPriority w:val="0"/>
    <w:pPr>
      <w:shd w:val="clear" w:color="auto" w:fill="FFFFFF"/>
      <w:spacing w:before="300" w:line="439" w:lineRule="exact"/>
      <w:jc w:val="distribute"/>
    </w:pPr>
    <w:rPr>
      <w:rFonts w:ascii="宋体" w:hAnsi="宋体" w:cs="宋体"/>
      <w:sz w:val="22"/>
    </w:rPr>
  </w:style>
  <w:style w:type="paragraph" w:styleId="17">
    <w:name w:val="List Paragraph"/>
    <w:basedOn w:val="1"/>
    <w:qFormat/>
    <w:uiPriority w:val="34"/>
    <w:pPr>
      <w:ind w:firstLine="420" w:firstLineChars="200"/>
    </w:pPr>
    <w:rPr>
      <w:rFonts w:ascii="Times New Roman" w:hAnsi="Times New Roman" w:eastAsia="宋体" w:cs="Times New Roman"/>
    </w:rPr>
  </w:style>
  <w:style w:type="character" w:customStyle="1" w:styleId="18">
    <w:name w:val="正文文本 (2) + 9.5 pt"/>
    <w:qFormat/>
    <w:uiPriority w:val="0"/>
    <w:rPr>
      <w:rFonts w:ascii="MingLiU" w:hAnsi="MingLiU" w:eastAsia="MingLiU" w:cs="MingLiU"/>
      <w:color w:val="000000"/>
      <w:spacing w:val="0"/>
      <w:w w:val="100"/>
      <w:position w:val="0"/>
      <w:sz w:val="19"/>
      <w:szCs w:val="19"/>
      <w:shd w:val="clear" w:color="auto" w:fill="FFFFFF"/>
      <w:lang w:val="zh-TW" w:eastAsia="zh-TW" w:bidi="zh-TW"/>
    </w:rPr>
  </w:style>
  <w:style w:type="character" w:customStyle="1" w:styleId="19">
    <w:name w:val="正文文本 (2) + 10 pt"/>
    <w:autoRedefine/>
    <w:qFormat/>
    <w:uiPriority w:val="0"/>
    <w:rPr>
      <w:rFonts w:ascii="MingLiU" w:hAnsi="MingLiU" w:eastAsia="MingLiU" w:cs="MingLiU"/>
      <w:b/>
      <w:bCs/>
      <w:color w:val="000000"/>
      <w:spacing w:val="0"/>
      <w:w w:val="100"/>
      <w:position w:val="0"/>
      <w:sz w:val="20"/>
      <w:szCs w:val="20"/>
      <w:u w:val="none"/>
      <w:lang w:val="zh-TW" w:eastAsia="zh-TW" w:bidi="zh-TW"/>
    </w:rPr>
  </w:style>
  <w:style w:type="character" w:customStyle="1" w:styleId="20">
    <w:name w:val="正文文本 (2) + 9 pt"/>
    <w:autoRedefine/>
    <w:qFormat/>
    <w:uiPriority w:val="0"/>
    <w:rPr>
      <w:rFonts w:ascii="MingLiU" w:hAnsi="MingLiU" w:eastAsia="MingLiU" w:cs="MingLiU"/>
      <w:color w:val="000000"/>
      <w:spacing w:val="0"/>
      <w:w w:val="100"/>
      <w:position w:val="0"/>
      <w:sz w:val="18"/>
      <w:szCs w:val="18"/>
      <w:u w:val="none"/>
      <w:shd w:val="clear" w:color="auto" w:fill="FFFFFF"/>
      <w:lang w:val="en-US" w:eastAsia="en-US" w:bidi="en-US"/>
    </w:rPr>
  </w:style>
  <w:style w:type="character" w:customStyle="1" w:styleId="21">
    <w:name w:val="页眉 字符"/>
    <w:basedOn w:val="10"/>
    <w:link w:val="7"/>
    <w:qFormat/>
    <w:uiPriority w:val="99"/>
    <w:rPr>
      <w:sz w:val="18"/>
      <w:szCs w:val="18"/>
    </w:rPr>
  </w:style>
  <w:style w:type="character" w:customStyle="1" w:styleId="22">
    <w:name w:val="页脚 字符"/>
    <w:basedOn w:val="10"/>
    <w:link w:val="6"/>
    <w:autoRedefine/>
    <w:qFormat/>
    <w:uiPriority w:val="99"/>
    <w:rPr>
      <w:sz w:val="18"/>
      <w:szCs w:val="18"/>
    </w:rPr>
  </w:style>
  <w:style w:type="paragraph" w:customStyle="1" w:styleId="23">
    <w:name w:val="MSG_EN_FONT_STYLE_NAME_TEMPLATE_ROLE_NUMBER MSG_EN_FONT_STYLE_NAME_BY_ROLE_TEXT 131"/>
    <w:basedOn w:val="1"/>
    <w:link w:val="29"/>
    <w:autoRedefine/>
    <w:qFormat/>
    <w:uiPriority w:val="0"/>
    <w:pPr>
      <w:shd w:val="clear" w:color="auto" w:fill="FFFFFF"/>
      <w:spacing w:before="340" w:after="160" w:line="398" w:lineRule="exact"/>
      <w:jc w:val="distribute"/>
    </w:pPr>
    <w:rPr>
      <w:rFonts w:ascii="PMingLiU" w:hAnsi="PMingLiU" w:eastAsia="PMingLiU" w:cs="PMingLiU"/>
      <w:kern w:val="0"/>
      <w:sz w:val="20"/>
      <w:szCs w:val="20"/>
    </w:rPr>
  </w:style>
  <w:style w:type="character" w:customStyle="1" w:styleId="24">
    <w:name w:val="MSG_EN_FONT_STYLE_NAME_TEMPLATE_ROLE_NUMBER MSG_EN_FONT_STYLE_NAME_BY_ROLE_TEXT 13 + MSG_EN_FONT_STYLE_MODIFER_SIZE 8.5"/>
    <w:autoRedefine/>
    <w:qFormat/>
    <w:uiPriority w:val="0"/>
    <w:rPr>
      <w:rFonts w:ascii="PMingLiU" w:hAnsi="PMingLiU" w:eastAsia="PMingLiU" w:cs="PMingLiU"/>
      <w:color w:val="000000"/>
      <w:spacing w:val="0"/>
      <w:w w:val="100"/>
      <w:position w:val="0"/>
      <w:sz w:val="17"/>
      <w:szCs w:val="17"/>
      <w:u w:val="none"/>
      <w:shd w:val="clear" w:color="auto" w:fill="FFFFFF"/>
      <w:lang w:val="zh-CN" w:eastAsia="zh-CN" w:bidi="zh-CN"/>
    </w:rPr>
  </w:style>
  <w:style w:type="paragraph" w:customStyle="1" w:styleId="25">
    <w:name w:val="MSG_EN_FONT_STYLE_NAME_TEMPLATE_ROLE_NUMBER MSG_EN_FONT_STYLE_NAME_BY_ROLE_TEXT 5"/>
    <w:basedOn w:val="1"/>
    <w:link w:val="30"/>
    <w:autoRedefine/>
    <w:qFormat/>
    <w:uiPriority w:val="0"/>
    <w:pPr>
      <w:shd w:val="clear" w:color="auto" w:fill="FFFFFF"/>
      <w:spacing w:before="5120" w:line="170" w:lineRule="exact"/>
      <w:jc w:val="left"/>
    </w:pPr>
    <w:rPr>
      <w:rFonts w:ascii="PMingLiU" w:hAnsi="PMingLiU" w:eastAsia="PMingLiU" w:cs="PMingLiU"/>
      <w:kern w:val="0"/>
      <w:sz w:val="17"/>
      <w:szCs w:val="17"/>
    </w:rPr>
  </w:style>
  <w:style w:type="character" w:customStyle="1" w:styleId="26">
    <w:name w:val="正文文本缩进 字符"/>
    <w:basedOn w:val="10"/>
    <w:link w:val="3"/>
    <w:qFormat/>
    <w:uiPriority w:val="99"/>
    <w:rPr>
      <w:rFonts w:ascii="Times New Roman" w:hAnsi="Times New Roman" w:eastAsia="宋体" w:cs="Times New Roman"/>
      <w:kern w:val="2"/>
      <w:sz w:val="28"/>
      <w:szCs w:val="24"/>
    </w:rPr>
  </w:style>
  <w:style w:type="character" w:customStyle="1" w:styleId="27">
    <w:name w:val="正文文本缩进 2 字符"/>
    <w:basedOn w:val="10"/>
    <w:link w:val="4"/>
    <w:semiHidden/>
    <w:qFormat/>
    <w:uiPriority w:val="99"/>
    <w:rPr>
      <w:kern w:val="2"/>
      <w:sz w:val="21"/>
      <w:szCs w:val="22"/>
    </w:rPr>
  </w:style>
  <w:style w:type="character" w:customStyle="1" w:styleId="28">
    <w:name w:val="纯文本 字符"/>
    <w:basedOn w:val="10"/>
    <w:link w:val="5"/>
    <w:qFormat/>
    <w:uiPriority w:val="99"/>
    <w:rPr>
      <w:rFonts w:ascii="宋体" w:hAnsi="Courier New" w:eastAsia="宋体" w:cs="Times New Roman"/>
      <w:kern w:val="2"/>
      <w:sz w:val="21"/>
      <w:szCs w:val="21"/>
    </w:rPr>
  </w:style>
  <w:style w:type="character" w:customStyle="1" w:styleId="29">
    <w:name w:val="MSG_EN_FONT_STYLE_NAME_TEMPLATE_ROLE_NUMBER MSG_EN_FONT_STYLE_NAME_BY_ROLE_TEXT 13_"/>
    <w:link w:val="23"/>
    <w:qFormat/>
    <w:uiPriority w:val="0"/>
    <w:rPr>
      <w:rFonts w:ascii="PMingLiU" w:hAnsi="PMingLiU" w:eastAsia="PMingLiU" w:cs="PMingLiU"/>
      <w:shd w:val="clear" w:color="auto" w:fill="FFFFFF"/>
    </w:rPr>
  </w:style>
  <w:style w:type="character" w:customStyle="1" w:styleId="30">
    <w:name w:val="MSG_EN_FONT_STYLE_NAME_TEMPLATE_ROLE_NUMBER MSG_EN_FONT_STYLE_NAME_BY_ROLE_TEXT 5_"/>
    <w:link w:val="25"/>
    <w:qFormat/>
    <w:uiPriority w:val="0"/>
    <w:rPr>
      <w:rFonts w:ascii="PMingLiU" w:hAnsi="PMingLiU" w:eastAsia="PMingLiU" w:cs="PMingLiU"/>
      <w:sz w:val="17"/>
      <w:szCs w:val="17"/>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1415-EB3F-4E4B-8E9A-7202B2D1D1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1719</Words>
  <Characters>1847</Characters>
  <Lines>39</Lines>
  <Paragraphs>11</Paragraphs>
  <TotalTime>0</TotalTime>
  <ScaleCrop>false</ScaleCrop>
  <LinksUpToDate>false</LinksUpToDate>
  <CharactersWithSpaces>1862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2021-08-02T04:08:00Z</dcterms:created>
  <dc:creator>微软用户</dc:creator>
  <cp:lastModifiedBy>丁聪</cp:lastModifiedBy>
  <dcterms:modified xsi:type="dcterms:W3CDTF">2026-08-18T06:35:03Z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97B25FE1A566477186C8543FFB10435D_12</vt:lpwstr>
  </property>
  <property fmtid="{D5CDD505-2E9C-101B-9397-08002B2CF9AE}" pid="4" name="KSOTemplateDocerSaveRecord">
    <vt:lpwstr>eyJoZGlkIjoiYzA1Y2IwMGUwOTFkODdiMzk0YjlkMmEyYTgwYWJjNzEiLCJ1c2VySWQiOiIyNDUwODQ0ODUifQ==</vt:lpwstr>
  </property>
</Properties>
</file>