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66BAD2">
      <w:pPr>
        <w:keepLines w:val="0"/>
        <w:pageBreakBefore w:val="0"/>
        <w:kinsoku/>
        <w:wordWrap/>
        <w:overflowPunct/>
        <w:topLinePunct w:val="0"/>
        <w:autoSpaceDE/>
        <w:autoSpaceDN/>
        <w:bidi w:val="0"/>
        <w:spacing w:line="360" w:lineRule="exact"/>
        <w:jc w:val="center"/>
        <w:rPr>
          <w:rFonts w:hint="eastAsia" w:ascii="宋体" w:hAnsi="宋体" w:eastAsia="宋体" w:cs="宋体"/>
          <w:b/>
          <w:sz w:val="21"/>
          <w:szCs w:val="21"/>
        </w:rPr>
      </w:pPr>
      <w:bookmarkStart w:id="18" w:name="_GoBack"/>
      <w:bookmarkEnd w:id="18"/>
      <w:r>
        <w:rPr>
          <w:rFonts w:hint="eastAsia" w:ascii="宋体" w:hAnsi="宋体" w:eastAsia="宋体" w:cs="宋体"/>
          <w:b/>
          <w:sz w:val="21"/>
          <w:szCs w:val="21"/>
          <w:lang w:val="en-US" w:eastAsia="zh-CN"/>
        </w:rPr>
        <w:t>辽源市2026年普通国省干线公路养护工程（第三批）勘察设计招标文件</w:t>
      </w:r>
      <w:r>
        <w:rPr>
          <w:rFonts w:hint="eastAsia" w:ascii="宋体" w:hAnsi="宋体" w:eastAsia="宋体" w:cs="宋体"/>
          <w:b/>
          <w:sz w:val="21"/>
          <w:szCs w:val="21"/>
        </w:rPr>
        <w:t>公开内容</w:t>
      </w:r>
    </w:p>
    <w:p w14:paraId="6519C1BC">
      <w:pPr>
        <w:keepLines w:val="0"/>
        <w:pageBreakBefore w:val="0"/>
        <w:tabs>
          <w:tab w:val="center" w:pos="4819"/>
        </w:tabs>
        <w:kinsoku/>
        <w:wordWrap/>
        <w:overflowPunct/>
        <w:topLinePunct w:val="0"/>
        <w:autoSpaceDE/>
        <w:autoSpaceDN/>
        <w:bidi w:val="0"/>
        <w:spacing w:line="360" w:lineRule="exact"/>
        <w:rPr>
          <w:rFonts w:hint="eastAsia" w:ascii="宋体" w:hAnsi="宋体" w:eastAsia="宋体" w:cs="宋体"/>
          <w:b/>
          <w:sz w:val="21"/>
          <w:szCs w:val="21"/>
        </w:rPr>
      </w:pPr>
      <w:r>
        <w:rPr>
          <w:rFonts w:hint="eastAsia" w:ascii="宋体" w:hAnsi="宋体" w:eastAsia="宋体" w:cs="宋体"/>
          <w:b/>
          <w:sz w:val="21"/>
          <w:szCs w:val="21"/>
        </w:rPr>
        <w:t>一、项目概况与招标范围</w:t>
      </w:r>
      <w:r>
        <w:rPr>
          <w:rFonts w:hint="eastAsia" w:ascii="宋体" w:hAnsi="宋体" w:eastAsia="宋体" w:cs="宋体"/>
          <w:b/>
          <w:sz w:val="21"/>
          <w:szCs w:val="21"/>
        </w:rPr>
        <w:tab/>
      </w:r>
    </w:p>
    <w:p w14:paraId="282A3306">
      <w:pPr>
        <w:keepLines w:val="0"/>
        <w:pageBreakBefore w:val="0"/>
        <w:kinsoku/>
        <w:wordWrap/>
        <w:overflowPunct/>
        <w:topLinePunct w:val="0"/>
        <w:autoSpaceDE/>
        <w:autoSpaceDN/>
        <w:bidi w:val="0"/>
        <w:spacing w:line="360" w:lineRule="exact"/>
        <w:rPr>
          <w:rFonts w:hint="eastAsia" w:ascii="宋体" w:hAnsi="宋体" w:eastAsia="宋体" w:cs="宋体"/>
          <w:sz w:val="21"/>
          <w:szCs w:val="21"/>
        </w:rPr>
      </w:pPr>
      <w:r>
        <w:rPr>
          <w:rFonts w:hint="eastAsia" w:ascii="宋体" w:hAnsi="宋体" w:eastAsia="宋体" w:cs="宋体"/>
          <w:sz w:val="21"/>
          <w:szCs w:val="21"/>
        </w:rPr>
        <w:t xml:space="preserve">    详见招标公告</w:t>
      </w:r>
    </w:p>
    <w:p w14:paraId="75F42BF7">
      <w:pPr>
        <w:keepLines w:val="0"/>
        <w:pageBreakBefore w:val="0"/>
        <w:kinsoku/>
        <w:wordWrap/>
        <w:overflowPunct/>
        <w:topLinePunct w:val="0"/>
        <w:autoSpaceDE/>
        <w:autoSpaceDN/>
        <w:bidi w:val="0"/>
        <w:spacing w:line="360" w:lineRule="exact"/>
        <w:rPr>
          <w:rFonts w:hint="eastAsia" w:ascii="宋体" w:hAnsi="宋体" w:eastAsia="宋体" w:cs="宋体"/>
          <w:b/>
          <w:sz w:val="21"/>
          <w:szCs w:val="21"/>
        </w:rPr>
      </w:pPr>
      <w:r>
        <w:rPr>
          <w:rFonts w:hint="eastAsia" w:ascii="宋体" w:hAnsi="宋体" w:eastAsia="宋体" w:cs="宋体"/>
          <w:b/>
          <w:sz w:val="21"/>
          <w:szCs w:val="21"/>
        </w:rPr>
        <w:t>二、投标人资格要求</w:t>
      </w:r>
    </w:p>
    <w:p w14:paraId="3347AB2D">
      <w:pPr>
        <w:keepLines w:val="0"/>
        <w:pageBreakBefore w:val="0"/>
        <w:kinsoku/>
        <w:wordWrap/>
        <w:overflowPunct/>
        <w:topLinePunct w:val="0"/>
        <w:autoSpaceDE/>
        <w:autoSpaceDN/>
        <w:bidi w:val="0"/>
        <w:spacing w:line="360" w:lineRule="exact"/>
        <w:rPr>
          <w:rFonts w:hint="eastAsia" w:ascii="宋体" w:hAnsi="宋体" w:eastAsia="宋体" w:cs="宋体"/>
          <w:sz w:val="21"/>
          <w:szCs w:val="21"/>
        </w:rPr>
      </w:pPr>
      <w:r>
        <w:rPr>
          <w:rFonts w:hint="eastAsia" w:ascii="宋体" w:hAnsi="宋体" w:eastAsia="宋体" w:cs="宋体"/>
          <w:sz w:val="21"/>
          <w:szCs w:val="21"/>
        </w:rPr>
        <w:t xml:space="preserve">    投标人须知前附表（投标人资格要求部分）</w:t>
      </w:r>
    </w:p>
    <w:tbl>
      <w:tblPr>
        <w:tblStyle w:val="6"/>
        <w:tblW w:w="9475" w:type="dxa"/>
        <w:jc w:val="center"/>
        <w:tblLayout w:type="fixed"/>
        <w:tblCellMar>
          <w:top w:w="0" w:type="dxa"/>
          <w:left w:w="28" w:type="dxa"/>
          <w:bottom w:w="0" w:type="dxa"/>
          <w:right w:w="28" w:type="dxa"/>
        </w:tblCellMar>
      </w:tblPr>
      <w:tblGrid>
        <w:gridCol w:w="953"/>
        <w:gridCol w:w="2006"/>
        <w:gridCol w:w="6516"/>
      </w:tblGrid>
      <w:tr w14:paraId="6A27579C">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5F7EAE58">
            <w:pPr>
              <w:keepLines w:val="0"/>
              <w:pageBreakBefore w:val="0"/>
              <w:kinsoku/>
              <w:wordWrap/>
              <w:overflowPunct/>
              <w:topLinePunct w:val="0"/>
              <w:autoSpaceDE/>
              <w:autoSpaceDN/>
              <w:bidi w:val="0"/>
              <w:adjustRightInd w:val="0"/>
              <w:snapToGrid w:val="0"/>
              <w:spacing w:before="100" w:beforeAutospacing="1" w:after="100" w:afterAutospacing="1" w:line="360" w:lineRule="exact"/>
              <w:jc w:val="center"/>
              <w:rPr>
                <w:rFonts w:hint="eastAsia" w:ascii="宋体" w:hAnsi="宋体" w:eastAsia="宋体" w:cs="宋体"/>
                <w:sz w:val="21"/>
                <w:szCs w:val="21"/>
              </w:rPr>
            </w:pPr>
            <w:r>
              <w:rPr>
                <w:rFonts w:hint="eastAsia" w:ascii="宋体" w:hAnsi="宋体" w:eastAsia="宋体" w:cs="宋体"/>
                <w:sz w:val="21"/>
                <w:szCs w:val="21"/>
              </w:rPr>
              <w:t>条款号</w:t>
            </w:r>
          </w:p>
        </w:tc>
        <w:tc>
          <w:tcPr>
            <w:tcW w:w="2006" w:type="dxa"/>
            <w:tcBorders>
              <w:top w:val="single" w:color="000000" w:sz="4" w:space="0"/>
              <w:left w:val="single" w:color="000000" w:sz="4" w:space="0"/>
              <w:bottom w:val="single" w:color="000000" w:sz="4" w:space="0"/>
              <w:right w:val="single" w:color="000000" w:sz="4" w:space="0"/>
            </w:tcBorders>
            <w:vAlign w:val="center"/>
          </w:tcPr>
          <w:p w14:paraId="19F34D5F">
            <w:pPr>
              <w:keepLines w:val="0"/>
              <w:pageBreakBefore w:val="0"/>
              <w:kinsoku/>
              <w:wordWrap/>
              <w:overflowPunct/>
              <w:topLinePunct w:val="0"/>
              <w:autoSpaceDE/>
              <w:autoSpaceDN/>
              <w:bidi w:val="0"/>
              <w:spacing w:line="360" w:lineRule="exact"/>
              <w:jc w:val="center"/>
              <w:rPr>
                <w:rFonts w:hint="eastAsia" w:ascii="宋体" w:hAnsi="宋体" w:eastAsia="宋体" w:cs="宋体"/>
                <w:sz w:val="21"/>
                <w:szCs w:val="21"/>
              </w:rPr>
            </w:pPr>
            <w:r>
              <w:rPr>
                <w:rFonts w:hint="eastAsia" w:ascii="宋体" w:hAnsi="宋体" w:eastAsia="宋体" w:cs="宋体"/>
                <w:sz w:val="21"/>
                <w:szCs w:val="21"/>
              </w:rPr>
              <w:t>条款名称</w:t>
            </w:r>
          </w:p>
        </w:tc>
        <w:tc>
          <w:tcPr>
            <w:tcW w:w="6516" w:type="dxa"/>
            <w:tcBorders>
              <w:top w:val="single" w:color="000000" w:sz="4" w:space="0"/>
              <w:left w:val="single" w:color="000000" w:sz="4" w:space="0"/>
              <w:bottom w:val="single" w:color="000000" w:sz="4" w:space="0"/>
              <w:right w:val="single" w:color="auto" w:sz="12" w:space="0"/>
            </w:tcBorders>
            <w:vAlign w:val="center"/>
          </w:tcPr>
          <w:p w14:paraId="25EC0277">
            <w:pPr>
              <w:keepLines w:val="0"/>
              <w:pageBreakBefore w:val="0"/>
              <w:kinsoku/>
              <w:wordWrap/>
              <w:overflowPunct/>
              <w:topLinePunct w:val="0"/>
              <w:autoSpaceDE/>
              <w:autoSpaceDN/>
              <w:bidi w:val="0"/>
              <w:spacing w:line="360" w:lineRule="exact"/>
              <w:jc w:val="center"/>
              <w:rPr>
                <w:rFonts w:hint="eastAsia" w:ascii="宋体" w:hAnsi="宋体" w:eastAsia="宋体" w:cs="宋体"/>
                <w:sz w:val="21"/>
                <w:szCs w:val="21"/>
              </w:rPr>
            </w:pPr>
            <w:r>
              <w:rPr>
                <w:rFonts w:hint="eastAsia" w:ascii="宋体" w:hAnsi="宋体" w:eastAsia="宋体" w:cs="宋体"/>
                <w:sz w:val="21"/>
                <w:szCs w:val="21"/>
              </w:rPr>
              <w:t>编列内容</w:t>
            </w:r>
          </w:p>
        </w:tc>
      </w:tr>
      <w:tr w14:paraId="6D122821">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0258E759">
            <w:pPr>
              <w:keepLines w:val="0"/>
              <w:pageBreakBefore w:val="0"/>
              <w:kinsoku/>
              <w:wordWrap/>
              <w:overflowPunct/>
              <w:topLinePunct w:val="0"/>
              <w:bidi w:val="0"/>
              <w:adjustRightInd w:val="0"/>
              <w:snapToGrid w:val="0"/>
              <w:spacing w:before="100" w:beforeAutospacing="1" w:after="100" w:afterAutospacing="1" w:line="360" w:lineRule="exact"/>
              <w:jc w:val="center"/>
              <w:rPr>
                <w:rFonts w:hint="eastAsia" w:ascii="宋体" w:hAnsi="宋体" w:eastAsia="宋体" w:cs="宋体"/>
                <w:sz w:val="21"/>
                <w:szCs w:val="21"/>
              </w:rPr>
            </w:pPr>
            <w:r>
              <w:rPr>
                <w:rFonts w:hint="eastAsia" w:ascii="宋体" w:hAnsi="宋体" w:eastAsia="宋体" w:cs="宋体"/>
                <w:color w:val="auto"/>
                <w:sz w:val="21"/>
                <w:szCs w:val="21"/>
                <w:highlight w:val="none"/>
              </w:rPr>
              <w:t>1.4.1</w:t>
            </w:r>
          </w:p>
        </w:tc>
        <w:tc>
          <w:tcPr>
            <w:tcW w:w="2006" w:type="dxa"/>
            <w:tcBorders>
              <w:top w:val="single" w:color="000000" w:sz="4" w:space="0"/>
              <w:left w:val="single" w:color="000000" w:sz="4" w:space="0"/>
              <w:bottom w:val="single" w:color="000000" w:sz="4" w:space="0"/>
              <w:right w:val="single" w:color="000000" w:sz="4" w:space="0"/>
            </w:tcBorders>
            <w:vAlign w:val="center"/>
          </w:tcPr>
          <w:p w14:paraId="57A58E6F">
            <w:pPr>
              <w:keepLines w:val="0"/>
              <w:pageBreakBefore w:val="0"/>
              <w:kinsoku/>
              <w:wordWrap/>
              <w:overflowPunct/>
              <w:topLinePunct w:val="0"/>
              <w:bidi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投标人资质条件、</w:t>
            </w:r>
          </w:p>
          <w:p w14:paraId="22F903C2">
            <w:pPr>
              <w:keepLines w:val="0"/>
              <w:pageBreakBefore w:val="0"/>
              <w:kinsoku/>
              <w:wordWrap/>
              <w:overflowPunct/>
              <w:topLinePunct w:val="0"/>
              <w:bidi w:val="0"/>
              <w:spacing w:line="360" w:lineRule="exact"/>
              <w:jc w:val="center"/>
              <w:rPr>
                <w:rFonts w:hint="eastAsia" w:ascii="宋体" w:hAnsi="宋体" w:eastAsia="宋体" w:cs="宋体"/>
                <w:sz w:val="21"/>
                <w:szCs w:val="21"/>
              </w:rPr>
            </w:pPr>
            <w:r>
              <w:rPr>
                <w:rFonts w:hint="eastAsia" w:ascii="宋体" w:hAnsi="宋体" w:eastAsia="宋体" w:cs="宋体"/>
                <w:color w:val="auto"/>
                <w:sz w:val="21"/>
                <w:szCs w:val="21"/>
                <w:highlight w:val="none"/>
              </w:rPr>
              <w:t>能力和信誉</w:t>
            </w:r>
          </w:p>
        </w:tc>
        <w:tc>
          <w:tcPr>
            <w:tcW w:w="6516" w:type="dxa"/>
            <w:tcBorders>
              <w:top w:val="single" w:color="000000" w:sz="4" w:space="0"/>
              <w:left w:val="single" w:color="000000" w:sz="4" w:space="0"/>
              <w:bottom w:val="single" w:color="000000" w:sz="4" w:space="0"/>
              <w:right w:val="single" w:color="auto" w:sz="12" w:space="0"/>
            </w:tcBorders>
            <w:vAlign w:val="center"/>
          </w:tcPr>
          <w:p w14:paraId="182A1993">
            <w:pPr>
              <w:keepLines w:val="0"/>
              <w:pageBreakBefore w:val="0"/>
              <w:kinsoku/>
              <w:wordWrap/>
              <w:overflowPunct/>
              <w:topLinePunct w:val="0"/>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资质条件：见附录1</w:t>
            </w:r>
          </w:p>
          <w:p w14:paraId="5DBF9D18">
            <w:pPr>
              <w:keepLines w:val="0"/>
              <w:pageBreakBefore w:val="0"/>
              <w:kinsoku/>
              <w:wordWrap/>
              <w:overflowPunct/>
              <w:topLinePunct w:val="0"/>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业绩要求：见附录2</w:t>
            </w:r>
          </w:p>
          <w:p w14:paraId="2B0DB19D">
            <w:pPr>
              <w:keepLines w:val="0"/>
              <w:pageBreakBefore w:val="0"/>
              <w:kinsoku/>
              <w:wordWrap/>
              <w:overflowPunct/>
              <w:topLinePunct w:val="0"/>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信誉要求：见附录3</w:t>
            </w:r>
          </w:p>
          <w:p w14:paraId="62AA25FC">
            <w:pPr>
              <w:keepLines w:val="0"/>
              <w:pageBreakBefore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color w:val="auto"/>
                <w:sz w:val="21"/>
                <w:szCs w:val="21"/>
                <w:highlight w:val="none"/>
              </w:rPr>
              <w:t>项目负责人资格：见附录4</w:t>
            </w:r>
          </w:p>
        </w:tc>
      </w:tr>
      <w:tr w14:paraId="73D8A1C8">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6C9A73F8">
            <w:pPr>
              <w:keepLines w:val="0"/>
              <w:pageBreakBefore w:val="0"/>
              <w:kinsoku/>
              <w:wordWrap/>
              <w:overflowPunct/>
              <w:topLinePunct w:val="0"/>
              <w:bidi w:val="0"/>
              <w:adjustRightInd w:val="0"/>
              <w:snapToGrid w:val="0"/>
              <w:spacing w:before="100" w:beforeAutospacing="1" w:after="100" w:afterAutospacing="1" w:line="360" w:lineRule="exact"/>
              <w:jc w:val="center"/>
              <w:rPr>
                <w:rFonts w:hint="eastAsia" w:ascii="宋体" w:hAnsi="宋体" w:eastAsia="宋体" w:cs="宋体"/>
                <w:sz w:val="21"/>
                <w:szCs w:val="21"/>
              </w:rPr>
            </w:pPr>
            <w:r>
              <w:rPr>
                <w:rFonts w:hint="eastAsia" w:ascii="宋体" w:hAnsi="宋体" w:eastAsia="宋体" w:cs="宋体"/>
                <w:color w:val="auto"/>
                <w:sz w:val="21"/>
                <w:szCs w:val="21"/>
                <w:highlight w:val="none"/>
              </w:rPr>
              <w:t>1.4.2</w:t>
            </w:r>
          </w:p>
        </w:tc>
        <w:tc>
          <w:tcPr>
            <w:tcW w:w="2006" w:type="dxa"/>
            <w:tcBorders>
              <w:top w:val="single" w:color="000000" w:sz="4" w:space="0"/>
              <w:left w:val="single" w:color="000000" w:sz="4" w:space="0"/>
              <w:bottom w:val="single" w:color="000000" w:sz="4" w:space="0"/>
              <w:right w:val="single" w:color="000000" w:sz="4" w:space="0"/>
            </w:tcBorders>
            <w:vAlign w:val="center"/>
          </w:tcPr>
          <w:p w14:paraId="7C5FE634">
            <w:pPr>
              <w:keepLines w:val="0"/>
              <w:pageBreakBefore w:val="0"/>
              <w:kinsoku/>
              <w:wordWrap/>
              <w:overflowPunct/>
              <w:topLinePunct w:val="0"/>
              <w:bidi w:val="0"/>
              <w:spacing w:line="360" w:lineRule="exact"/>
              <w:jc w:val="center"/>
              <w:rPr>
                <w:rFonts w:hint="eastAsia" w:ascii="宋体" w:hAnsi="宋体" w:eastAsia="宋体" w:cs="宋体"/>
                <w:sz w:val="21"/>
                <w:szCs w:val="21"/>
              </w:rPr>
            </w:pPr>
            <w:r>
              <w:rPr>
                <w:rFonts w:hint="eastAsia" w:ascii="宋体" w:hAnsi="宋体" w:eastAsia="宋体" w:cs="宋体"/>
                <w:color w:val="auto"/>
                <w:sz w:val="21"/>
                <w:szCs w:val="21"/>
                <w:highlight w:val="none"/>
              </w:rPr>
              <w:t>是否接受联合体投标</w:t>
            </w:r>
          </w:p>
        </w:tc>
        <w:tc>
          <w:tcPr>
            <w:tcW w:w="6516" w:type="dxa"/>
            <w:tcBorders>
              <w:top w:val="single" w:color="000000" w:sz="4" w:space="0"/>
              <w:left w:val="single" w:color="000000" w:sz="4" w:space="0"/>
              <w:bottom w:val="single" w:color="000000" w:sz="4" w:space="0"/>
              <w:right w:val="single" w:color="auto" w:sz="12" w:space="0"/>
            </w:tcBorders>
            <w:vAlign w:val="center"/>
          </w:tcPr>
          <w:p w14:paraId="787C5953">
            <w:pPr>
              <w:keepLines w:val="0"/>
              <w:pageBreakBefore w:val="0"/>
              <w:kinsoku/>
              <w:wordWrap/>
              <w:overflowPunct/>
              <w:topLinePunct w:val="0"/>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□不接受</w:t>
            </w:r>
          </w:p>
          <w:p w14:paraId="1BB65B38">
            <w:pPr>
              <w:keepLines w:val="0"/>
              <w:pageBreakBefore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color w:val="auto"/>
                <w:kern w:val="0"/>
                <w:sz w:val="21"/>
                <w:szCs w:val="21"/>
                <w:highlight w:val="none"/>
                <w:lang w:val="zh-CN"/>
              </w:rPr>
              <w:fldChar w:fldCharType="begin"/>
            </w:r>
            <w:r>
              <w:rPr>
                <w:rFonts w:hint="eastAsia" w:ascii="宋体" w:hAnsi="宋体" w:eastAsia="宋体" w:cs="宋体"/>
                <w:color w:val="auto"/>
                <w:kern w:val="0"/>
                <w:sz w:val="21"/>
                <w:szCs w:val="21"/>
                <w:highlight w:val="none"/>
                <w:lang w:val="zh-CN"/>
              </w:rPr>
              <w:instrText xml:space="preserve">eq \o\ac(</w:instrText>
            </w:r>
            <w:r>
              <w:rPr>
                <w:rFonts w:hint="eastAsia" w:ascii="宋体" w:hAnsi="宋体" w:eastAsia="宋体" w:cs="宋体"/>
                <w:color w:val="auto"/>
                <w:kern w:val="0"/>
                <w:position w:val="-4"/>
                <w:sz w:val="31"/>
                <w:szCs w:val="21"/>
                <w:highlight w:val="none"/>
                <w:lang w:val="zh-CN"/>
              </w:rPr>
              <w:instrText xml:space="preserve">□</w:instrText>
            </w:r>
            <w:r>
              <w:rPr>
                <w:rFonts w:hint="eastAsia" w:ascii="宋体" w:hAnsi="宋体" w:eastAsia="宋体" w:cs="宋体"/>
                <w:color w:val="auto"/>
                <w:kern w:val="0"/>
                <w:position w:val="0"/>
                <w:sz w:val="21"/>
                <w:szCs w:val="21"/>
                <w:highlight w:val="none"/>
                <w:lang w:val="zh-CN"/>
              </w:rPr>
              <w:instrText xml:space="preserve">,√)</w:instrText>
            </w:r>
            <w:r>
              <w:rPr>
                <w:rFonts w:hint="eastAsia" w:ascii="宋体" w:hAnsi="宋体" w:eastAsia="宋体" w:cs="宋体"/>
                <w:color w:val="auto"/>
                <w:kern w:val="0"/>
                <w:sz w:val="21"/>
                <w:szCs w:val="21"/>
                <w:highlight w:val="none"/>
                <w:lang w:val="zh-CN"/>
              </w:rPr>
              <w:fldChar w:fldCharType="end"/>
            </w:r>
            <w:r>
              <w:rPr>
                <w:rFonts w:hint="eastAsia" w:ascii="宋体" w:hAnsi="宋体" w:eastAsia="宋体" w:cs="宋体"/>
                <w:color w:val="auto"/>
                <w:sz w:val="21"/>
                <w:szCs w:val="21"/>
                <w:highlight w:val="none"/>
              </w:rPr>
              <w:t>接受，应满足下列要求：</w:t>
            </w:r>
            <w:r>
              <w:rPr>
                <w:rFonts w:hint="eastAsia" w:ascii="宋体" w:hAnsi="宋体" w:eastAsia="宋体" w:cs="宋体"/>
                <w:color w:val="auto"/>
                <w:sz w:val="21"/>
                <w:szCs w:val="21"/>
                <w:highlight w:val="none"/>
                <w:lang w:val="en-US" w:eastAsia="zh-CN"/>
              </w:rPr>
              <w:t>见第一章招标公告。</w:t>
            </w:r>
          </w:p>
        </w:tc>
      </w:tr>
      <w:tr w14:paraId="20FDF494">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58C35C15">
            <w:pPr>
              <w:keepLines w:val="0"/>
              <w:pageBreakBefore w:val="0"/>
              <w:kinsoku/>
              <w:wordWrap/>
              <w:overflowPunct/>
              <w:topLinePunct w:val="0"/>
              <w:bidi w:val="0"/>
              <w:adjustRightInd w:val="0"/>
              <w:snapToGrid w:val="0"/>
              <w:spacing w:before="100" w:beforeAutospacing="1" w:after="100" w:afterAutospacing="1" w:line="360" w:lineRule="exact"/>
              <w:jc w:val="center"/>
              <w:rPr>
                <w:rFonts w:hint="eastAsia" w:ascii="宋体" w:hAnsi="宋体" w:eastAsia="宋体" w:cs="宋体"/>
                <w:sz w:val="21"/>
                <w:szCs w:val="21"/>
              </w:rPr>
            </w:pPr>
            <w:r>
              <w:rPr>
                <w:rFonts w:hint="eastAsia" w:ascii="宋体" w:hAnsi="宋体" w:eastAsia="宋体" w:cs="宋体"/>
                <w:color w:val="auto"/>
                <w:sz w:val="21"/>
                <w:szCs w:val="21"/>
                <w:highlight w:val="none"/>
              </w:rPr>
              <w:t>1.4.3</w:t>
            </w:r>
          </w:p>
        </w:tc>
        <w:tc>
          <w:tcPr>
            <w:tcW w:w="2006" w:type="dxa"/>
            <w:tcBorders>
              <w:top w:val="single" w:color="000000" w:sz="4" w:space="0"/>
              <w:left w:val="single" w:color="000000" w:sz="4" w:space="0"/>
              <w:bottom w:val="single" w:color="000000" w:sz="4" w:space="0"/>
              <w:right w:val="single" w:color="000000" w:sz="4" w:space="0"/>
            </w:tcBorders>
            <w:vAlign w:val="center"/>
          </w:tcPr>
          <w:p w14:paraId="2284794C">
            <w:pPr>
              <w:pStyle w:val="10"/>
              <w:keepNext/>
              <w:keepLines w:val="0"/>
              <w:pageBreakBefore w:val="0"/>
              <w:shd w:val="clear" w:color="auto" w:fill="auto"/>
              <w:kinsoku/>
              <w:wordWrap/>
              <w:overflowPunct/>
              <w:topLinePunct w:val="0"/>
              <w:bidi w:val="0"/>
              <w:spacing w:line="360" w:lineRule="exact"/>
              <w:ind w:firstLine="0"/>
              <w:jc w:val="center"/>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投标人不得存在的</w:t>
            </w:r>
          </w:p>
          <w:p w14:paraId="68843E6E">
            <w:pPr>
              <w:keepLines w:val="0"/>
              <w:pageBreakBefore w:val="0"/>
              <w:kinsoku/>
              <w:wordWrap/>
              <w:overflowPunct/>
              <w:topLinePunct w:val="0"/>
              <w:bidi w:val="0"/>
              <w:spacing w:line="360" w:lineRule="exact"/>
              <w:jc w:val="center"/>
              <w:rPr>
                <w:rFonts w:hint="eastAsia" w:ascii="宋体" w:hAnsi="宋体" w:eastAsia="宋体" w:cs="宋体"/>
                <w:sz w:val="21"/>
                <w:szCs w:val="21"/>
              </w:rPr>
            </w:pPr>
            <w:r>
              <w:rPr>
                <w:rFonts w:hint="eastAsia" w:ascii="宋体" w:hAnsi="宋体" w:eastAsia="宋体" w:cs="宋体"/>
                <w:color w:val="auto"/>
                <w:sz w:val="21"/>
                <w:szCs w:val="21"/>
                <w:highlight w:val="none"/>
              </w:rPr>
              <w:t>其他关联情形</w:t>
            </w:r>
          </w:p>
        </w:tc>
        <w:tc>
          <w:tcPr>
            <w:tcW w:w="6516" w:type="dxa"/>
            <w:tcBorders>
              <w:top w:val="single" w:color="000000" w:sz="4" w:space="0"/>
              <w:left w:val="single" w:color="000000" w:sz="4" w:space="0"/>
              <w:bottom w:val="single" w:color="000000" w:sz="4" w:space="0"/>
              <w:right w:val="single" w:color="auto" w:sz="12" w:space="0"/>
            </w:tcBorders>
            <w:vAlign w:val="center"/>
          </w:tcPr>
          <w:p w14:paraId="3A210D09">
            <w:pPr>
              <w:keepLines w:val="0"/>
              <w:pageBreakBefore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color w:val="auto"/>
                <w:kern w:val="0"/>
                <w:sz w:val="21"/>
                <w:szCs w:val="21"/>
                <w:highlight w:val="none"/>
              </w:rPr>
              <w:t>/</w:t>
            </w:r>
          </w:p>
        </w:tc>
      </w:tr>
      <w:tr w14:paraId="6DFFA35A">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499C913B">
            <w:pPr>
              <w:keepLines w:val="0"/>
              <w:pageBreakBefore w:val="0"/>
              <w:kinsoku/>
              <w:wordWrap/>
              <w:overflowPunct/>
              <w:topLinePunct w:val="0"/>
              <w:bidi w:val="0"/>
              <w:adjustRightInd w:val="0"/>
              <w:snapToGrid w:val="0"/>
              <w:spacing w:before="100" w:beforeAutospacing="1" w:after="100" w:afterAutospacing="1" w:line="360" w:lineRule="exact"/>
              <w:jc w:val="center"/>
              <w:rPr>
                <w:rFonts w:hint="eastAsia" w:ascii="宋体" w:hAnsi="宋体" w:eastAsia="宋体" w:cs="宋体"/>
                <w:sz w:val="21"/>
                <w:szCs w:val="21"/>
              </w:rPr>
            </w:pPr>
            <w:r>
              <w:rPr>
                <w:rFonts w:hint="eastAsia" w:ascii="宋体" w:hAnsi="宋体" w:eastAsia="宋体" w:cs="宋体"/>
                <w:color w:val="auto"/>
                <w:sz w:val="21"/>
                <w:szCs w:val="21"/>
                <w:highlight w:val="none"/>
              </w:rPr>
              <w:t>1.4.4</w:t>
            </w:r>
          </w:p>
        </w:tc>
        <w:tc>
          <w:tcPr>
            <w:tcW w:w="2006" w:type="dxa"/>
            <w:tcBorders>
              <w:top w:val="single" w:color="000000" w:sz="4" w:space="0"/>
              <w:left w:val="single" w:color="000000" w:sz="4" w:space="0"/>
              <w:bottom w:val="single" w:color="000000" w:sz="4" w:space="0"/>
              <w:right w:val="single" w:color="000000" w:sz="4" w:space="0"/>
            </w:tcBorders>
            <w:vAlign w:val="center"/>
          </w:tcPr>
          <w:p w14:paraId="675FABF4">
            <w:pPr>
              <w:pStyle w:val="10"/>
              <w:keepNext/>
              <w:keepLines w:val="0"/>
              <w:pageBreakBefore w:val="0"/>
              <w:shd w:val="clear" w:color="auto" w:fill="auto"/>
              <w:kinsoku/>
              <w:wordWrap/>
              <w:overflowPunct/>
              <w:topLinePunct w:val="0"/>
              <w:bidi w:val="0"/>
              <w:spacing w:line="360" w:lineRule="exact"/>
              <w:ind w:firstLine="0"/>
              <w:jc w:val="center"/>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投标人不得存在的</w:t>
            </w:r>
          </w:p>
          <w:p w14:paraId="0E334C2B">
            <w:pPr>
              <w:pStyle w:val="10"/>
              <w:keepNext/>
              <w:keepLines w:val="0"/>
              <w:pageBreakBefore w:val="0"/>
              <w:shd w:val="clear" w:color="auto" w:fill="auto"/>
              <w:kinsoku/>
              <w:wordWrap/>
              <w:overflowPunct/>
              <w:topLinePunct w:val="0"/>
              <w:bidi w:val="0"/>
              <w:spacing w:line="360" w:lineRule="exact"/>
              <w:ind w:firstLine="0" w:firstLineChars="0"/>
              <w:jc w:val="center"/>
              <w:rPr>
                <w:rFonts w:hint="eastAsia" w:ascii="宋体" w:hAnsi="宋体" w:eastAsia="宋体" w:cs="宋体"/>
                <w:sz w:val="21"/>
                <w:szCs w:val="21"/>
                <w:lang w:val="en-US" w:bidi="ar-SA"/>
              </w:rPr>
            </w:pPr>
            <w:r>
              <w:rPr>
                <w:rFonts w:hint="eastAsia" w:ascii="宋体" w:hAnsi="宋体" w:eastAsia="宋体" w:cs="宋体"/>
                <w:color w:val="auto"/>
                <w:kern w:val="2"/>
                <w:sz w:val="21"/>
                <w:szCs w:val="21"/>
                <w:highlight w:val="none"/>
                <w:lang w:val="en-US" w:bidi="ar-SA"/>
              </w:rPr>
              <w:t>其他不良状况或不良信用记录</w:t>
            </w:r>
          </w:p>
        </w:tc>
        <w:tc>
          <w:tcPr>
            <w:tcW w:w="6516" w:type="dxa"/>
            <w:tcBorders>
              <w:top w:val="single" w:color="000000" w:sz="4" w:space="0"/>
              <w:left w:val="single" w:color="000000" w:sz="4" w:space="0"/>
              <w:bottom w:val="single" w:color="000000" w:sz="4" w:space="0"/>
              <w:right w:val="single" w:color="auto" w:sz="12" w:space="0"/>
            </w:tcBorders>
            <w:vAlign w:val="center"/>
          </w:tcPr>
          <w:p w14:paraId="58206641">
            <w:pPr>
              <w:keepLines w:val="0"/>
              <w:pageBreakBefore w:val="0"/>
              <w:kinsoku/>
              <w:wordWrap/>
              <w:overflowPunct/>
              <w:topLinePunct w:val="0"/>
              <w:bidi w:val="0"/>
              <w:spacing w:line="360" w:lineRule="exact"/>
              <w:rPr>
                <w:rFonts w:hint="eastAsia" w:ascii="宋体" w:hAnsi="宋体" w:eastAsia="宋体" w:cs="宋体"/>
                <w:sz w:val="21"/>
                <w:szCs w:val="21"/>
              </w:rPr>
            </w:pPr>
            <w:r>
              <w:rPr>
                <w:rFonts w:hint="eastAsia" w:ascii="宋体" w:hAnsi="宋体" w:eastAsia="宋体" w:cs="宋体"/>
                <w:color w:val="auto"/>
                <w:kern w:val="0"/>
                <w:sz w:val="21"/>
                <w:szCs w:val="21"/>
                <w:highlight w:val="none"/>
              </w:rPr>
              <w:t>/</w:t>
            </w:r>
          </w:p>
        </w:tc>
      </w:tr>
    </w:tbl>
    <w:p w14:paraId="5EB4759A">
      <w:pPr>
        <w:keepLines w:val="0"/>
        <w:pageBreakBefore w:val="0"/>
        <w:kinsoku/>
        <w:wordWrap/>
        <w:overflowPunct/>
        <w:topLinePunct w:val="0"/>
        <w:bidi w:val="0"/>
        <w:spacing w:line="360" w:lineRule="exact"/>
        <w:rPr>
          <w:rFonts w:hint="eastAsia" w:ascii="宋体" w:hAnsi="宋体" w:eastAsia="宋体" w:cs="宋体"/>
          <w:sz w:val="21"/>
          <w:szCs w:val="21"/>
          <w:highlight w:val="none"/>
        </w:rPr>
      </w:pPr>
      <w:bookmarkStart w:id="0" w:name="_Toc152045534"/>
      <w:bookmarkStart w:id="1" w:name="_Toc152042310"/>
      <w:bookmarkStart w:id="2" w:name="_Toc179632551"/>
      <w:bookmarkStart w:id="3" w:name="_Toc144974502"/>
      <w:bookmarkStart w:id="4" w:name="_Toc502741808"/>
      <w:bookmarkStart w:id="5" w:name="_Toc109385483"/>
      <w:r>
        <w:rPr>
          <w:rFonts w:hint="eastAsia" w:ascii="宋体" w:hAnsi="宋体" w:eastAsia="宋体" w:cs="宋体"/>
          <w:sz w:val="21"/>
          <w:szCs w:val="21"/>
          <w:highlight w:val="none"/>
        </w:rPr>
        <w:t>1.4投标人资格要求（适用于未进行资格预审的）</w:t>
      </w:r>
      <w:bookmarkEnd w:id="0"/>
      <w:bookmarkEnd w:id="1"/>
      <w:bookmarkEnd w:id="2"/>
      <w:bookmarkEnd w:id="3"/>
      <w:bookmarkEnd w:id="4"/>
    </w:p>
    <w:p w14:paraId="11F7B47F">
      <w:pPr>
        <w:keepLines w:val="0"/>
        <w:pageBreakBefore w:val="0"/>
        <w:kinsoku/>
        <w:wordWrap/>
        <w:overflowPunct/>
        <w:topLinePunct w:val="0"/>
        <w:bidi w:val="0"/>
        <w:spacing w:line="3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1.4.1投标人应具备承担本标段勘察设计的资质条件、能力和信誉。</w:t>
      </w:r>
    </w:p>
    <w:p w14:paraId="5B24A6A1">
      <w:pPr>
        <w:keepLines w:val="0"/>
        <w:pageBreakBefore w:val="0"/>
        <w:tabs>
          <w:tab w:val="left" w:pos="993"/>
        </w:tabs>
        <w:kinsoku/>
        <w:wordWrap/>
        <w:overflowPunct/>
        <w:topLinePunct w:val="0"/>
        <w:bidi w:val="0"/>
        <w:spacing w:line="360" w:lineRule="exact"/>
        <w:ind w:left="426" w:hanging="6"/>
        <w:rPr>
          <w:rFonts w:hint="eastAsia" w:ascii="宋体" w:hAnsi="宋体" w:eastAsia="宋体" w:cs="宋体"/>
          <w:sz w:val="21"/>
          <w:szCs w:val="21"/>
          <w:highlight w:val="none"/>
        </w:rPr>
      </w:pPr>
      <w:r>
        <w:rPr>
          <w:rFonts w:hint="eastAsia" w:ascii="宋体" w:hAnsi="宋体" w:eastAsia="宋体" w:cs="宋体"/>
          <w:sz w:val="21"/>
          <w:szCs w:val="21"/>
          <w:highlight w:val="none"/>
        </w:rPr>
        <w:t>（1）资质要求：见投标人须知前附表；</w:t>
      </w:r>
    </w:p>
    <w:p w14:paraId="66537D09">
      <w:pPr>
        <w:keepLines w:val="0"/>
        <w:pageBreakBefore w:val="0"/>
        <w:tabs>
          <w:tab w:val="left" w:pos="993"/>
        </w:tabs>
        <w:kinsoku/>
        <w:wordWrap/>
        <w:overflowPunct/>
        <w:topLinePunct w:val="0"/>
        <w:bidi w:val="0"/>
        <w:spacing w:line="360" w:lineRule="exact"/>
        <w:ind w:left="426" w:hanging="6"/>
        <w:rPr>
          <w:rFonts w:hint="eastAsia" w:ascii="宋体" w:hAnsi="宋体" w:eastAsia="宋体" w:cs="宋体"/>
          <w:sz w:val="21"/>
          <w:szCs w:val="21"/>
          <w:highlight w:val="none"/>
        </w:rPr>
      </w:pPr>
      <w:r>
        <w:rPr>
          <w:rFonts w:hint="eastAsia" w:ascii="宋体" w:hAnsi="宋体" w:eastAsia="宋体" w:cs="宋体"/>
          <w:sz w:val="21"/>
          <w:szCs w:val="21"/>
          <w:highlight w:val="none"/>
        </w:rPr>
        <w:t>（2）业绩要求：见投标人须知前附表；</w:t>
      </w:r>
    </w:p>
    <w:p w14:paraId="21D1E60F">
      <w:pPr>
        <w:keepLines w:val="0"/>
        <w:pageBreakBefore w:val="0"/>
        <w:tabs>
          <w:tab w:val="left" w:pos="993"/>
        </w:tabs>
        <w:kinsoku/>
        <w:wordWrap/>
        <w:overflowPunct/>
        <w:topLinePunct w:val="0"/>
        <w:bidi w:val="0"/>
        <w:spacing w:line="360" w:lineRule="exact"/>
        <w:ind w:left="426" w:hanging="6"/>
        <w:rPr>
          <w:rFonts w:hint="eastAsia" w:ascii="宋体" w:hAnsi="宋体" w:eastAsia="宋体" w:cs="宋体"/>
          <w:sz w:val="21"/>
          <w:szCs w:val="21"/>
          <w:highlight w:val="none"/>
        </w:rPr>
      </w:pPr>
      <w:r>
        <w:rPr>
          <w:rFonts w:hint="eastAsia" w:ascii="宋体" w:hAnsi="宋体" w:eastAsia="宋体" w:cs="宋体"/>
          <w:sz w:val="21"/>
          <w:szCs w:val="21"/>
          <w:highlight w:val="none"/>
        </w:rPr>
        <w:t>（3）信誉要求：见投标人须知前附表；</w:t>
      </w:r>
    </w:p>
    <w:p w14:paraId="20FE0C73">
      <w:pPr>
        <w:keepLines w:val="0"/>
        <w:pageBreakBefore w:val="0"/>
        <w:tabs>
          <w:tab w:val="left" w:pos="993"/>
        </w:tabs>
        <w:kinsoku/>
        <w:wordWrap/>
        <w:overflowPunct/>
        <w:topLinePunct w:val="0"/>
        <w:bidi w:val="0"/>
        <w:spacing w:line="360" w:lineRule="exact"/>
        <w:ind w:left="426" w:hanging="6"/>
        <w:rPr>
          <w:rFonts w:hint="eastAsia" w:ascii="宋体" w:hAnsi="宋体" w:eastAsia="宋体" w:cs="宋体"/>
          <w:sz w:val="21"/>
          <w:szCs w:val="21"/>
          <w:highlight w:val="none"/>
        </w:rPr>
      </w:pPr>
      <w:r>
        <w:rPr>
          <w:rFonts w:hint="eastAsia" w:ascii="宋体" w:hAnsi="宋体" w:eastAsia="宋体" w:cs="宋体"/>
          <w:sz w:val="21"/>
          <w:szCs w:val="21"/>
          <w:highlight w:val="none"/>
        </w:rPr>
        <w:t>（4）项目负责人资格：见投标人须知前附表；</w:t>
      </w:r>
    </w:p>
    <w:p w14:paraId="5D709DE0">
      <w:pPr>
        <w:keepLines w:val="0"/>
        <w:pageBreakBefore w:val="0"/>
        <w:tabs>
          <w:tab w:val="left" w:pos="993"/>
        </w:tabs>
        <w:kinsoku/>
        <w:wordWrap/>
        <w:overflowPunct/>
        <w:topLinePunct w:val="0"/>
        <w:bidi w:val="0"/>
        <w:spacing w:line="360" w:lineRule="exact"/>
        <w:ind w:left="426" w:hanging="6"/>
        <w:rPr>
          <w:rFonts w:hint="eastAsia" w:ascii="宋体" w:hAnsi="宋体" w:eastAsia="宋体" w:cs="宋体"/>
          <w:sz w:val="21"/>
          <w:szCs w:val="21"/>
          <w:highlight w:val="none"/>
        </w:rPr>
      </w:pPr>
      <w:r>
        <w:rPr>
          <w:rFonts w:hint="eastAsia" w:ascii="宋体" w:hAnsi="宋体" w:eastAsia="宋体" w:cs="宋体"/>
          <w:sz w:val="21"/>
          <w:szCs w:val="21"/>
          <w:highlight w:val="none"/>
        </w:rPr>
        <w:t>（5）其他要求：见投标人须知前附表。</w:t>
      </w:r>
    </w:p>
    <w:p w14:paraId="3BC085DC">
      <w:pPr>
        <w:keepLines w:val="0"/>
        <w:pageBreakBefore w:val="0"/>
        <w:kinsoku/>
        <w:wordWrap/>
        <w:overflowPunct/>
        <w:topLinePunct w:val="0"/>
        <w:bidi w:val="0"/>
        <w:spacing w:line="3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需要提交的相关证明材料见本章第3.5款的规定。</w:t>
      </w:r>
    </w:p>
    <w:p w14:paraId="7552E36D">
      <w:pPr>
        <w:keepLines w:val="0"/>
        <w:pageBreakBefore w:val="0"/>
        <w:kinsoku/>
        <w:wordWrap/>
        <w:overflowPunct/>
        <w:topLinePunct w:val="0"/>
        <w:bidi w:val="0"/>
        <w:spacing w:line="3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1.4.2投标人须知前附表规定接受联合体投标的，联合体除应符合本章第1.4.1项和投标人须知前附表的要求外，还应遵守以下规定：</w:t>
      </w:r>
    </w:p>
    <w:p w14:paraId="44DAF2D8">
      <w:pPr>
        <w:keepLines w:val="0"/>
        <w:pageBreakBefore w:val="0"/>
        <w:tabs>
          <w:tab w:val="left" w:pos="993"/>
        </w:tabs>
        <w:kinsoku/>
        <w:wordWrap/>
        <w:overflowPunct/>
        <w:topLinePunct w:val="0"/>
        <w:bidi w:val="0"/>
        <w:spacing w:line="36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（1）联合体各方应按招标文件提供的格式签订联合体协议书，明确联合体牵头人和各方权利义务，并承诺就中标项目向招标人承担连带责任；</w:t>
      </w:r>
    </w:p>
    <w:p w14:paraId="75132595">
      <w:pPr>
        <w:keepLines w:val="0"/>
        <w:pageBreakBefore w:val="0"/>
        <w:tabs>
          <w:tab w:val="left" w:pos="993"/>
        </w:tabs>
        <w:kinsoku/>
        <w:wordWrap/>
        <w:overflowPunct/>
        <w:topLinePunct w:val="0"/>
        <w:bidi w:val="0"/>
        <w:spacing w:line="36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（2）由同一专业的单位组成的联合体，按照资质等级较低的单位确定资质等级；</w:t>
      </w:r>
    </w:p>
    <w:p w14:paraId="256122E8">
      <w:pPr>
        <w:keepLines w:val="0"/>
        <w:pageBreakBefore w:val="0"/>
        <w:tabs>
          <w:tab w:val="left" w:pos="993"/>
        </w:tabs>
        <w:kinsoku/>
        <w:wordWrap/>
        <w:overflowPunct/>
        <w:topLinePunct w:val="0"/>
        <w:bidi w:val="0"/>
        <w:spacing w:line="36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（3）联合体各方不得再以自已名义单独或参加其他联合体在同一标段中投标；</w:t>
      </w:r>
    </w:p>
    <w:p w14:paraId="74C01769">
      <w:pPr>
        <w:keepLines w:val="0"/>
        <w:pageBreakBefore w:val="0"/>
        <w:tabs>
          <w:tab w:val="left" w:pos="993"/>
        </w:tabs>
        <w:kinsoku/>
        <w:wordWrap/>
        <w:overflowPunct/>
        <w:topLinePunct w:val="0"/>
        <w:bidi w:val="0"/>
        <w:spacing w:line="36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4）联合体各方应分别按照本招标文件的要求，填写投标文件中的相应表格，并由联合体牵头人负责对联合体各成员的资料进行统一汇总后一并提交给招标人；联合体牵头人所提交的投标文件应认为已代表了联合体各成员的真实情况；</w:t>
      </w:r>
    </w:p>
    <w:p w14:paraId="6A6FACA4">
      <w:pPr>
        <w:keepLines w:val="0"/>
        <w:pageBreakBefore w:val="0"/>
        <w:tabs>
          <w:tab w:val="left" w:pos="993"/>
        </w:tabs>
        <w:kinsoku/>
        <w:wordWrap/>
        <w:overflowPunct/>
        <w:topLinePunct w:val="0"/>
        <w:bidi w:val="0"/>
        <w:spacing w:line="36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（5）尽管委任了联合体牵头人，但联合体各成员在投标、签订合同与履行合同过程中，仍负有连带的和各自的法律责任。</w:t>
      </w:r>
    </w:p>
    <w:p w14:paraId="18874F7C">
      <w:pPr>
        <w:keepLines w:val="0"/>
        <w:pageBreakBefore w:val="0"/>
        <w:kinsoku/>
        <w:wordWrap/>
        <w:overflowPunct/>
        <w:topLinePunct w:val="0"/>
        <w:bidi w:val="0"/>
        <w:spacing w:line="3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1.4.3投标人（包括联合体各成员）不得与本标段相关单位存在下列关联情形：</w:t>
      </w:r>
    </w:p>
    <w:p w14:paraId="4D7778ED">
      <w:pPr>
        <w:keepLines w:val="0"/>
        <w:pageBreakBefore w:val="0"/>
        <w:tabs>
          <w:tab w:val="left" w:pos="993"/>
          <w:tab w:val="left" w:pos="1276"/>
        </w:tabs>
        <w:kinsoku/>
        <w:wordWrap/>
        <w:overflowPunct/>
        <w:topLinePunct w:val="0"/>
        <w:bidi w:val="0"/>
        <w:spacing w:line="36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（1）为招标人不具有独立法人资格的附属机构（单位）；</w:t>
      </w:r>
    </w:p>
    <w:p w14:paraId="0B501818">
      <w:pPr>
        <w:keepLines w:val="0"/>
        <w:pageBreakBefore w:val="0"/>
        <w:tabs>
          <w:tab w:val="left" w:pos="993"/>
          <w:tab w:val="left" w:pos="1276"/>
        </w:tabs>
        <w:kinsoku/>
        <w:wordWrap/>
        <w:overflowPunct/>
        <w:topLinePunct w:val="0"/>
        <w:bidi w:val="0"/>
        <w:spacing w:line="36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（2）与招标人存在利害关系且可能影响招标公正性；</w:t>
      </w:r>
    </w:p>
    <w:p w14:paraId="27B1C066">
      <w:pPr>
        <w:keepLines w:val="0"/>
        <w:pageBreakBefore w:val="0"/>
        <w:tabs>
          <w:tab w:val="left" w:pos="993"/>
          <w:tab w:val="left" w:pos="1276"/>
        </w:tabs>
        <w:kinsoku/>
        <w:wordWrap/>
        <w:overflowPunct/>
        <w:topLinePunct w:val="0"/>
        <w:bidi w:val="0"/>
        <w:spacing w:line="36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（3）与本标段的其他投标人同为一个单位负责人；</w:t>
      </w:r>
    </w:p>
    <w:p w14:paraId="0CFDF9D3">
      <w:pPr>
        <w:keepLines w:val="0"/>
        <w:pageBreakBefore w:val="0"/>
        <w:tabs>
          <w:tab w:val="left" w:pos="993"/>
          <w:tab w:val="left" w:pos="1276"/>
        </w:tabs>
        <w:kinsoku/>
        <w:wordWrap/>
        <w:overflowPunct/>
        <w:topLinePunct w:val="0"/>
        <w:bidi w:val="0"/>
        <w:spacing w:line="36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（4）与本标段的其他投标人存在控股、管理关系；</w:t>
      </w:r>
    </w:p>
    <w:p w14:paraId="49506E87">
      <w:pPr>
        <w:keepLines w:val="0"/>
        <w:pageBreakBefore w:val="0"/>
        <w:tabs>
          <w:tab w:val="left" w:pos="993"/>
          <w:tab w:val="left" w:pos="1276"/>
        </w:tabs>
        <w:kinsoku/>
        <w:wordWrap/>
        <w:overflowPunct/>
        <w:topLinePunct w:val="0"/>
        <w:bidi w:val="0"/>
        <w:spacing w:line="36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（5）为本标段的代建人；</w:t>
      </w:r>
    </w:p>
    <w:p w14:paraId="116B6A93">
      <w:pPr>
        <w:keepLines w:val="0"/>
        <w:pageBreakBefore w:val="0"/>
        <w:tabs>
          <w:tab w:val="left" w:pos="993"/>
          <w:tab w:val="left" w:pos="1276"/>
        </w:tabs>
        <w:kinsoku/>
        <w:wordWrap/>
        <w:overflowPunct/>
        <w:topLinePunct w:val="0"/>
        <w:bidi w:val="0"/>
        <w:spacing w:line="36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（6）为本标段的招标代理机构；</w:t>
      </w:r>
    </w:p>
    <w:p w14:paraId="771B4CF3">
      <w:pPr>
        <w:keepLines w:val="0"/>
        <w:pageBreakBefore w:val="0"/>
        <w:tabs>
          <w:tab w:val="left" w:pos="993"/>
          <w:tab w:val="left" w:pos="1276"/>
        </w:tabs>
        <w:kinsoku/>
        <w:wordWrap/>
        <w:overflowPunct/>
        <w:topLinePunct w:val="0"/>
        <w:bidi w:val="0"/>
        <w:spacing w:line="36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（7）与本标段的代建人或招标代理机构同为一个法定代表人；</w:t>
      </w:r>
    </w:p>
    <w:p w14:paraId="2F4FF9CF">
      <w:pPr>
        <w:keepLines w:val="0"/>
        <w:pageBreakBefore w:val="0"/>
        <w:tabs>
          <w:tab w:val="left" w:pos="993"/>
          <w:tab w:val="left" w:pos="1276"/>
        </w:tabs>
        <w:kinsoku/>
        <w:wordWrap/>
        <w:overflowPunct/>
        <w:topLinePunct w:val="0"/>
        <w:bidi w:val="0"/>
        <w:spacing w:line="36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（8）与本标段的代建人或招标代理机构存在控股或参股关系；</w:t>
      </w:r>
    </w:p>
    <w:p w14:paraId="215B9614">
      <w:pPr>
        <w:keepLines w:val="0"/>
        <w:pageBreakBefore w:val="0"/>
        <w:tabs>
          <w:tab w:val="left" w:pos="993"/>
          <w:tab w:val="left" w:pos="1276"/>
        </w:tabs>
        <w:kinsoku/>
        <w:wordWrap/>
        <w:overflowPunct/>
        <w:topLinePunct w:val="0"/>
        <w:bidi w:val="0"/>
        <w:spacing w:line="36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（9）法律法规或投标人须知前附表规定的其他情形。</w:t>
      </w:r>
    </w:p>
    <w:p w14:paraId="2A8FF836">
      <w:pPr>
        <w:keepLines w:val="0"/>
        <w:pageBreakBefore w:val="0"/>
        <w:kinsoku/>
        <w:wordWrap/>
        <w:overflowPunct/>
        <w:topLinePunct w:val="0"/>
        <w:bidi w:val="0"/>
        <w:spacing w:line="3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1.4.4投标人（包括联合体各成员）不得存在下列不良状况或不良信用记录：</w:t>
      </w:r>
    </w:p>
    <w:p w14:paraId="3197D2C2">
      <w:pPr>
        <w:keepLines w:val="0"/>
        <w:pageBreakBefore w:val="0"/>
        <w:tabs>
          <w:tab w:val="left" w:pos="993"/>
        </w:tabs>
        <w:kinsoku/>
        <w:wordWrap/>
        <w:overflowPunct/>
        <w:topLinePunct w:val="0"/>
        <w:bidi w:val="0"/>
        <w:spacing w:line="36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（1）被省级及以上交通运输主管部门取消招标项目所在地的投标资格且处于有效期内；</w:t>
      </w:r>
    </w:p>
    <w:p w14:paraId="3F1DF3D4">
      <w:pPr>
        <w:keepLines w:val="0"/>
        <w:pageBreakBefore w:val="0"/>
        <w:tabs>
          <w:tab w:val="left" w:pos="993"/>
        </w:tabs>
        <w:kinsoku/>
        <w:wordWrap/>
        <w:overflowPunct/>
        <w:topLinePunct w:val="0"/>
        <w:bidi w:val="0"/>
        <w:spacing w:line="36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（2）被责令停业，暂扣或吊销执照，或吊销资质证书；</w:t>
      </w:r>
    </w:p>
    <w:p w14:paraId="11B384DD">
      <w:pPr>
        <w:keepLines w:val="0"/>
        <w:pageBreakBefore w:val="0"/>
        <w:tabs>
          <w:tab w:val="left" w:pos="993"/>
        </w:tabs>
        <w:kinsoku/>
        <w:wordWrap/>
        <w:overflowPunct/>
        <w:topLinePunct w:val="0"/>
        <w:bidi w:val="0"/>
        <w:spacing w:line="36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（3）进入清算程序，或被宣告破产，或其他丧失履约能力的情形；</w:t>
      </w:r>
    </w:p>
    <w:p w14:paraId="54F9D5E6">
      <w:pPr>
        <w:keepLines w:val="0"/>
        <w:pageBreakBefore w:val="0"/>
        <w:tabs>
          <w:tab w:val="left" w:pos="993"/>
        </w:tabs>
        <w:kinsoku/>
        <w:wordWrap/>
        <w:overflowPunct/>
        <w:topLinePunct w:val="0"/>
        <w:bidi w:val="0"/>
        <w:spacing w:line="36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（4）在国家企业信用信息公示系统（http://www.gsxt.gov.cn/</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中被列入严重违法失信企业名单；</w:t>
      </w:r>
    </w:p>
    <w:p w14:paraId="3374F0D6">
      <w:pPr>
        <w:keepLines w:val="0"/>
        <w:pageBreakBefore w:val="0"/>
        <w:tabs>
          <w:tab w:val="left" w:pos="993"/>
        </w:tabs>
        <w:kinsoku/>
        <w:wordWrap/>
        <w:overflowPunct/>
        <w:topLinePunct w:val="0"/>
        <w:bidi w:val="0"/>
        <w:spacing w:line="36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（5）在“信用中国”网站（http://www.creditchina.gov.cn/</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中被列入失信被执行人名单；</w:t>
      </w:r>
    </w:p>
    <w:p w14:paraId="512CB461">
      <w:pPr>
        <w:keepLines w:val="0"/>
        <w:pageBreakBefore w:val="0"/>
        <w:tabs>
          <w:tab w:val="left" w:pos="993"/>
        </w:tabs>
        <w:kinsoku/>
        <w:wordWrap/>
        <w:overflowPunct/>
        <w:topLinePunct w:val="0"/>
        <w:bidi w:val="0"/>
        <w:spacing w:line="36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（6）投标人或其法定代表人、拟委任的项目负责人在近三年内有行贿犯罪行为的；</w:t>
      </w:r>
    </w:p>
    <w:p w14:paraId="72CB04B3">
      <w:pPr>
        <w:keepLines w:val="0"/>
        <w:pageBreakBefore w:val="0"/>
        <w:tabs>
          <w:tab w:val="left" w:pos="993"/>
        </w:tabs>
        <w:kinsoku/>
        <w:wordWrap/>
        <w:overflowPunct/>
        <w:topLinePunct w:val="0"/>
        <w:bidi w:val="0"/>
        <w:spacing w:line="36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（7）法律法规或投标人须知前附表规定的其他情形。</w:t>
      </w:r>
    </w:p>
    <w:p w14:paraId="44529F16">
      <w:pPr>
        <w:keepLines w:val="0"/>
        <w:pageBreakBefore w:val="0"/>
        <w:kinsoku/>
        <w:wordWrap/>
        <w:overflowPunct/>
        <w:topLinePunct w:val="0"/>
        <w:autoSpaceDE/>
        <w:autoSpaceDN/>
        <w:bidi w:val="0"/>
        <w:spacing w:line="3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1.4.5投标人（包括联合体各成员）应进入交通运输部“全国公路建设市场监督管理系统（https://hwdms.mot.gov.cn</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”中的公路工程设计资质企业名录，且投标人名称和资质与该名录中的相应企业名称和资质完全一致。投标人不满足本项规定条件的，将被否决投标。</w:t>
      </w:r>
      <w:r>
        <w:rPr>
          <w:rStyle w:val="8"/>
          <w:rFonts w:hint="eastAsia" w:ascii="宋体" w:hAnsi="宋体" w:eastAsia="宋体" w:cs="宋体"/>
          <w:sz w:val="21"/>
          <w:szCs w:val="21"/>
          <w:highlight w:val="none"/>
        </w:rPr>
        <w:footnoteReference w:id="0"/>
      </w:r>
    </w:p>
    <w:p w14:paraId="75AC0B78">
      <w:pPr>
        <w:keepLines w:val="0"/>
        <w:pageBreakBefore w:val="0"/>
        <w:kinsoku/>
        <w:wordWrap/>
        <w:overflowPunct/>
        <w:topLinePunct w:val="0"/>
        <w:autoSpaceDE/>
        <w:autoSpaceDN/>
        <w:bidi w:val="0"/>
        <w:spacing w:line="360" w:lineRule="exact"/>
        <w:rPr>
          <w:rFonts w:hint="eastAsia" w:ascii="宋体" w:hAnsi="宋体" w:eastAsia="宋体" w:cs="宋体"/>
          <w:sz w:val="21"/>
          <w:szCs w:val="21"/>
        </w:rPr>
      </w:pPr>
    </w:p>
    <w:bookmarkEnd w:id="5"/>
    <w:p w14:paraId="7B58F0A6">
      <w:pPr>
        <w:keepLines w:val="0"/>
        <w:pageBreakBefore w:val="0"/>
        <w:kinsoku/>
        <w:wordWrap/>
        <w:overflowPunct/>
        <w:topLinePunct w:val="0"/>
        <w:bidi w:val="0"/>
        <w:spacing w:before="100" w:beforeAutospacing="1" w:line="360" w:lineRule="exact"/>
        <w:jc w:val="center"/>
        <w:outlineLvl w:val="2"/>
        <w:rPr>
          <w:rFonts w:hint="eastAsia" w:ascii="宋体" w:hAnsi="宋体" w:eastAsia="宋体" w:cs="宋体"/>
          <w:b/>
          <w:sz w:val="21"/>
          <w:szCs w:val="21"/>
          <w:highlight w:val="none"/>
        </w:rPr>
      </w:pPr>
      <w:bookmarkStart w:id="6" w:name="_Toc4567"/>
      <w:bookmarkStart w:id="7" w:name="_Toc346800722"/>
      <w:r>
        <w:rPr>
          <w:rFonts w:hint="eastAsia" w:ascii="宋体" w:hAnsi="宋体" w:eastAsia="宋体" w:cs="宋体"/>
          <w:b/>
          <w:sz w:val="21"/>
          <w:szCs w:val="21"/>
          <w:highlight w:val="none"/>
        </w:rPr>
        <w:t>附录1资格审查条件（资质最低要求）</w:t>
      </w:r>
      <w:bookmarkEnd w:id="6"/>
    </w:p>
    <w:tbl>
      <w:tblPr>
        <w:tblStyle w:val="6"/>
        <w:tblW w:w="94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8356"/>
      </w:tblGrid>
      <w:tr w14:paraId="3BDD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65" w:type="dxa"/>
            <w:tcBorders>
              <w:top w:val="single" w:color="auto" w:sz="12" w:space="0"/>
              <w:left w:val="single" w:color="auto" w:sz="12" w:space="0"/>
              <w:right w:val="single" w:color="auto" w:sz="4" w:space="0"/>
            </w:tcBorders>
            <w:vAlign w:val="center"/>
          </w:tcPr>
          <w:p w14:paraId="179AD7B7">
            <w:pPr>
              <w:keepLines w:val="0"/>
              <w:pageBreakBefore w:val="0"/>
              <w:kinsoku/>
              <w:wordWrap/>
              <w:overflowPunct/>
              <w:topLinePunct w:val="0"/>
              <w:bidi w:val="0"/>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标段</w:t>
            </w:r>
          </w:p>
        </w:tc>
        <w:tc>
          <w:tcPr>
            <w:tcW w:w="8356" w:type="dxa"/>
            <w:tcBorders>
              <w:top w:val="single" w:color="auto" w:sz="12" w:space="0"/>
              <w:left w:val="single" w:color="auto" w:sz="4" w:space="0"/>
              <w:right w:val="single" w:color="auto" w:sz="12" w:space="0"/>
            </w:tcBorders>
            <w:vAlign w:val="center"/>
          </w:tcPr>
          <w:p w14:paraId="292721E1">
            <w:pPr>
              <w:keepLines w:val="0"/>
              <w:pageBreakBefore w:val="0"/>
              <w:kinsoku/>
              <w:wordWrap/>
              <w:overflowPunct/>
              <w:topLinePunct w:val="0"/>
              <w:bidi w:val="0"/>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勘察设计企业资质等级要求</w:t>
            </w:r>
          </w:p>
        </w:tc>
      </w:tr>
      <w:tr w14:paraId="4757B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065" w:type="dxa"/>
            <w:tcBorders>
              <w:left w:val="single" w:color="auto" w:sz="12" w:space="0"/>
              <w:right w:val="single" w:color="auto" w:sz="4" w:space="0"/>
            </w:tcBorders>
            <w:vAlign w:val="center"/>
          </w:tcPr>
          <w:p w14:paraId="0DA98EA7">
            <w:pPr>
              <w:keepLines w:val="0"/>
              <w:pageBreakBefore w:val="0"/>
              <w:kinsoku/>
              <w:wordWrap/>
              <w:overflowPunct/>
              <w:topLinePunct w:val="0"/>
              <w:bidi w:val="0"/>
              <w:spacing w:line="360" w:lineRule="exact"/>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LY</w:t>
            </w:r>
            <w:r>
              <w:rPr>
                <w:rFonts w:hint="eastAsia" w:ascii="宋体" w:hAnsi="宋体" w:eastAsia="宋体" w:cs="宋体"/>
                <w:sz w:val="21"/>
                <w:szCs w:val="21"/>
                <w:highlight w:val="none"/>
                <w:lang w:eastAsia="zh-CN"/>
              </w:rPr>
              <w:t>26SJ01</w:t>
            </w:r>
          </w:p>
        </w:tc>
        <w:tc>
          <w:tcPr>
            <w:tcW w:w="8356" w:type="dxa"/>
            <w:tcBorders>
              <w:left w:val="single" w:color="auto" w:sz="4" w:space="0"/>
              <w:right w:val="single" w:color="auto" w:sz="12" w:space="0"/>
            </w:tcBorders>
            <w:vAlign w:val="center"/>
          </w:tcPr>
          <w:p w14:paraId="10FBF4AF">
            <w:pPr>
              <w:keepLines w:val="0"/>
              <w:pageBreakBefore w:val="0"/>
              <w:kinsoku/>
              <w:wordWrap/>
              <w:overflowPunct/>
              <w:topLinePunct w:val="0"/>
              <w:bidi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（1）工程勘察专业类（岩土工程（勘察））</w:t>
            </w:r>
            <w:r>
              <w:rPr>
                <w:rFonts w:hint="eastAsia" w:ascii="宋体" w:hAnsi="宋体" w:eastAsia="宋体" w:cs="宋体"/>
                <w:sz w:val="21"/>
                <w:szCs w:val="21"/>
                <w:highlight w:val="none"/>
                <w:lang w:val="en-US" w:eastAsia="zh-CN"/>
              </w:rPr>
              <w:t>乙</w:t>
            </w:r>
            <w:r>
              <w:rPr>
                <w:rFonts w:hint="eastAsia" w:ascii="宋体" w:hAnsi="宋体" w:eastAsia="宋体" w:cs="宋体"/>
                <w:sz w:val="21"/>
                <w:szCs w:val="21"/>
                <w:highlight w:val="none"/>
              </w:rPr>
              <w:t>级资质；</w:t>
            </w:r>
          </w:p>
          <w:p w14:paraId="3B9AF285">
            <w:pPr>
              <w:keepLines w:val="0"/>
              <w:pageBreakBefore w:val="0"/>
              <w:kinsoku/>
              <w:wordWrap/>
              <w:overflowPunct/>
              <w:topLinePunct w:val="0"/>
              <w:bidi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（2）工程勘察专业类（工程测量）</w:t>
            </w:r>
            <w:r>
              <w:rPr>
                <w:rFonts w:hint="eastAsia" w:ascii="宋体" w:hAnsi="宋体" w:eastAsia="宋体" w:cs="宋体"/>
                <w:sz w:val="21"/>
                <w:szCs w:val="21"/>
                <w:highlight w:val="none"/>
                <w:lang w:val="en-US" w:eastAsia="zh-CN"/>
              </w:rPr>
              <w:t>乙</w:t>
            </w:r>
            <w:r>
              <w:rPr>
                <w:rFonts w:hint="eastAsia" w:ascii="宋体" w:hAnsi="宋体" w:eastAsia="宋体" w:cs="宋体"/>
                <w:sz w:val="21"/>
                <w:szCs w:val="21"/>
                <w:highlight w:val="none"/>
              </w:rPr>
              <w:t>级资质；</w:t>
            </w:r>
          </w:p>
          <w:p w14:paraId="3D36E48A">
            <w:pPr>
              <w:keepLines w:val="0"/>
              <w:pageBreakBefore w:val="0"/>
              <w:kinsoku/>
              <w:wordWrap/>
              <w:overflowPunct/>
              <w:topLinePunct w:val="0"/>
              <w:bidi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（3）工程设计公路行业（公路）专业甲级资质。</w:t>
            </w:r>
          </w:p>
        </w:tc>
      </w:tr>
    </w:tbl>
    <w:p w14:paraId="054A5997">
      <w:pPr>
        <w:keepLines w:val="0"/>
        <w:pageBreakBefore w:val="0"/>
        <w:kinsoku/>
        <w:wordWrap/>
        <w:overflowPunct/>
        <w:topLinePunct w:val="0"/>
        <w:bidi w:val="0"/>
        <w:spacing w:before="100" w:beforeAutospacing="1" w:line="360" w:lineRule="exact"/>
        <w:jc w:val="center"/>
        <w:outlineLvl w:val="2"/>
        <w:rPr>
          <w:rFonts w:hint="eastAsia" w:ascii="宋体" w:hAnsi="宋体" w:eastAsia="宋体" w:cs="宋体"/>
          <w:b/>
          <w:sz w:val="21"/>
          <w:szCs w:val="21"/>
          <w:highlight w:val="none"/>
        </w:rPr>
      </w:pPr>
      <w:bookmarkStart w:id="8" w:name="_Toc6537"/>
      <w:bookmarkStart w:id="9" w:name="_Toc51622568"/>
      <w:r>
        <w:rPr>
          <w:rFonts w:hint="eastAsia" w:ascii="宋体" w:hAnsi="宋体" w:eastAsia="宋体" w:cs="宋体"/>
          <w:b/>
          <w:sz w:val="21"/>
          <w:szCs w:val="21"/>
          <w:highlight w:val="none"/>
        </w:rPr>
        <w:t>附录2资格审查条件（业绩最低要求）</w:t>
      </w:r>
      <w:bookmarkEnd w:id="8"/>
      <w:bookmarkEnd w:id="9"/>
    </w:p>
    <w:tbl>
      <w:tblPr>
        <w:tblStyle w:val="6"/>
        <w:tblW w:w="9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5"/>
      </w:tblGrid>
      <w:tr w14:paraId="0AC8F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425" w:type="dxa"/>
            <w:tcBorders>
              <w:top w:val="single" w:color="auto" w:sz="12" w:space="0"/>
              <w:left w:val="single" w:color="auto" w:sz="12" w:space="0"/>
              <w:right w:val="single" w:color="auto" w:sz="12" w:space="0"/>
            </w:tcBorders>
            <w:vAlign w:val="center"/>
          </w:tcPr>
          <w:p w14:paraId="631B8749">
            <w:pPr>
              <w:keepLines w:val="0"/>
              <w:pageBreakBefore w:val="0"/>
              <w:kinsoku/>
              <w:wordWrap/>
              <w:overflowPunct/>
              <w:topLinePunct w:val="0"/>
              <w:bidi w:val="0"/>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业绩要求</w:t>
            </w:r>
          </w:p>
        </w:tc>
      </w:tr>
      <w:tr w14:paraId="58940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425" w:type="dxa"/>
            <w:tcBorders>
              <w:left w:val="single" w:color="auto" w:sz="12" w:space="0"/>
              <w:right w:val="single" w:color="auto" w:sz="12" w:space="0"/>
            </w:tcBorders>
            <w:vAlign w:val="center"/>
          </w:tcPr>
          <w:p w14:paraId="7EC9BC17">
            <w:pPr>
              <w:keepLines w:val="0"/>
              <w:pageBreakBefore w:val="0"/>
              <w:kinsoku/>
              <w:wordWrap/>
              <w:overflowPunct/>
              <w:topLinePunct w:val="0"/>
              <w:bidi w:val="0"/>
              <w:adjustRightInd w:val="0"/>
              <w:snapToGrid w:val="0"/>
              <w:spacing w:line="360" w:lineRule="exac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无</w:t>
            </w:r>
          </w:p>
        </w:tc>
      </w:tr>
    </w:tbl>
    <w:p w14:paraId="328AEEA7">
      <w:pPr>
        <w:keepLines w:val="0"/>
        <w:pageBreakBefore w:val="0"/>
        <w:kinsoku/>
        <w:wordWrap/>
        <w:overflowPunct/>
        <w:topLinePunct w:val="0"/>
        <w:bidi w:val="0"/>
        <w:spacing w:before="100" w:beforeAutospacing="1" w:line="360" w:lineRule="exact"/>
        <w:jc w:val="center"/>
        <w:outlineLvl w:val="2"/>
        <w:rPr>
          <w:rFonts w:hint="eastAsia" w:ascii="宋体" w:hAnsi="宋体" w:eastAsia="宋体" w:cs="宋体"/>
          <w:b/>
          <w:sz w:val="21"/>
          <w:szCs w:val="21"/>
          <w:highlight w:val="none"/>
        </w:rPr>
      </w:pPr>
      <w:bookmarkStart w:id="10" w:name="_Toc51622569"/>
      <w:bookmarkStart w:id="11" w:name="_Toc27459"/>
      <w:r>
        <w:rPr>
          <w:rFonts w:hint="eastAsia" w:ascii="宋体" w:hAnsi="宋体" w:eastAsia="宋体" w:cs="宋体"/>
          <w:b/>
          <w:sz w:val="21"/>
          <w:szCs w:val="21"/>
          <w:highlight w:val="none"/>
        </w:rPr>
        <w:t>附录3资格审查条件（信誉最低要求）</w:t>
      </w:r>
      <w:bookmarkEnd w:id="10"/>
      <w:bookmarkEnd w:id="11"/>
    </w:p>
    <w:tbl>
      <w:tblPr>
        <w:tblStyle w:val="6"/>
        <w:tblW w:w="94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7"/>
      </w:tblGrid>
      <w:tr w14:paraId="570F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437" w:type="dxa"/>
            <w:tcBorders>
              <w:top w:val="single" w:color="auto" w:sz="12" w:space="0"/>
              <w:left w:val="single" w:color="auto" w:sz="12" w:space="0"/>
              <w:right w:val="single" w:color="auto" w:sz="12" w:space="0"/>
            </w:tcBorders>
            <w:vAlign w:val="center"/>
          </w:tcPr>
          <w:p w14:paraId="08D1E9E9">
            <w:pPr>
              <w:keepLines w:val="0"/>
              <w:pageBreakBefore w:val="0"/>
              <w:kinsoku/>
              <w:wordWrap/>
              <w:overflowPunct/>
              <w:topLinePunct w:val="0"/>
              <w:bidi w:val="0"/>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信誉要求</w:t>
            </w:r>
          </w:p>
        </w:tc>
      </w:tr>
      <w:tr w14:paraId="6D147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437" w:type="dxa"/>
            <w:tcBorders>
              <w:left w:val="single" w:color="auto" w:sz="12" w:space="0"/>
              <w:bottom w:val="single" w:color="auto" w:sz="12" w:space="0"/>
              <w:right w:val="single" w:color="auto" w:sz="12" w:space="0"/>
            </w:tcBorders>
            <w:vAlign w:val="center"/>
          </w:tcPr>
          <w:p w14:paraId="21C7F3A6">
            <w:pPr>
              <w:keepLines w:val="0"/>
              <w:pageBreakBefore w:val="0"/>
              <w:kinsoku/>
              <w:wordWrap/>
              <w:overflowPunct/>
              <w:topLinePunct w:val="0"/>
              <w:bidi w:val="0"/>
              <w:spacing w:line="360" w:lineRule="exac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无</w:t>
            </w:r>
          </w:p>
        </w:tc>
      </w:tr>
    </w:tbl>
    <w:p w14:paraId="5B37FE34">
      <w:pPr>
        <w:keepLines w:val="0"/>
        <w:pageBreakBefore w:val="0"/>
        <w:kinsoku/>
        <w:wordWrap/>
        <w:overflowPunct/>
        <w:topLinePunct w:val="0"/>
        <w:bidi w:val="0"/>
        <w:spacing w:before="100" w:beforeAutospacing="1" w:line="360" w:lineRule="exact"/>
        <w:jc w:val="center"/>
        <w:outlineLvl w:val="2"/>
        <w:rPr>
          <w:rFonts w:hint="eastAsia" w:ascii="宋体" w:hAnsi="宋体" w:eastAsia="宋体" w:cs="宋体"/>
          <w:b/>
          <w:sz w:val="21"/>
          <w:szCs w:val="21"/>
          <w:highlight w:val="none"/>
        </w:rPr>
      </w:pPr>
      <w:bookmarkStart w:id="12" w:name="_Toc411418983"/>
      <w:bookmarkStart w:id="13" w:name="_Toc51622570"/>
      <w:bookmarkStart w:id="14" w:name="_Toc3543"/>
      <w:r>
        <w:rPr>
          <w:rFonts w:hint="eastAsia" w:ascii="宋体" w:hAnsi="宋体" w:eastAsia="宋体" w:cs="宋体"/>
          <w:b/>
          <w:sz w:val="21"/>
          <w:szCs w:val="21"/>
          <w:highlight w:val="none"/>
        </w:rPr>
        <w:t>附录4资格审查条件（项目负责人最低要求）</w:t>
      </w:r>
      <w:bookmarkEnd w:id="12"/>
      <w:bookmarkEnd w:id="13"/>
      <w:bookmarkEnd w:id="14"/>
    </w:p>
    <w:tbl>
      <w:tblPr>
        <w:tblStyle w:val="6"/>
        <w:tblW w:w="94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0"/>
        <w:gridCol w:w="1572"/>
        <w:gridCol w:w="6251"/>
      </w:tblGrid>
      <w:tr w14:paraId="33FB1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620" w:type="dxa"/>
            <w:tcBorders>
              <w:top w:val="single" w:color="auto" w:sz="12" w:space="0"/>
              <w:left w:val="single" w:color="auto" w:sz="12" w:space="0"/>
              <w:right w:val="single" w:color="auto" w:sz="4" w:space="0"/>
            </w:tcBorders>
            <w:vAlign w:val="center"/>
          </w:tcPr>
          <w:p w14:paraId="25D6932F">
            <w:pPr>
              <w:keepLines w:val="0"/>
              <w:pageBreakBefore w:val="0"/>
              <w:kinsoku/>
              <w:wordWrap/>
              <w:overflowPunct/>
              <w:topLinePunct w:val="0"/>
              <w:bidi w:val="0"/>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人员</w:t>
            </w:r>
          </w:p>
        </w:tc>
        <w:tc>
          <w:tcPr>
            <w:tcW w:w="1572" w:type="dxa"/>
            <w:tcBorders>
              <w:top w:val="single" w:color="auto" w:sz="12" w:space="0"/>
              <w:left w:val="single" w:color="auto" w:sz="4" w:space="0"/>
              <w:bottom w:val="single" w:color="auto" w:sz="4" w:space="0"/>
              <w:right w:val="single" w:color="auto" w:sz="4" w:space="0"/>
            </w:tcBorders>
            <w:vAlign w:val="center"/>
          </w:tcPr>
          <w:p w14:paraId="5A3B3F01">
            <w:pPr>
              <w:keepLines w:val="0"/>
              <w:pageBreakBefore w:val="0"/>
              <w:kinsoku/>
              <w:wordWrap/>
              <w:overflowPunct/>
              <w:topLinePunct w:val="0"/>
              <w:bidi w:val="0"/>
              <w:spacing w:line="360" w:lineRule="exact"/>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数量</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人/标段</w:t>
            </w:r>
            <w:r>
              <w:rPr>
                <w:rFonts w:hint="eastAsia" w:ascii="宋体" w:hAnsi="宋体" w:eastAsia="宋体" w:cs="宋体"/>
                <w:sz w:val="21"/>
                <w:szCs w:val="21"/>
                <w:highlight w:val="none"/>
                <w:lang w:eastAsia="zh-CN"/>
              </w:rPr>
              <w:t>）</w:t>
            </w:r>
          </w:p>
        </w:tc>
        <w:tc>
          <w:tcPr>
            <w:tcW w:w="6251" w:type="dxa"/>
            <w:tcBorders>
              <w:top w:val="single" w:color="auto" w:sz="12" w:space="0"/>
              <w:left w:val="single" w:color="auto" w:sz="4" w:space="0"/>
              <w:right w:val="single" w:color="auto" w:sz="12" w:space="0"/>
            </w:tcBorders>
            <w:vAlign w:val="center"/>
          </w:tcPr>
          <w:p w14:paraId="0B325E8E">
            <w:pPr>
              <w:keepLines w:val="0"/>
              <w:pageBreakBefore w:val="0"/>
              <w:kinsoku/>
              <w:wordWrap/>
              <w:overflowPunct/>
              <w:topLinePunct w:val="0"/>
              <w:bidi w:val="0"/>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资格要求</w:t>
            </w:r>
          </w:p>
        </w:tc>
      </w:tr>
      <w:tr w14:paraId="70410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620" w:type="dxa"/>
            <w:tcBorders>
              <w:left w:val="single" w:color="auto" w:sz="12" w:space="0"/>
              <w:bottom w:val="single" w:color="auto" w:sz="12" w:space="0"/>
              <w:right w:val="single" w:color="auto" w:sz="4" w:space="0"/>
            </w:tcBorders>
            <w:vAlign w:val="center"/>
          </w:tcPr>
          <w:p w14:paraId="0A77BD0A">
            <w:pPr>
              <w:keepLines w:val="0"/>
              <w:pageBreakBefore w:val="0"/>
              <w:kinsoku/>
              <w:wordWrap/>
              <w:overflowPunct/>
              <w:topLinePunct w:val="0"/>
              <w:bidi w:val="0"/>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项目负责人</w:t>
            </w:r>
          </w:p>
        </w:tc>
        <w:tc>
          <w:tcPr>
            <w:tcW w:w="1572" w:type="dxa"/>
            <w:tcBorders>
              <w:top w:val="single" w:color="auto" w:sz="4" w:space="0"/>
              <w:left w:val="single" w:color="auto" w:sz="4" w:space="0"/>
              <w:bottom w:val="single" w:color="auto" w:sz="12" w:space="0"/>
              <w:right w:val="single" w:color="auto" w:sz="4" w:space="0"/>
            </w:tcBorders>
            <w:vAlign w:val="center"/>
          </w:tcPr>
          <w:p w14:paraId="19F7D51A">
            <w:pPr>
              <w:keepLines w:val="0"/>
              <w:pageBreakBefore w:val="0"/>
              <w:kinsoku/>
              <w:wordWrap/>
              <w:overflowPunct/>
              <w:topLinePunct w:val="0"/>
              <w:bidi w:val="0"/>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w:t>
            </w:r>
          </w:p>
        </w:tc>
        <w:tc>
          <w:tcPr>
            <w:tcW w:w="6251" w:type="dxa"/>
            <w:tcBorders>
              <w:top w:val="single" w:color="auto" w:sz="4" w:space="0"/>
              <w:left w:val="single" w:color="auto" w:sz="4" w:space="0"/>
              <w:bottom w:val="single" w:color="auto" w:sz="12" w:space="0"/>
              <w:right w:val="single" w:color="auto" w:sz="12" w:space="0"/>
            </w:tcBorders>
            <w:vAlign w:val="center"/>
          </w:tcPr>
          <w:p w14:paraId="256DA737">
            <w:pPr>
              <w:keepLines w:val="0"/>
              <w:pageBreakBefore w:val="0"/>
              <w:kinsoku/>
              <w:wordWrap/>
              <w:overflowPunct/>
              <w:topLinePunct w:val="0"/>
              <w:bidi w:val="0"/>
              <w:spacing w:line="3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（1）投标人</w:t>
            </w:r>
            <w:r>
              <w:rPr>
                <w:rFonts w:hint="eastAsia" w:ascii="宋体" w:hAnsi="宋体" w:eastAsia="宋体" w:cs="宋体"/>
                <w:color w:val="auto"/>
                <w:sz w:val="21"/>
                <w:szCs w:val="21"/>
                <w:highlight w:val="none"/>
              </w:rPr>
              <w:t>（联合体投标的，指联合体牵头人）</w:t>
            </w:r>
            <w:r>
              <w:rPr>
                <w:rFonts w:hint="eastAsia" w:ascii="宋体" w:hAnsi="宋体" w:eastAsia="宋体" w:cs="宋体"/>
                <w:sz w:val="21"/>
                <w:szCs w:val="21"/>
                <w:highlight w:val="none"/>
              </w:rPr>
              <w:t>自有人员</w:t>
            </w:r>
            <w:r>
              <w:rPr>
                <w:rStyle w:val="8"/>
                <w:rFonts w:hint="eastAsia" w:ascii="宋体" w:hAnsi="宋体" w:eastAsia="宋体" w:cs="宋体"/>
                <w:sz w:val="21"/>
                <w:szCs w:val="21"/>
                <w:highlight w:val="none"/>
              </w:rPr>
              <w:footnoteReference w:id="1"/>
            </w:r>
            <w:r>
              <w:rPr>
                <w:rFonts w:hint="eastAsia" w:ascii="宋体" w:hAnsi="宋体" w:eastAsia="宋体" w:cs="宋体"/>
                <w:sz w:val="21"/>
                <w:szCs w:val="21"/>
                <w:highlight w:val="none"/>
              </w:rPr>
              <w:t>；</w:t>
            </w:r>
          </w:p>
          <w:p w14:paraId="41871E65">
            <w:pPr>
              <w:keepLines w:val="0"/>
              <w:pageBreakBefore w:val="0"/>
              <w:kinsoku/>
              <w:wordWrap/>
              <w:overflowPunct/>
              <w:topLinePunct w:val="0"/>
              <w:bidi w:val="0"/>
              <w:spacing w:line="3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具有公路工程相关专业</w:t>
            </w:r>
            <w:r>
              <w:rPr>
                <w:rStyle w:val="8"/>
                <w:rFonts w:hint="eastAsia" w:ascii="宋体" w:hAnsi="宋体" w:eastAsia="宋体" w:cs="宋体"/>
                <w:sz w:val="21"/>
                <w:szCs w:val="21"/>
                <w:highlight w:val="none"/>
              </w:rPr>
              <w:footnoteReference w:id="2"/>
            </w:r>
            <w:r>
              <w:rPr>
                <w:rFonts w:hint="eastAsia" w:ascii="宋体" w:hAnsi="宋体" w:eastAsia="宋体" w:cs="宋体"/>
                <w:sz w:val="21"/>
                <w:szCs w:val="21"/>
                <w:highlight w:val="none"/>
                <w:lang w:val="en-US" w:eastAsia="zh-CN"/>
              </w:rPr>
              <w:t>中级职称</w:t>
            </w:r>
            <w:r>
              <w:rPr>
                <w:rFonts w:hint="eastAsia" w:ascii="宋体" w:hAnsi="宋体" w:eastAsia="宋体" w:cs="宋体"/>
                <w:sz w:val="21"/>
                <w:szCs w:val="21"/>
                <w:highlight w:val="none"/>
              </w:rPr>
              <w:t>；</w:t>
            </w:r>
          </w:p>
          <w:p w14:paraId="783514F5">
            <w:pPr>
              <w:keepLines w:val="0"/>
              <w:pageBreakBefore w:val="0"/>
              <w:kinsoku/>
              <w:wordWrap/>
              <w:overflowPunct/>
              <w:topLinePunct w:val="0"/>
              <w:bidi w:val="0"/>
              <w:spacing w:line="3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（3）担任过一项二级（含二级）以上公路养护工程勘察设计的项目负责人或技术负责人。</w:t>
            </w:r>
          </w:p>
          <w:p w14:paraId="734E8EE7">
            <w:pPr>
              <w:keepLines w:val="0"/>
              <w:pageBreakBefore w:val="0"/>
              <w:kinsoku/>
              <w:wordWrap/>
              <w:overflowPunct/>
              <w:topLinePunct w:val="0"/>
              <w:bidi w:val="0"/>
              <w:spacing w:line="360" w:lineRule="exact"/>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注：</w:t>
            </w:r>
            <w:r>
              <w:rPr>
                <w:rFonts w:hint="eastAsia" w:ascii="宋体" w:hAnsi="宋体" w:eastAsia="宋体" w:cs="宋体"/>
                <w:sz w:val="21"/>
                <w:szCs w:val="21"/>
                <w:highlight w:val="none"/>
                <w:lang w:val="zh-CN"/>
              </w:rPr>
              <w:t>项目负责人任职业绩应是交通运输部“全国公路建设市场监督管理系统”或省级交通运输主管部门“公路建设市场信用信息管理系统”已载明的任职业绩。</w:t>
            </w:r>
          </w:p>
        </w:tc>
      </w:tr>
    </w:tbl>
    <w:p w14:paraId="1B591A6A">
      <w:pPr>
        <w:keepLines w:val="0"/>
        <w:pageBreakBefore w:val="0"/>
        <w:widowControl/>
        <w:kinsoku/>
        <w:wordWrap/>
        <w:overflowPunct/>
        <w:topLinePunct w:val="0"/>
        <w:bidi w:val="0"/>
        <w:spacing w:line="360" w:lineRule="exact"/>
        <w:jc w:val="left"/>
        <w:rPr>
          <w:rFonts w:hint="eastAsia" w:ascii="宋体" w:hAnsi="宋体" w:eastAsia="宋体" w:cs="宋体"/>
          <w:sz w:val="21"/>
          <w:szCs w:val="21"/>
          <w:highlight w:val="none"/>
        </w:rPr>
      </w:pPr>
    </w:p>
    <w:p w14:paraId="175C371E">
      <w:pPr>
        <w:keepLines w:val="0"/>
        <w:pageBreakBefore w:val="0"/>
        <w:kinsoku/>
        <w:wordWrap/>
        <w:overflowPunct/>
        <w:topLinePunct w:val="0"/>
        <w:autoSpaceDE/>
        <w:autoSpaceDN/>
        <w:bidi w:val="0"/>
        <w:spacing w:before="100" w:beforeAutospacing="1" w:line="360" w:lineRule="exact"/>
        <w:jc w:val="center"/>
        <w:outlineLvl w:val="2"/>
        <w:rPr>
          <w:rFonts w:hint="eastAsia" w:ascii="宋体" w:hAnsi="宋体" w:eastAsia="宋体" w:cs="宋体"/>
          <w:b/>
          <w:sz w:val="21"/>
          <w:szCs w:val="21"/>
        </w:rPr>
      </w:pPr>
      <w:r>
        <w:rPr>
          <w:rFonts w:hint="eastAsia" w:ascii="宋体" w:hAnsi="宋体" w:eastAsia="宋体" w:cs="宋体"/>
          <w:b/>
          <w:sz w:val="21"/>
          <w:szCs w:val="21"/>
        </w:rPr>
        <w:br w:type="page"/>
      </w:r>
      <w:bookmarkEnd w:id="7"/>
    </w:p>
    <w:p w14:paraId="47BB395D">
      <w:pPr>
        <w:keepLines w:val="0"/>
        <w:pageBreakBefore w:val="0"/>
        <w:widowControl/>
        <w:kinsoku/>
        <w:wordWrap/>
        <w:overflowPunct/>
        <w:topLinePunct w:val="0"/>
        <w:autoSpaceDE/>
        <w:autoSpaceDN/>
        <w:bidi w:val="0"/>
        <w:spacing w:line="360" w:lineRule="exact"/>
        <w:jc w:val="left"/>
        <w:rPr>
          <w:rFonts w:hint="eastAsia" w:ascii="宋体" w:hAnsi="宋体" w:eastAsia="宋体" w:cs="宋体"/>
          <w:b/>
          <w:sz w:val="21"/>
          <w:szCs w:val="21"/>
        </w:rPr>
      </w:pPr>
      <w:r>
        <w:rPr>
          <w:rFonts w:hint="eastAsia" w:ascii="宋体" w:hAnsi="宋体" w:eastAsia="宋体" w:cs="宋体"/>
          <w:b/>
          <w:sz w:val="21"/>
          <w:szCs w:val="21"/>
        </w:rPr>
        <w:t>三、评标办法</w:t>
      </w:r>
    </w:p>
    <w:p w14:paraId="749478DA">
      <w:pPr>
        <w:keepLines w:val="0"/>
        <w:pageBreakBefore w:val="0"/>
        <w:widowControl/>
        <w:kinsoku/>
        <w:wordWrap/>
        <w:overflowPunct/>
        <w:topLinePunct w:val="0"/>
        <w:autoSpaceDE/>
        <w:autoSpaceDN/>
        <w:bidi w:val="0"/>
        <w:spacing w:line="360" w:lineRule="exact"/>
        <w:jc w:val="center"/>
        <w:rPr>
          <w:rFonts w:hint="eastAsia" w:ascii="宋体" w:hAnsi="宋体" w:eastAsia="宋体" w:cs="宋体"/>
          <w:b/>
          <w:sz w:val="21"/>
          <w:szCs w:val="21"/>
        </w:rPr>
      </w:pPr>
      <w:bookmarkStart w:id="15" w:name="_Toc505091277"/>
      <w:bookmarkStart w:id="16" w:name="_Toc520285006"/>
      <w:bookmarkStart w:id="17" w:name="_Toc80536764"/>
      <w:r>
        <w:rPr>
          <w:rFonts w:hint="eastAsia" w:ascii="宋体" w:hAnsi="宋体" w:eastAsia="宋体" w:cs="宋体"/>
          <w:b/>
          <w:sz w:val="21"/>
          <w:szCs w:val="21"/>
        </w:rPr>
        <w:t>评标办法（综合评估法）</w:t>
      </w:r>
    </w:p>
    <w:bookmarkEnd w:id="15"/>
    <w:bookmarkEnd w:id="16"/>
    <w:bookmarkEnd w:id="17"/>
    <w:p w14:paraId="6E681761">
      <w:pPr>
        <w:keepLines w:val="0"/>
        <w:pageBreakBefore w:val="0"/>
        <w:kinsoku/>
        <w:wordWrap/>
        <w:overflowPunct/>
        <w:topLinePunct w:val="0"/>
        <w:bidi w:val="0"/>
        <w:spacing w:line="360" w:lineRule="exact"/>
        <w:rPr>
          <w:rFonts w:hint="eastAsia" w:ascii="宋体" w:hAnsi="宋体" w:eastAsia="宋体" w:cs="宋体"/>
          <w:b/>
          <w:bCs/>
          <w:w w:val="105"/>
          <w:sz w:val="21"/>
          <w:szCs w:val="21"/>
          <w:highlight w:val="none"/>
        </w:rPr>
      </w:pPr>
      <w:r>
        <w:rPr>
          <w:rFonts w:hint="eastAsia" w:ascii="宋体" w:hAnsi="宋体" w:eastAsia="宋体" w:cs="宋体"/>
          <w:b/>
          <w:bCs/>
          <w:w w:val="105"/>
          <w:sz w:val="21"/>
          <w:szCs w:val="21"/>
          <w:highlight w:val="none"/>
        </w:rPr>
        <w:t>评标办法前附表</w:t>
      </w:r>
    </w:p>
    <w:tbl>
      <w:tblPr>
        <w:tblStyle w:val="6"/>
        <w:tblW w:w="956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173"/>
        <w:gridCol w:w="7536"/>
      </w:tblGrid>
      <w:tr w14:paraId="32610D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2026" w:type="dxa"/>
            <w:gridSpan w:val="2"/>
            <w:shd w:val="clear" w:color="auto" w:fill="auto"/>
            <w:vAlign w:val="center"/>
          </w:tcPr>
          <w:p w14:paraId="1D21353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条款号</w:t>
            </w:r>
          </w:p>
        </w:tc>
        <w:tc>
          <w:tcPr>
            <w:tcW w:w="7536" w:type="dxa"/>
            <w:shd w:val="clear" w:color="auto" w:fill="auto"/>
            <w:vAlign w:val="center"/>
          </w:tcPr>
          <w:p w14:paraId="38DC70F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评审因素与评审标准</w:t>
            </w:r>
          </w:p>
        </w:tc>
      </w:tr>
      <w:tr w14:paraId="630F52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shd w:val="clear" w:color="auto" w:fill="auto"/>
            <w:vAlign w:val="center"/>
          </w:tcPr>
          <w:p w14:paraId="2449324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1173" w:type="dxa"/>
            <w:shd w:val="clear" w:color="auto" w:fill="auto"/>
            <w:vAlign w:val="center"/>
          </w:tcPr>
          <w:p w14:paraId="0733A57C">
            <w:pPr>
              <w:keepNext w:val="0"/>
              <w:keepLines w:val="0"/>
              <w:pageBreakBefore w:val="0"/>
              <w:widowControl w:val="0"/>
              <w:tabs>
                <w:tab w:val="left" w:pos="735"/>
              </w:tabs>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评标方法</w:t>
            </w:r>
          </w:p>
        </w:tc>
        <w:tc>
          <w:tcPr>
            <w:tcW w:w="7536" w:type="dxa"/>
            <w:shd w:val="clear" w:color="auto" w:fill="auto"/>
          </w:tcPr>
          <w:p w14:paraId="2A5C2284">
            <w:pPr>
              <w:pStyle w:val="13"/>
              <w:keepNext w:val="0"/>
              <w:keepLines w:val="0"/>
              <w:pageBreakBefore w:val="0"/>
              <w:widowControl w:val="0"/>
              <w:shd w:val="clear" w:color="auto" w:fill="auto"/>
              <w:tabs>
                <w:tab w:val="left" w:pos="735"/>
              </w:tabs>
              <w:kinsoku/>
              <w:wordWrap/>
              <w:overflowPunct/>
              <w:topLinePunct w:val="0"/>
              <w:autoSpaceDE/>
              <w:autoSpaceDN/>
              <w:bidi w:val="0"/>
              <w:adjustRightInd/>
              <w:snapToGrid/>
              <w:spacing w:before="0" w:line="360" w:lineRule="exact"/>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综合评分相等时，评标委员会依次按照以下优先顺序推荐中标候选人：</w:t>
            </w:r>
          </w:p>
          <w:p w14:paraId="3B43418B">
            <w:pPr>
              <w:pStyle w:val="13"/>
              <w:keepNext w:val="0"/>
              <w:keepLines w:val="0"/>
              <w:pageBreakBefore w:val="0"/>
              <w:widowControl w:val="0"/>
              <w:shd w:val="clear" w:color="auto" w:fill="auto"/>
              <w:tabs>
                <w:tab w:val="left" w:pos="735"/>
                <w:tab w:val="left" w:pos="1070"/>
              </w:tabs>
              <w:kinsoku/>
              <w:wordWrap/>
              <w:overflowPunct/>
              <w:topLinePunct w:val="0"/>
              <w:autoSpaceDE/>
              <w:autoSpaceDN/>
              <w:bidi w:val="0"/>
              <w:adjustRightInd/>
              <w:snapToGrid/>
              <w:spacing w:before="0" w:line="360" w:lineRule="exact"/>
              <w:ind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（1）评标价低的投标人优先；</w:t>
            </w:r>
          </w:p>
          <w:p w14:paraId="6E8ED529">
            <w:pPr>
              <w:pStyle w:val="13"/>
              <w:keepNext w:val="0"/>
              <w:keepLines w:val="0"/>
              <w:pageBreakBefore w:val="0"/>
              <w:widowControl w:val="0"/>
              <w:shd w:val="clear" w:color="auto" w:fill="auto"/>
              <w:tabs>
                <w:tab w:val="left" w:pos="735"/>
                <w:tab w:val="left" w:pos="1078"/>
              </w:tabs>
              <w:kinsoku/>
              <w:wordWrap/>
              <w:overflowPunct/>
              <w:topLinePunct w:val="0"/>
              <w:autoSpaceDE/>
              <w:autoSpaceDN/>
              <w:bidi w:val="0"/>
              <w:adjustRightInd/>
              <w:snapToGrid/>
              <w:spacing w:before="0" w:line="360" w:lineRule="exact"/>
              <w:ind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bCs/>
                <w:sz w:val="21"/>
                <w:szCs w:val="21"/>
                <w:highlight w:val="none"/>
              </w:rPr>
              <w:t>信誉</w:t>
            </w:r>
            <w:r>
              <w:rPr>
                <w:rFonts w:hint="eastAsia" w:ascii="宋体" w:hAnsi="宋体" w:eastAsia="宋体" w:cs="宋体"/>
                <w:sz w:val="21"/>
                <w:szCs w:val="21"/>
                <w:highlight w:val="none"/>
              </w:rPr>
              <w:t>得分较高的投标人优先；</w:t>
            </w:r>
          </w:p>
          <w:p w14:paraId="6C73FF09">
            <w:pPr>
              <w:keepNext w:val="0"/>
              <w:keepLines w:val="0"/>
              <w:pageBreakBefore w:val="0"/>
              <w:widowControl w:val="0"/>
              <w:tabs>
                <w:tab w:val="left" w:pos="735"/>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（3）评标委员会投票决定。</w:t>
            </w:r>
          </w:p>
        </w:tc>
      </w:tr>
      <w:tr w14:paraId="22D91B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shd w:val="clear" w:color="auto" w:fill="auto"/>
            <w:vAlign w:val="center"/>
          </w:tcPr>
          <w:p w14:paraId="792B487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2.1.1</w:t>
            </w:r>
          </w:p>
          <w:p w14:paraId="0B3DF19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2.1.3</w:t>
            </w:r>
          </w:p>
        </w:tc>
        <w:tc>
          <w:tcPr>
            <w:tcW w:w="1173" w:type="dxa"/>
            <w:shd w:val="clear" w:color="auto" w:fill="auto"/>
            <w:vAlign w:val="center"/>
          </w:tcPr>
          <w:p w14:paraId="719B6684">
            <w:pPr>
              <w:keepNext w:val="0"/>
              <w:keepLines w:val="0"/>
              <w:pageBreakBefore w:val="0"/>
              <w:widowControl w:val="0"/>
              <w:tabs>
                <w:tab w:val="left" w:pos="735"/>
              </w:tabs>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形式评审与响应性评审标准</w:t>
            </w:r>
          </w:p>
        </w:tc>
        <w:tc>
          <w:tcPr>
            <w:tcW w:w="7536" w:type="dxa"/>
            <w:shd w:val="clear" w:color="auto" w:fill="auto"/>
          </w:tcPr>
          <w:p w14:paraId="66C8FCF6">
            <w:pPr>
              <w:pStyle w:val="13"/>
              <w:keepNext w:val="0"/>
              <w:keepLines w:val="0"/>
              <w:pageBreakBefore w:val="0"/>
              <w:widowControl w:val="0"/>
              <w:shd w:val="clear" w:color="auto" w:fill="auto"/>
              <w:tabs>
                <w:tab w:val="left" w:pos="735"/>
              </w:tabs>
              <w:kinsoku/>
              <w:wordWrap/>
              <w:overflowPunct/>
              <w:topLinePunct w:val="0"/>
              <w:autoSpaceDE/>
              <w:autoSpaceDN/>
              <w:bidi w:val="0"/>
              <w:adjustRightInd/>
              <w:snapToGrid/>
              <w:spacing w:before="0" w:line="360" w:lineRule="exact"/>
              <w:jc w:val="both"/>
              <w:textAlignment w:val="auto"/>
              <w:rPr>
                <w:rFonts w:hint="eastAsia" w:ascii="宋体" w:hAnsi="宋体" w:eastAsia="宋体" w:cs="宋体"/>
                <w:sz w:val="21"/>
                <w:szCs w:val="21"/>
                <w:highlight w:val="none"/>
              </w:rPr>
            </w:pPr>
            <w:r>
              <w:rPr>
                <w:rFonts w:hint="eastAsia" w:ascii="宋体" w:hAnsi="宋体" w:eastAsia="宋体" w:cs="宋体"/>
                <w:bCs/>
                <w:sz w:val="21"/>
                <w:szCs w:val="21"/>
                <w:highlight w:val="none"/>
              </w:rPr>
              <w:t>第一个信封（商务及技术文件）评审标准：</w:t>
            </w:r>
          </w:p>
          <w:p w14:paraId="123E3B50">
            <w:pPr>
              <w:pStyle w:val="13"/>
              <w:keepNext w:val="0"/>
              <w:keepLines w:val="0"/>
              <w:pageBreakBefore w:val="0"/>
              <w:widowControl w:val="0"/>
              <w:shd w:val="clear" w:color="auto" w:fill="auto"/>
              <w:tabs>
                <w:tab w:val="left" w:pos="735"/>
                <w:tab w:val="left" w:pos="946"/>
              </w:tabs>
              <w:kinsoku/>
              <w:wordWrap/>
              <w:overflowPunct/>
              <w:topLinePunct w:val="0"/>
              <w:autoSpaceDE/>
              <w:autoSpaceDN/>
              <w:bidi w:val="0"/>
              <w:adjustRightInd/>
              <w:snapToGrid/>
              <w:spacing w:before="0" w:line="360" w:lineRule="exact"/>
              <w:ind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（1）投标文件按照招标文件规定的格式、内容填写，字迹清晰可辨：</w:t>
            </w:r>
          </w:p>
          <w:p w14:paraId="0643EA21">
            <w:pPr>
              <w:pStyle w:val="13"/>
              <w:keepNext w:val="0"/>
              <w:keepLines w:val="0"/>
              <w:pageBreakBefore w:val="0"/>
              <w:widowControl w:val="0"/>
              <w:shd w:val="clear" w:color="auto" w:fill="auto"/>
              <w:tabs>
                <w:tab w:val="left" w:pos="566"/>
                <w:tab w:val="left" w:pos="735"/>
              </w:tabs>
              <w:kinsoku/>
              <w:wordWrap/>
              <w:overflowPunct/>
              <w:topLinePunct w:val="0"/>
              <w:autoSpaceDE/>
              <w:autoSpaceDN/>
              <w:bidi w:val="0"/>
              <w:adjustRightInd/>
              <w:snapToGrid/>
              <w:spacing w:before="0" w:line="360" w:lineRule="exact"/>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a.投标函按招标文件规定填报了项目名称、标段号、补遗书编号（如有</w:t>
            </w:r>
            <w:r>
              <w:rPr>
                <w:rFonts w:hint="eastAsia" w:eastAsia="宋体" w:cs="宋体"/>
                <w:sz w:val="21"/>
                <w:szCs w:val="21"/>
                <w:highlight w:val="none"/>
                <w:lang w:eastAsia="zh-CN"/>
              </w:rPr>
              <w:t>）</w:t>
            </w:r>
            <w:r>
              <w:rPr>
                <w:rFonts w:hint="eastAsia" w:ascii="宋体" w:hAnsi="宋体" w:eastAsia="宋体" w:cs="宋体"/>
                <w:sz w:val="21"/>
                <w:szCs w:val="21"/>
                <w:highlight w:val="none"/>
              </w:rPr>
              <w:t>、勘察设计服务期限、工程质量要求及安全目标；</w:t>
            </w:r>
          </w:p>
          <w:p w14:paraId="456EECCC">
            <w:pPr>
              <w:pStyle w:val="13"/>
              <w:keepNext w:val="0"/>
              <w:keepLines w:val="0"/>
              <w:pageBreakBefore w:val="0"/>
              <w:widowControl w:val="0"/>
              <w:shd w:val="clear" w:color="auto" w:fill="auto"/>
              <w:tabs>
                <w:tab w:val="left" w:pos="168"/>
                <w:tab w:val="left" w:pos="735"/>
              </w:tabs>
              <w:kinsoku/>
              <w:wordWrap/>
              <w:overflowPunct/>
              <w:topLinePunct w:val="0"/>
              <w:autoSpaceDE/>
              <w:autoSpaceDN/>
              <w:bidi w:val="0"/>
              <w:adjustRightInd/>
              <w:snapToGrid/>
              <w:spacing w:before="0" w:line="360" w:lineRule="exact"/>
              <w:ind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b.投标文件组成齐全完整，内容均按规定填写。</w:t>
            </w:r>
          </w:p>
          <w:p w14:paraId="5B33CADF">
            <w:pPr>
              <w:pStyle w:val="13"/>
              <w:keepNext w:val="0"/>
              <w:keepLines w:val="0"/>
              <w:pageBreakBefore w:val="0"/>
              <w:widowControl w:val="0"/>
              <w:shd w:val="clear" w:color="auto" w:fill="auto"/>
              <w:tabs>
                <w:tab w:val="left" w:pos="735"/>
                <w:tab w:val="left" w:pos="948"/>
              </w:tabs>
              <w:kinsoku/>
              <w:wordWrap/>
              <w:overflowPunct/>
              <w:topLinePunct w:val="0"/>
              <w:autoSpaceDE/>
              <w:autoSpaceDN/>
              <w:bidi w:val="0"/>
              <w:adjustRightInd/>
              <w:snapToGrid/>
              <w:spacing w:before="0" w:line="360" w:lineRule="exact"/>
              <w:ind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（2）投标文件上法定代表人或其委托代理人的签字、投标人的单位章盖章齐全，符合招标文件规定。</w:t>
            </w:r>
          </w:p>
          <w:p w14:paraId="57B6AB8B">
            <w:pPr>
              <w:pStyle w:val="13"/>
              <w:keepNext w:val="0"/>
              <w:keepLines w:val="0"/>
              <w:pageBreakBefore w:val="0"/>
              <w:widowControl w:val="0"/>
              <w:shd w:val="clear" w:color="auto" w:fill="auto"/>
              <w:tabs>
                <w:tab w:val="left" w:pos="735"/>
                <w:tab w:val="left" w:pos="948"/>
              </w:tabs>
              <w:kinsoku/>
              <w:wordWrap/>
              <w:overflowPunct/>
              <w:topLinePunct w:val="0"/>
              <w:autoSpaceDE/>
              <w:autoSpaceDN/>
              <w:bidi w:val="0"/>
              <w:adjustRightInd/>
              <w:snapToGrid/>
              <w:spacing w:before="0" w:line="360" w:lineRule="exact"/>
              <w:ind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（3）投标人按照招标文件的规定提供了投标保证金：</w:t>
            </w:r>
          </w:p>
          <w:p w14:paraId="314D934C">
            <w:pPr>
              <w:keepNext w:val="0"/>
              <w:keepLines w:val="0"/>
              <w:pageBreakBefore w:val="0"/>
              <w:widowControl w:val="0"/>
              <w:tabs>
                <w:tab w:val="left" w:pos="735"/>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w:t>
            </w:r>
            <w:r>
              <w:rPr>
                <w:rFonts w:hint="eastAsia" w:ascii="宋体" w:hAnsi="宋体" w:eastAsia="宋体" w:cs="宋体"/>
                <w:bCs/>
                <w:sz w:val="21"/>
                <w:szCs w:val="21"/>
                <w:highlight w:val="none"/>
              </w:rPr>
              <w:t>.</w:t>
            </w:r>
            <w:r>
              <w:rPr>
                <w:rFonts w:hint="eastAsia" w:ascii="宋体" w:hAnsi="宋体" w:eastAsia="宋体" w:cs="宋体"/>
                <w:sz w:val="21"/>
                <w:szCs w:val="21"/>
                <w:highlight w:val="none"/>
              </w:rPr>
              <w:t>投标保证金金额符合招标文件规定的金额，且投标保证金有效期不少于投标有效期；</w:t>
            </w:r>
          </w:p>
          <w:p w14:paraId="7D159E6F">
            <w:pPr>
              <w:pStyle w:val="13"/>
              <w:keepNext w:val="0"/>
              <w:keepLines w:val="0"/>
              <w:pageBreakBefore w:val="0"/>
              <w:widowControl w:val="0"/>
              <w:shd w:val="clear" w:color="auto" w:fill="auto"/>
              <w:kinsoku/>
              <w:wordWrap/>
              <w:overflowPunct/>
              <w:topLinePunct w:val="0"/>
              <w:autoSpaceDE/>
              <w:autoSpaceDN/>
              <w:bidi w:val="0"/>
              <w:adjustRightInd/>
              <w:snapToGrid/>
              <w:spacing w:before="0" w:line="360" w:lineRule="exact"/>
              <w:ind w:firstLine="420" w:firstLineChars="200"/>
              <w:jc w:val="both"/>
              <w:textAlignment w:val="auto"/>
              <w:rPr>
                <w:rFonts w:hint="eastAsia" w:ascii="宋体" w:hAnsi="宋体" w:eastAsia="宋体" w:cs="宋体"/>
                <w:sz w:val="21"/>
                <w:szCs w:val="21"/>
                <w:highlight w:val="none"/>
              </w:rPr>
            </w:pPr>
            <w:r>
              <w:rPr>
                <w:rStyle w:val="17"/>
                <w:rFonts w:hint="eastAsia" w:ascii="宋体" w:hAnsi="宋体" w:eastAsia="宋体" w:cs="宋体"/>
                <w:color w:val="auto"/>
                <w:sz w:val="21"/>
                <w:szCs w:val="21"/>
                <w:highlight w:val="none"/>
                <w:shd w:val="clear" w:color="auto" w:fill="auto"/>
                <w:lang w:eastAsia="zh-CN"/>
              </w:rPr>
              <w:t>b.</w:t>
            </w:r>
            <w:r>
              <w:rPr>
                <w:rStyle w:val="15"/>
                <w:rFonts w:hint="eastAsia" w:ascii="宋体" w:hAnsi="宋体" w:eastAsia="宋体" w:cs="宋体"/>
                <w:color w:val="auto"/>
                <w:sz w:val="21"/>
                <w:szCs w:val="21"/>
                <w:highlight w:val="none"/>
                <w:shd w:val="clear" w:color="auto" w:fill="auto"/>
              </w:rPr>
              <w:t>若投标保证金采用现金或支票形式提交，投标人应在招标文件规定的递交截止时间之前，将投标保证金由投标人的基本账户转入招标人指定账户；</w:t>
            </w:r>
          </w:p>
          <w:p w14:paraId="586E97C1">
            <w:pPr>
              <w:pStyle w:val="13"/>
              <w:keepNext w:val="0"/>
              <w:keepLines w:val="0"/>
              <w:pageBreakBefore w:val="0"/>
              <w:widowControl w:val="0"/>
              <w:shd w:val="clear" w:color="auto" w:fill="auto"/>
              <w:kinsoku/>
              <w:wordWrap/>
              <w:overflowPunct/>
              <w:topLinePunct w:val="0"/>
              <w:autoSpaceDE/>
              <w:autoSpaceDN/>
              <w:bidi w:val="0"/>
              <w:adjustRightInd/>
              <w:snapToGrid/>
              <w:spacing w:before="0" w:line="360" w:lineRule="exact"/>
              <w:ind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bidi="en-US"/>
              </w:rPr>
              <w:t>c</w:t>
            </w:r>
            <w:r>
              <w:rPr>
                <w:rFonts w:hint="eastAsia" w:ascii="宋体" w:hAnsi="宋体" w:eastAsia="宋体" w:cs="宋体"/>
                <w:b/>
                <w:bCs/>
                <w:sz w:val="21"/>
                <w:szCs w:val="21"/>
                <w:highlight w:val="none"/>
                <w:lang w:bidi="en-US"/>
              </w:rPr>
              <w:t>.</w:t>
            </w:r>
            <w:r>
              <w:rPr>
                <w:rFonts w:hint="eastAsia" w:ascii="宋体" w:hAnsi="宋体" w:eastAsia="宋体" w:cs="宋体"/>
                <w:sz w:val="21"/>
                <w:szCs w:val="21"/>
                <w:highlight w:val="none"/>
                <w:lang w:bidi="zh-TW"/>
              </w:rPr>
              <w:t>若投标保证金采用保函</w:t>
            </w:r>
            <w:r>
              <w:rPr>
                <w:rFonts w:hint="eastAsia" w:ascii="宋体" w:hAnsi="宋体" w:eastAsia="宋体" w:cs="宋体"/>
                <w:sz w:val="21"/>
                <w:szCs w:val="21"/>
                <w:highlight w:val="none"/>
                <w:lang w:eastAsia="zh-CN" w:bidi="zh-TW"/>
              </w:rPr>
              <w:t>（</w:t>
            </w:r>
            <w:r>
              <w:rPr>
                <w:rFonts w:hint="eastAsia" w:ascii="宋体" w:hAnsi="宋体" w:eastAsia="宋体" w:cs="宋体"/>
                <w:sz w:val="21"/>
                <w:szCs w:val="21"/>
                <w:highlight w:val="none"/>
                <w:lang w:val="en-US" w:eastAsia="zh-CN" w:bidi="zh-TW"/>
              </w:rPr>
              <w:t>保单</w:t>
            </w:r>
            <w:r>
              <w:rPr>
                <w:rFonts w:hint="eastAsia" w:ascii="宋体" w:hAnsi="宋体" w:eastAsia="宋体" w:cs="宋体"/>
                <w:sz w:val="21"/>
                <w:szCs w:val="21"/>
                <w:highlight w:val="none"/>
                <w:lang w:eastAsia="zh-CN" w:bidi="zh-TW"/>
              </w:rPr>
              <w:t>）</w:t>
            </w:r>
            <w:r>
              <w:rPr>
                <w:rFonts w:hint="eastAsia" w:ascii="宋体" w:hAnsi="宋体" w:eastAsia="宋体" w:cs="宋体"/>
                <w:sz w:val="21"/>
                <w:szCs w:val="21"/>
                <w:highlight w:val="none"/>
                <w:lang w:bidi="zh-TW"/>
              </w:rPr>
              <w:t>形式提交，保函</w:t>
            </w:r>
            <w:r>
              <w:rPr>
                <w:rFonts w:hint="eastAsia" w:ascii="宋体" w:hAnsi="宋体" w:eastAsia="宋体" w:cs="宋体"/>
                <w:sz w:val="21"/>
                <w:szCs w:val="21"/>
                <w:highlight w:val="none"/>
                <w:lang w:eastAsia="zh-CN" w:bidi="zh-TW"/>
              </w:rPr>
              <w:t>（</w:t>
            </w:r>
            <w:r>
              <w:rPr>
                <w:rFonts w:hint="eastAsia" w:ascii="宋体" w:hAnsi="宋体" w:eastAsia="宋体" w:cs="宋体"/>
                <w:sz w:val="21"/>
                <w:szCs w:val="21"/>
                <w:highlight w:val="none"/>
                <w:lang w:val="en-US" w:eastAsia="zh-CN" w:bidi="zh-TW"/>
              </w:rPr>
              <w:t>保单</w:t>
            </w:r>
            <w:r>
              <w:rPr>
                <w:rFonts w:hint="eastAsia" w:ascii="宋体" w:hAnsi="宋体" w:eastAsia="宋体" w:cs="宋体"/>
                <w:sz w:val="21"/>
                <w:szCs w:val="21"/>
                <w:highlight w:val="none"/>
                <w:lang w:eastAsia="zh-CN" w:bidi="zh-TW"/>
              </w:rPr>
              <w:t>）</w:t>
            </w:r>
            <w:r>
              <w:rPr>
                <w:rFonts w:hint="eastAsia" w:ascii="宋体" w:hAnsi="宋体" w:eastAsia="宋体" w:cs="宋体"/>
                <w:sz w:val="21"/>
                <w:szCs w:val="21"/>
                <w:highlight w:val="none"/>
                <w:lang w:bidi="zh-TW"/>
              </w:rPr>
              <w:t>的实质性内容</w:t>
            </w:r>
            <w:r>
              <w:rPr>
                <w:rFonts w:hint="eastAsia" w:ascii="宋体" w:hAnsi="宋体" w:eastAsia="宋体" w:cs="宋体"/>
                <w:bCs/>
                <w:sz w:val="21"/>
                <w:szCs w:val="21"/>
                <w:highlight w:val="none"/>
              </w:rPr>
              <w:t>应满足招标文件要求</w:t>
            </w:r>
            <w:r>
              <w:rPr>
                <w:rFonts w:hint="eastAsia" w:ascii="宋体" w:hAnsi="宋体" w:eastAsia="宋体" w:cs="宋体"/>
                <w:bCs/>
                <w:sz w:val="21"/>
                <w:szCs w:val="21"/>
                <w:highlight w:val="none"/>
                <w:lang w:val="zh-CN"/>
              </w:rPr>
              <w:t>。</w:t>
            </w:r>
          </w:p>
          <w:p w14:paraId="57547A8D">
            <w:pPr>
              <w:pStyle w:val="13"/>
              <w:keepNext w:val="0"/>
              <w:keepLines w:val="0"/>
              <w:pageBreakBefore w:val="0"/>
              <w:widowControl w:val="0"/>
              <w:shd w:val="clear" w:color="auto" w:fill="auto"/>
              <w:tabs>
                <w:tab w:val="left" w:pos="950"/>
              </w:tabs>
              <w:kinsoku/>
              <w:wordWrap/>
              <w:overflowPunct/>
              <w:topLinePunct w:val="0"/>
              <w:autoSpaceDE/>
              <w:autoSpaceDN/>
              <w:bidi w:val="0"/>
              <w:adjustRightInd/>
              <w:snapToGrid/>
              <w:spacing w:before="0" w:line="360" w:lineRule="exact"/>
              <w:ind w:firstLine="420" w:firstLineChars="200"/>
              <w:jc w:val="both"/>
              <w:textAlignment w:val="auto"/>
              <w:rPr>
                <w:rFonts w:hint="eastAsia" w:ascii="宋体" w:hAnsi="宋体" w:eastAsia="宋体" w:cs="宋体"/>
                <w:sz w:val="21"/>
                <w:szCs w:val="21"/>
                <w:highlight w:val="none"/>
              </w:rPr>
            </w:pPr>
            <w:r>
              <w:rPr>
                <w:rStyle w:val="15"/>
                <w:rFonts w:hint="eastAsia" w:ascii="宋体" w:hAnsi="宋体" w:eastAsia="宋体" w:cs="宋体"/>
                <w:color w:val="auto"/>
                <w:sz w:val="21"/>
                <w:szCs w:val="21"/>
                <w:highlight w:val="none"/>
                <w:shd w:val="clear" w:color="auto" w:fill="auto"/>
              </w:rPr>
              <w:t>（</w:t>
            </w:r>
            <w:r>
              <w:rPr>
                <w:rStyle w:val="15"/>
                <w:rFonts w:hint="eastAsia" w:ascii="宋体" w:hAnsi="宋体" w:eastAsia="宋体" w:cs="宋体"/>
                <w:color w:val="auto"/>
                <w:sz w:val="21"/>
                <w:szCs w:val="21"/>
                <w:highlight w:val="none"/>
                <w:shd w:val="clear" w:color="auto" w:fill="auto"/>
                <w:lang w:eastAsia="zh-CN"/>
              </w:rPr>
              <w:t>4</w:t>
            </w:r>
            <w:r>
              <w:rPr>
                <w:rStyle w:val="15"/>
                <w:rFonts w:hint="eastAsia" w:ascii="宋体" w:hAnsi="宋体" w:eastAsia="宋体" w:cs="宋体"/>
                <w:color w:val="auto"/>
                <w:sz w:val="21"/>
                <w:szCs w:val="21"/>
                <w:highlight w:val="none"/>
                <w:shd w:val="clear" w:color="auto" w:fill="auto"/>
              </w:rPr>
              <w:t>）投标人法定代表人授权委托代理人签署投标文件的，须提交授权委托书，且授权人和被授权人均在授权委托书上签名。</w:t>
            </w:r>
          </w:p>
          <w:p w14:paraId="1A78F952">
            <w:pPr>
              <w:pStyle w:val="13"/>
              <w:keepNext w:val="0"/>
              <w:keepLines w:val="0"/>
              <w:pageBreakBefore w:val="0"/>
              <w:widowControl w:val="0"/>
              <w:shd w:val="clear" w:color="auto" w:fill="auto"/>
              <w:tabs>
                <w:tab w:val="left" w:pos="948"/>
              </w:tabs>
              <w:kinsoku/>
              <w:wordWrap/>
              <w:overflowPunct/>
              <w:topLinePunct w:val="0"/>
              <w:autoSpaceDE/>
              <w:autoSpaceDN/>
              <w:bidi w:val="0"/>
              <w:adjustRightInd/>
              <w:snapToGrid/>
              <w:spacing w:before="0" w:line="360" w:lineRule="exact"/>
              <w:ind w:firstLine="420" w:firstLineChars="200"/>
              <w:jc w:val="both"/>
              <w:textAlignment w:val="auto"/>
              <w:rPr>
                <w:rFonts w:hint="eastAsia" w:ascii="宋体" w:hAnsi="宋体" w:eastAsia="宋体" w:cs="宋体"/>
                <w:sz w:val="21"/>
                <w:szCs w:val="21"/>
                <w:highlight w:val="none"/>
              </w:rPr>
            </w:pPr>
            <w:r>
              <w:rPr>
                <w:rStyle w:val="15"/>
                <w:rFonts w:hint="eastAsia" w:ascii="宋体" w:hAnsi="宋体" w:eastAsia="宋体" w:cs="宋体"/>
                <w:color w:val="auto"/>
                <w:sz w:val="21"/>
                <w:szCs w:val="21"/>
                <w:highlight w:val="none"/>
                <w:shd w:val="clear" w:color="auto" w:fill="auto"/>
              </w:rPr>
              <w:t>（</w:t>
            </w:r>
            <w:r>
              <w:rPr>
                <w:rStyle w:val="15"/>
                <w:rFonts w:hint="eastAsia" w:ascii="宋体" w:hAnsi="宋体" w:eastAsia="宋体" w:cs="宋体"/>
                <w:color w:val="auto"/>
                <w:sz w:val="21"/>
                <w:szCs w:val="21"/>
                <w:highlight w:val="none"/>
                <w:shd w:val="clear" w:color="auto" w:fill="auto"/>
                <w:lang w:eastAsia="zh-CN"/>
              </w:rPr>
              <w:t>5</w:t>
            </w:r>
            <w:r>
              <w:rPr>
                <w:rStyle w:val="15"/>
                <w:rFonts w:hint="eastAsia" w:ascii="宋体" w:hAnsi="宋体" w:eastAsia="宋体" w:cs="宋体"/>
                <w:color w:val="auto"/>
                <w:sz w:val="21"/>
                <w:szCs w:val="21"/>
                <w:highlight w:val="none"/>
                <w:shd w:val="clear" w:color="auto" w:fill="auto"/>
              </w:rPr>
              <w:t>）投标人法定代表人亲自签署投标文件的，提供了法定代表人身份证明，且法定代表人在法定代表人身份证明上签名。</w:t>
            </w:r>
          </w:p>
          <w:p w14:paraId="14FCACDF">
            <w:pPr>
              <w:pStyle w:val="13"/>
              <w:keepNext w:val="0"/>
              <w:keepLines w:val="0"/>
              <w:pageBreakBefore w:val="0"/>
              <w:widowControl w:val="0"/>
              <w:shd w:val="clear" w:color="auto" w:fill="auto"/>
              <w:tabs>
                <w:tab w:val="left" w:pos="1078"/>
              </w:tabs>
              <w:kinsoku/>
              <w:wordWrap/>
              <w:overflowPunct/>
              <w:topLinePunct w:val="0"/>
              <w:autoSpaceDE/>
              <w:autoSpaceDN/>
              <w:bidi w:val="0"/>
              <w:adjustRightInd/>
              <w:snapToGrid/>
              <w:spacing w:before="0" w:line="360" w:lineRule="exact"/>
              <w:ind w:firstLine="420" w:firstLineChars="200"/>
              <w:jc w:val="both"/>
              <w:textAlignment w:val="auto"/>
              <w:rPr>
                <w:rFonts w:hint="eastAsia" w:ascii="宋体" w:hAnsi="宋体" w:eastAsia="宋体" w:cs="宋体"/>
                <w:sz w:val="21"/>
                <w:szCs w:val="21"/>
                <w:highlight w:val="none"/>
                <w:lang w:eastAsia="zh-CN"/>
              </w:rPr>
            </w:pPr>
            <w:r>
              <w:rPr>
                <w:rStyle w:val="15"/>
                <w:rFonts w:hint="eastAsia" w:ascii="宋体" w:hAnsi="宋体" w:eastAsia="宋体" w:cs="宋体"/>
                <w:color w:val="auto"/>
                <w:sz w:val="21"/>
                <w:szCs w:val="21"/>
                <w:highlight w:val="none"/>
                <w:shd w:val="clear" w:color="auto" w:fill="auto"/>
              </w:rPr>
              <w:t>（</w:t>
            </w:r>
            <w:r>
              <w:rPr>
                <w:rStyle w:val="15"/>
                <w:rFonts w:hint="eastAsia" w:ascii="宋体" w:hAnsi="宋体" w:eastAsia="宋体" w:cs="宋体"/>
                <w:color w:val="auto"/>
                <w:sz w:val="21"/>
                <w:szCs w:val="21"/>
                <w:highlight w:val="none"/>
                <w:shd w:val="clear" w:color="auto" w:fill="auto"/>
                <w:lang w:eastAsia="zh-CN"/>
              </w:rPr>
              <w:t>6</w:t>
            </w:r>
            <w:r>
              <w:rPr>
                <w:rStyle w:val="15"/>
                <w:rFonts w:hint="eastAsia" w:ascii="宋体" w:hAnsi="宋体" w:eastAsia="宋体" w:cs="宋体"/>
                <w:color w:val="auto"/>
                <w:sz w:val="21"/>
                <w:szCs w:val="21"/>
                <w:highlight w:val="none"/>
                <w:shd w:val="clear" w:color="auto" w:fill="auto"/>
              </w:rPr>
              <w:t>）投标人以联合体形式投标时，投标人按照招标文件提供的格式签订了联合体协议书，明确各方承担连带责任，并明确了联合体牵头人</w:t>
            </w:r>
            <w:r>
              <w:rPr>
                <w:rStyle w:val="15"/>
                <w:rFonts w:hint="eastAsia" w:ascii="宋体" w:hAnsi="宋体" w:eastAsia="宋体" w:cs="宋体"/>
                <w:color w:val="auto"/>
                <w:sz w:val="21"/>
                <w:szCs w:val="21"/>
                <w:highlight w:val="none"/>
                <w:shd w:val="clear" w:color="auto" w:fill="auto"/>
                <w:lang w:eastAsia="zh-CN"/>
              </w:rPr>
              <w:t>。</w:t>
            </w:r>
          </w:p>
          <w:p w14:paraId="6546CA7F">
            <w:pPr>
              <w:pStyle w:val="13"/>
              <w:keepNext w:val="0"/>
              <w:keepLines w:val="0"/>
              <w:pageBreakBefore w:val="0"/>
              <w:widowControl w:val="0"/>
              <w:shd w:val="clear" w:color="auto" w:fill="auto"/>
              <w:tabs>
                <w:tab w:val="left" w:pos="948"/>
              </w:tabs>
              <w:kinsoku/>
              <w:wordWrap/>
              <w:overflowPunct/>
              <w:topLinePunct w:val="0"/>
              <w:autoSpaceDE/>
              <w:autoSpaceDN/>
              <w:bidi w:val="0"/>
              <w:adjustRightInd/>
              <w:snapToGrid/>
              <w:spacing w:before="0" w:line="360" w:lineRule="exact"/>
              <w:ind w:firstLine="420" w:firstLineChars="200"/>
              <w:jc w:val="both"/>
              <w:textAlignment w:val="auto"/>
              <w:rPr>
                <w:rFonts w:hint="eastAsia" w:ascii="宋体" w:hAnsi="宋体" w:eastAsia="宋体" w:cs="宋体"/>
                <w:sz w:val="21"/>
                <w:szCs w:val="21"/>
                <w:highlight w:val="none"/>
              </w:rPr>
            </w:pPr>
            <w:r>
              <w:rPr>
                <w:rStyle w:val="15"/>
                <w:rFonts w:hint="eastAsia" w:ascii="宋体" w:hAnsi="宋体" w:eastAsia="宋体" w:cs="宋体"/>
                <w:color w:val="auto"/>
                <w:sz w:val="21"/>
                <w:szCs w:val="21"/>
                <w:highlight w:val="none"/>
                <w:shd w:val="clear" w:color="auto" w:fill="auto"/>
              </w:rPr>
              <w:t>（</w:t>
            </w:r>
            <w:r>
              <w:rPr>
                <w:rStyle w:val="15"/>
                <w:rFonts w:hint="eastAsia" w:ascii="宋体" w:hAnsi="宋体" w:eastAsia="宋体" w:cs="宋体"/>
                <w:color w:val="auto"/>
                <w:sz w:val="21"/>
                <w:szCs w:val="21"/>
                <w:highlight w:val="none"/>
                <w:shd w:val="clear" w:color="auto" w:fill="auto"/>
                <w:lang w:eastAsia="zh-CN"/>
              </w:rPr>
              <w:t>7</w:t>
            </w:r>
            <w:r>
              <w:rPr>
                <w:rStyle w:val="15"/>
                <w:rFonts w:hint="eastAsia" w:ascii="宋体" w:hAnsi="宋体" w:eastAsia="宋体" w:cs="宋体"/>
                <w:color w:val="auto"/>
                <w:sz w:val="21"/>
                <w:szCs w:val="21"/>
                <w:highlight w:val="none"/>
                <w:shd w:val="clear" w:color="auto" w:fill="auto"/>
              </w:rPr>
              <w:t>）投标人</w:t>
            </w:r>
            <w:r>
              <w:rPr>
                <w:rStyle w:val="15"/>
                <w:rFonts w:hint="eastAsia" w:ascii="宋体" w:hAnsi="宋体" w:eastAsia="宋体" w:cs="宋体"/>
                <w:color w:val="auto"/>
                <w:sz w:val="21"/>
                <w:szCs w:val="21"/>
                <w:highlight w:val="none"/>
                <w:shd w:val="clear" w:color="auto" w:fill="auto"/>
                <w:lang w:eastAsia="zh-CN"/>
              </w:rPr>
              <w:t>如有</w:t>
            </w:r>
            <w:r>
              <w:rPr>
                <w:rStyle w:val="15"/>
                <w:rFonts w:hint="eastAsia" w:ascii="宋体" w:hAnsi="宋体" w:eastAsia="宋体" w:cs="宋体"/>
                <w:color w:val="auto"/>
                <w:sz w:val="21"/>
                <w:szCs w:val="21"/>
                <w:highlight w:val="none"/>
                <w:shd w:val="clear" w:color="auto" w:fill="auto"/>
              </w:rPr>
              <w:t>分包计划</w:t>
            </w:r>
            <w:r>
              <w:rPr>
                <w:rStyle w:val="15"/>
                <w:rFonts w:hint="eastAsia" w:ascii="宋体" w:hAnsi="宋体" w:eastAsia="宋体" w:cs="宋体"/>
                <w:color w:val="auto"/>
                <w:sz w:val="21"/>
                <w:szCs w:val="21"/>
                <w:highlight w:val="none"/>
                <w:shd w:val="clear" w:color="auto" w:fill="auto"/>
                <w:lang w:eastAsia="zh-CN"/>
              </w:rPr>
              <w:t>，</w:t>
            </w:r>
            <w:r>
              <w:rPr>
                <w:rStyle w:val="15"/>
                <w:rFonts w:hint="eastAsia" w:ascii="宋体" w:hAnsi="宋体" w:eastAsia="宋体" w:cs="宋体"/>
                <w:color w:val="auto"/>
                <w:sz w:val="21"/>
                <w:szCs w:val="21"/>
                <w:highlight w:val="none"/>
                <w:shd w:val="clear" w:color="auto" w:fill="auto"/>
              </w:rPr>
              <w:t>符合招标文件第二章</w:t>
            </w:r>
            <w:r>
              <w:rPr>
                <w:rStyle w:val="15"/>
                <w:rFonts w:hint="eastAsia" w:ascii="宋体" w:hAnsi="宋体" w:eastAsia="宋体" w:cs="宋体"/>
                <w:color w:val="auto"/>
                <w:sz w:val="21"/>
                <w:szCs w:val="21"/>
                <w:highlight w:val="none"/>
                <w:shd w:val="clear" w:color="auto" w:fill="auto"/>
                <w:lang w:eastAsia="zh-CN"/>
              </w:rPr>
              <w:t>“投标人须知”第1.11款规定，且按招标文件第六章“投标文件格式”的要求填写了“拟分包项目情况表”。</w:t>
            </w:r>
          </w:p>
          <w:p w14:paraId="4FA299D8">
            <w:pPr>
              <w:pStyle w:val="13"/>
              <w:keepNext w:val="0"/>
              <w:keepLines w:val="0"/>
              <w:pageBreakBefore w:val="0"/>
              <w:widowControl w:val="0"/>
              <w:shd w:val="clear" w:color="auto" w:fill="auto"/>
              <w:tabs>
                <w:tab w:val="left" w:pos="962"/>
              </w:tabs>
              <w:kinsoku/>
              <w:wordWrap/>
              <w:overflowPunct/>
              <w:topLinePunct w:val="0"/>
              <w:autoSpaceDE/>
              <w:autoSpaceDN/>
              <w:bidi w:val="0"/>
              <w:adjustRightInd/>
              <w:snapToGrid/>
              <w:spacing w:before="0" w:line="360" w:lineRule="exact"/>
              <w:ind w:firstLine="420" w:firstLineChars="200"/>
              <w:jc w:val="both"/>
              <w:textAlignment w:val="auto"/>
              <w:rPr>
                <w:rFonts w:hint="eastAsia" w:ascii="宋体" w:hAnsi="宋体" w:eastAsia="宋体" w:cs="宋体"/>
                <w:sz w:val="21"/>
                <w:szCs w:val="21"/>
                <w:highlight w:val="none"/>
              </w:rPr>
            </w:pPr>
            <w:r>
              <w:rPr>
                <w:rStyle w:val="15"/>
                <w:rFonts w:hint="eastAsia" w:ascii="宋体" w:hAnsi="宋体" w:eastAsia="宋体" w:cs="宋体"/>
                <w:color w:val="auto"/>
                <w:sz w:val="21"/>
                <w:szCs w:val="21"/>
                <w:highlight w:val="none"/>
                <w:shd w:val="clear" w:color="auto" w:fill="auto"/>
              </w:rPr>
              <w:t>（</w:t>
            </w:r>
            <w:r>
              <w:rPr>
                <w:rStyle w:val="15"/>
                <w:rFonts w:hint="eastAsia" w:ascii="宋体" w:hAnsi="宋体" w:eastAsia="宋体" w:cs="宋体"/>
                <w:color w:val="auto"/>
                <w:sz w:val="21"/>
                <w:szCs w:val="21"/>
                <w:highlight w:val="none"/>
                <w:shd w:val="clear" w:color="auto" w:fill="auto"/>
                <w:lang w:eastAsia="zh-CN"/>
              </w:rPr>
              <w:t>8</w:t>
            </w:r>
            <w:r>
              <w:rPr>
                <w:rStyle w:val="15"/>
                <w:rFonts w:hint="eastAsia" w:ascii="宋体" w:hAnsi="宋体" w:eastAsia="宋体" w:cs="宋体"/>
                <w:color w:val="auto"/>
                <w:sz w:val="21"/>
                <w:szCs w:val="21"/>
                <w:highlight w:val="none"/>
                <w:shd w:val="clear" w:color="auto" w:fill="auto"/>
              </w:rPr>
              <w:t>）同一投标人未提交两个以上不同的投标文件，但招标文件要求提交备选投标的除外。</w:t>
            </w:r>
          </w:p>
          <w:p w14:paraId="27162129">
            <w:pPr>
              <w:pStyle w:val="13"/>
              <w:keepNext w:val="0"/>
              <w:keepLines w:val="0"/>
              <w:pageBreakBefore w:val="0"/>
              <w:widowControl w:val="0"/>
              <w:shd w:val="clear" w:color="auto" w:fill="auto"/>
              <w:tabs>
                <w:tab w:val="left" w:pos="1181"/>
              </w:tabs>
              <w:kinsoku/>
              <w:wordWrap/>
              <w:overflowPunct/>
              <w:topLinePunct w:val="0"/>
              <w:autoSpaceDE/>
              <w:autoSpaceDN/>
              <w:bidi w:val="0"/>
              <w:adjustRightInd/>
              <w:snapToGrid/>
              <w:spacing w:before="0" w:line="360" w:lineRule="exact"/>
              <w:ind w:firstLine="420" w:firstLineChars="200"/>
              <w:jc w:val="both"/>
              <w:textAlignment w:val="auto"/>
              <w:rPr>
                <w:rFonts w:hint="eastAsia" w:ascii="宋体" w:hAnsi="宋体" w:eastAsia="宋体" w:cs="宋体"/>
                <w:sz w:val="21"/>
                <w:szCs w:val="21"/>
                <w:highlight w:val="none"/>
              </w:rPr>
            </w:pPr>
            <w:r>
              <w:rPr>
                <w:rStyle w:val="15"/>
                <w:rFonts w:hint="eastAsia" w:ascii="宋体" w:hAnsi="宋体" w:eastAsia="宋体" w:cs="宋体"/>
                <w:color w:val="auto"/>
                <w:sz w:val="21"/>
                <w:szCs w:val="21"/>
                <w:highlight w:val="none"/>
                <w:shd w:val="clear" w:color="auto" w:fill="auto"/>
              </w:rPr>
              <w:t>（</w:t>
            </w:r>
            <w:r>
              <w:rPr>
                <w:rStyle w:val="15"/>
                <w:rFonts w:hint="eastAsia" w:ascii="宋体" w:hAnsi="宋体" w:eastAsia="宋体" w:cs="宋体"/>
                <w:color w:val="auto"/>
                <w:sz w:val="21"/>
                <w:szCs w:val="21"/>
                <w:highlight w:val="none"/>
                <w:shd w:val="clear" w:color="auto" w:fill="auto"/>
                <w:lang w:eastAsia="zh-CN"/>
              </w:rPr>
              <w:t>9</w:t>
            </w:r>
            <w:r>
              <w:rPr>
                <w:rStyle w:val="15"/>
                <w:rFonts w:hint="eastAsia" w:ascii="宋体" w:hAnsi="宋体" w:eastAsia="宋体" w:cs="宋体"/>
                <w:color w:val="auto"/>
                <w:sz w:val="21"/>
                <w:szCs w:val="21"/>
                <w:highlight w:val="none"/>
                <w:shd w:val="clear" w:color="auto" w:fill="auto"/>
              </w:rPr>
              <w:t>）投标文件中未出现有关投标报价的内容。</w:t>
            </w:r>
          </w:p>
          <w:p w14:paraId="58CF8113">
            <w:pPr>
              <w:pStyle w:val="13"/>
              <w:keepNext w:val="0"/>
              <w:keepLines w:val="0"/>
              <w:pageBreakBefore w:val="0"/>
              <w:widowControl w:val="0"/>
              <w:shd w:val="clear" w:color="auto" w:fill="auto"/>
              <w:tabs>
                <w:tab w:val="left" w:pos="936"/>
              </w:tabs>
              <w:kinsoku/>
              <w:wordWrap/>
              <w:overflowPunct/>
              <w:topLinePunct w:val="0"/>
              <w:autoSpaceDE/>
              <w:autoSpaceDN/>
              <w:bidi w:val="0"/>
              <w:adjustRightInd/>
              <w:snapToGrid/>
              <w:spacing w:before="0" w:line="360" w:lineRule="exact"/>
              <w:ind w:firstLine="420" w:firstLineChars="200"/>
              <w:jc w:val="both"/>
              <w:textAlignment w:val="auto"/>
              <w:rPr>
                <w:rFonts w:hint="eastAsia" w:ascii="宋体" w:hAnsi="宋体" w:eastAsia="宋体" w:cs="宋体"/>
                <w:sz w:val="21"/>
                <w:szCs w:val="21"/>
                <w:highlight w:val="none"/>
              </w:rPr>
            </w:pPr>
            <w:r>
              <w:rPr>
                <w:rStyle w:val="15"/>
                <w:rFonts w:hint="eastAsia" w:ascii="宋体" w:hAnsi="宋体" w:eastAsia="宋体" w:cs="宋体"/>
                <w:color w:val="auto"/>
                <w:sz w:val="21"/>
                <w:szCs w:val="21"/>
                <w:highlight w:val="none"/>
                <w:shd w:val="clear" w:color="auto" w:fill="auto"/>
              </w:rPr>
              <w:t>（1</w:t>
            </w:r>
            <w:r>
              <w:rPr>
                <w:rStyle w:val="15"/>
                <w:rFonts w:hint="eastAsia" w:ascii="宋体" w:hAnsi="宋体" w:eastAsia="宋体" w:cs="宋体"/>
                <w:color w:val="auto"/>
                <w:sz w:val="21"/>
                <w:szCs w:val="21"/>
                <w:highlight w:val="none"/>
                <w:shd w:val="clear" w:color="auto" w:fill="auto"/>
                <w:lang w:eastAsia="zh-CN"/>
              </w:rPr>
              <w:t>0</w:t>
            </w:r>
            <w:r>
              <w:rPr>
                <w:rStyle w:val="15"/>
                <w:rFonts w:hint="eastAsia" w:ascii="宋体" w:hAnsi="宋体" w:eastAsia="宋体" w:cs="宋体"/>
                <w:color w:val="auto"/>
                <w:sz w:val="21"/>
                <w:szCs w:val="21"/>
                <w:highlight w:val="none"/>
                <w:shd w:val="clear" w:color="auto" w:fill="auto"/>
              </w:rPr>
              <w:t>）投标文件载明的招标项目完成期限未超过招标文件规定的时限。</w:t>
            </w:r>
          </w:p>
          <w:p w14:paraId="4F65E469">
            <w:pPr>
              <w:pStyle w:val="13"/>
              <w:keepNext w:val="0"/>
              <w:keepLines w:val="0"/>
              <w:pageBreakBefore w:val="0"/>
              <w:widowControl w:val="0"/>
              <w:shd w:val="clear" w:color="auto" w:fill="auto"/>
              <w:tabs>
                <w:tab w:val="left" w:pos="1181"/>
              </w:tabs>
              <w:kinsoku/>
              <w:wordWrap/>
              <w:overflowPunct/>
              <w:topLinePunct w:val="0"/>
              <w:autoSpaceDE/>
              <w:autoSpaceDN/>
              <w:bidi w:val="0"/>
              <w:adjustRightInd/>
              <w:snapToGrid/>
              <w:spacing w:before="0" w:line="360" w:lineRule="exact"/>
              <w:ind w:firstLine="420" w:firstLineChars="200"/>
              <w:jc w:val="both"/>
              <w:textAlignment w:val="auto"/>
              <w:rPr>
                <w:rFonts w:hint="eastAsia" w:ascii="宋体" w:hAnsi="宋体" w:eastAsia="宋体" w:cs="宋体"/>
                <w:sz w:val="21"/>
                <w:szCs w:val="21"/>
                <w:highlight w:val="none"/>
              </w:rPr>
            </w:pPr>
            <w:r>
              <w:rPr>
                <w:rStyle w:val="15"/>
                <w:rFonts w:hint="eastAsia" w:ascii="宋体" w:hAnsi="宋体" w:eastAsia="宋体" w:cs="宋体"/>
                <w:color w:val="auto"/>
                <w:sz w:val="21"/>
                <w:szCs w:val="21"/>
                <w:highlight w:val="none"/>
                <w:shd w:val="clear" w:color="auto" w:fill="auto"/>
              </w:rPr>
              <w:t>（1</w:t>
            </w:r>
            <w:r>
              <w:rPr>
                <w:rStyle w:val="15"/>
                <w:rFonts w:hint="eastAsia" w:ascii="宋体" w:hAnsi="宋体" w:eastAsia="宋体" w:cs="宋体"/>
                <w:color w:val="auto"/>
                <w:sz w:val="21"/>
                <w:szCs w:val="21"/>
                <w:highlight w:val="none"/>
                <w:shd w:val="clear" w:color="auto" w:fill="auto"/>
                <w:lang w:eastAsia="zh-CN"/>
              </w:rPr>
              <w:t>1</w:t>
            </w:r>
            <w:r>
              <w:rPr>
                <w:rStyle w:val="15"/>
                <w:rFonts w:hint="eastAsia" w:ascii="宋体" w:hAnsi="宋体" w:eastAsia="宋体" w:cs="宋体"/>
                <w:color w:val="auto"/>
                <w:sz w:val="21"/>
                <w:szCs w:val="21"/>
                <w:highlight w:val="none"/>
                <w:shd w:val="clear" w:color="auto" w:fill="auto"/>
              </w:rPr>
              <w:t>）投标文件对招标文件的实质性要求和条件作出响应。</w:t>
            </w:r>
          </w:p>
          <w:p w14:paraId="3ABE7D03">
            <w:pPr>
              <w:pStyle w:val="13"/>
              <w:keepNext w:val="0"/>
              <w:keepLines w:val="0"/>
              <w:pageBreakBefore w:val="0"/>
              <w:widowControl w:val="0"/>
              <w:shd w:val="clear" w:color="auto" w:fill="auto"/>
              <w:tabs>
                <w:tab w:val="left" w:pos="1176"/>
              </w:tabs>
              <w:kinsoku/>
              <w:wordWrap/>
              <w:overflowPunct/>
              <w:topLinePunct w:val="0"/>
              <w:autoSpaceDE/>
              <w:autoSpaceDN/>
              <w:bidi w:val="0"/>
              <w:adjustRightInd/>
              <w:snapToGrid/>
              <w:spacing w:before="0" w:line="360" w:lineRule="exact"/>
              <w:ind w:firstLine="420" w:firstLineChars="200"/>
              <w:jc w:val="both"/>
              <w:textAlignment w:val="auto"/>
              <w:rPr>
                <w:rFonts w:hint="eastAsia" w:ascii="宋体" w:hAnsi="宋体" w:eastAsia="宋体" w:cs="宋体"/>
                <w:sz w:val="21"/>
                <w:szCs w:val="21"/>
                <w:highlight w:val="none"/>
              </w:rPr>
            </w:pPr>
            <w:r>
              <w:rPr>
                <w:rStyle w:val="15"/>
                <w:rFonts w:hint="eastAsia" w:ascii="宋体" w:hAnsi="宋体" w:eastAsia="宋体" w:cs="宋体"/>
                <w:color w:val="auto"/>
                <w:sz w:val="21"/>
                <w:szCs w:val="21"/>
                <w:highlight w:val="none"/>
                <w:shd w:val="clear" w:color="auto" w:fill="auto"/>
              </w:rPr>
              <w:t>（1</w:t>
            </w:r>
            <w:r>
              <w:rPr>
                <w:rStyle w:val="15"/>
                <w:rFonts w:hint="eastAsia" w:ascii="宋体" w:hAnsi="宋体" w:eastAsia="宋体" w:cs="宋体"/>
                <w:color w:val="auto"/>
                <w:sz w:val="21"/>
                <w:szCs w:val="21"/>
                <w:highlight w:val="none"/>
                <w:shd w:val="clear" w:color="auto" w:fill="auto"/>
                <w:lang w:eastAsia="zh-CN"/>
              </w:rPr>
              <w:t>2</w:t>
            </w:r>
            <w:r>
              <w:rPr>
                <w:rStyle w:val="15"/>
                <w:rFonts w:hint="eastAsia" w:ascii="宋体" w:hAnsi="宋体" w:eastAsia="宋体" w:cs="宋体"/>
                <w:color w:val="auto"/>
                <w:sz w:val="21"/>
                <w:szCs w:val="21"/>
                <w:highlight w:val="none"/>
                <w:shd w:val="clear" w:color="auto" w:fill="auto"/>
              </w:rPr>
              <w:t>）权利义务符合招标文件规定</w:t>
            </w:r>
            <w:r>
              <w:rPr>
                <w:rStyle w:val="16"/>
                <w:rFonts w:hint="eastAsia" w:ascii="宋体" w:hAnsi="宋体" w:eastAsia="宋体" w:cs="宋体"/>
                <w:b w:val="0"/>
                <w:color w:val="auto"/>
                <w:sz w:val="21"/>
                <w:szCs w:val="21"/>
                <w:highlight w:val="none"/>
              </w:rPr>
              <w:t>：</w:t>
            </w:r>
          </w:p>
          <w:p w14:paraId="0AFC3F03">
            <w:pPr>
              <w:pStyle w:val="13"/>
              <w:keepNext w:val="0"/>
              <w:keepLines w:val="0"/>
              <w:pageBreakBefore w:val="0"/>
              <w:widowControl w:val="0"/>
              <w:shd w:val="clear" w:color="auto" w:fill="auto"/>
              <w:tabs>
                <w:tab w:val="left" w:pos="569"/>
              </w:tabs>
              <w:kinsoku/>
              <w:wordWrap/>
              <w:overflowPunct/>
              <w:topLinePunct w:val="0"/>
              <w:autoSpaceDE/>
              <w:autoSpaceDN/>
              <w:bidi w:val="0"/>
              <w:adjustRightInd/>
              <w:snapToGrid/>
              <w:spacing w:before="0" w:line="360" w:lineRule="exact"/>
              <w:ind w:firstLine="420" w:firstLineChars="200"/>
              <w:jc w:val="both"/>
              <w:textAlignment w:val="auto"/>
              <w:rPr>
                <w:rFonts w:hint="eastAsia" w:ascii="宋体" w:hAnsi="宋体" w:eastAsia="宋体" w:cs="宋体"/>
                <w:sz w:val="21"/>
                <w:szCs w:val="21"/>
                <w:highlight w:val="none"/>
              </w:rPr>
            </w:pPr>
            <w:r>
              <w:rPr>
                <w:rStyle w:val="15"/>
                <w:rFonts w:hint="eastAsia" w:ascii="宋体" w:hAnsi="宋体" w:eastAsia="宋体" w:cs="宋体"/>
                <w:color w:val="auto"/>
                <w:sz w:val="21"/>
                <w:szCs w:val="21"/>
                <w:highlight w:val="none"/>
                <w:shd w:val="clear" w:color="auto" w:fill="auto"/>
              </w:rPr>
              <w:t>a.投标人应接受招标文件规定的风险划分原则，未提出新的风险划分办法；</w:t>
            </w:r>
          </w:p>
          <w:p w14:paraId="38F70438">
            <w:pPr>
              <w:pStyle w:val="13"/>
              <w:keepNext w:val="0"/>
              <w:keepLines w:val="0"/>
              <w:pageBreakBefore w:val="0"/>
              <w:widowControl w:val="0"/>
              <w:shd w:val="clear" w:color="auto" w:fill="auto"/>
              <w:tabs>
                <w:tab w:val="left" w:pos="710"/>
              </w:tabs>
              <w:kinsoku/>
              <w:wordWrap/>
              <w:overflowPunct/>
              <w:topLinePunct w:val="0"/>
              <w:autoSpaceDE/>
              <w:autoSpaceDN/>
              <w:bidi w:val="0"/>
              <w:adjustRightInd/>
              <w:snapToGrid/>
              <w:spacing w:before="0" w:line="360" w:lineRule="exact"/>
              <w:ind w:firstLine="420" w:firstLineChars="200"/>
              <w:jc w:val="both"/>
              <w:textAlignment w:val="auto"/>
              <w:rPr>
                <w:rFonts w:hint="eastAsia" w:ascii="宋体" w:hAnsi="宋体" w:eastAsia="宋体" w:cs="宋体"/>
                <w:sz w:val="21"/>
                <w:szCs w:val="21"/>
                <w:highlight w:val="none"/>
              </w:rPr>
            </w:pPr>
            <w:r>
              <w:rPr>
                <w:rStyle w:val="15"/>
                <w:rFonts w:hint="eastAsia" w:ascii="宋体" w:hAnsi="宋体" w:eastAsia="宋体" w:cs="宋体"/>
                <w:color w:val="auto"/>
                <w:sz w:val="21"/>
                <w:szCs w:val="21"/>
                <w:highlight w:val="none"/>
                <w:shd w:val="clear" w:color="auto" w:fill="auto"/>
              </w:rPr>
              <w:t>b.投标人未增加发包人的责任范围，或减少投标人义务；</w:t>
            </w:r>
          </w:p>
          <w:p w14:paraId="709CD7A2">
            <w:pPr>
              <w:pStyle w:val="13"/>
              <w:keepNext w:val="0"/>
              <w:keepLines w:val="0"/>
              <w:pageBreakBefore w:val="0"/>
              <w:widowControl w:val="0"/>
              <w:shd w:val="clear" w:color="auto" w:fill="auto"/>
              <w:kinsoku/>
              <w:wordWrap/>
              <w:overflowPunct/>
              <w:topLinePunct w:val="0"/>
              <w:autoSpaceDE/>
              <w:autoSpaceDN/>
              <w:bidi w:val="0"/>
              <w:adjustRightInd/>
              <w:snapToGrid/>
              <w:spacing w:before="0" w:line="360" w:lineRule="exact"/>
              <w:ind w:firstLine="420" w:firstLineChars="200"/>
              <w:jc w:val="both"/>
              <w:textAlignment w:val="auto"/>
              <w:rPr>
                <w:rFonts w:hint="eastAsia" w:ascii="宋体" w:hAnsi="宋体" w:eastAsia="宋体" w:cs="宋体"/>
                <w:sz w:val="21"/>
                <w:szCs w:val="21"/>
                <w:highlight w:val="none"/>
              </w:rPr>
            </w:pPr>
            <w:r>
              <w:rPr>
                <w:rStyle w:val="17"/>
                <w:rFonts w:hint="eastAsia" w:ascii="宋体" w:hAnsi="宋体" w:eastAsia="宋体" w:cs="宋体"/>
                <w:color w:val="auto"/>
                <w:sz w:val="21"/>
                <w:szCs w:val="21"/>
                <w:highlight w:val="none"/>
                <w:shd w:val="clear" w:color="auto" w:fill="auto"/>
                <w:lang w:eastAsia="zh-CN"/>
              </w:rPr>
              <w:t>c.</w:t>
            </w:r>
            <w:r>
              <w:rPr>
                <w:rStyle w:val="15"/>
                <w:rFonts w:hint="eastAsia" w:ascii="宋体" w:hAnsi="宋体" w:eastAsia="宋体" w:cs="宋体"/>
                <w:color w:val="auto"/>
                <w:sz w:val="21"/>
                <w:szCs w:val="21"/>
                <w:highlight w:val="none"/>
                <w:shd w:val="clear" w:color="auto" w:fill="auto"/>
              </w:rPr>
              <w:t>投标人未提出不同的支付办法；</w:t>
            </w:r>
          </w:p>
          <w:p w14:paraId="25DD506E">
            <w:pPr>
              <w:pStyle w:val="13"/>
              <w:keepNext w:val="0"/>
              <w:keepLines w:val="0"/>
              <w:pageBreakBefore w:val="0"/>
              <w:widowControl w:val="0"/>
              <w:shd w:val="clear" w:color="auto" w:fill="auto"/>
              <w:tabs>
                <w:tab w:val="left" w:pos="703"/>
              </w:tabs>
              <w:kinsoku/>
              <w:wordWrap/>
              <w:overflowPunct/>
              <w:topLinePunct w:val="0"/>
              <w:autoSpaceDE/>
              <w:autoSpaceDN/>
              <w:bidi w:val="0"/>
              <w:adjustRightInd/>
              <w:snapToGrid/>
              <w:spacing w:before="0" w:line="360" w:lineRule="exact"/>
              <w:ind w:firstLine="420" w:firstLineChars="200"/>
              <w:jc w:val="both"/>
              <w:textAlignment w:val="auto"/>
              <w:rPr>
                <w:rFonts w:hint="eastAsia" w:ascii="宋体" w:hAnsi="宋体" w:eastAsia="宋体" w:cs="宋体"/>
                <w:sz w:val="21"/>
                <w:szCs w:val="21"/>
                <w:highlight w:val="none"/>
              </w:rPr>
            </w:pPr>
            <w:r>
              <w:rPr>
                <w:rStyle w:val="15"/>
                <w:rFonts w:hint="eastAsia" w:ascii="宋体" w:hAnsi="宋体" w:eastAsia="宋体" w:cs="宋体"/>
                <w:color w:val="auto"/>
                <w:sz w:val="21"/>
                <w:szCs w:val="21"/>
                <w:highlight w:val="none"/>
                <w:shd w:val="clear" w:color="auto" w:fill="auto"/>
              </w:rPr>
              <w:t>d.投标人对合同纠纷、事故处理办法未提出异议；</w:t>
            </w:r>
          </w:p>
          <w:p w14:paraId="544DE4E1">
            <w:pPr>
              <w:pStyle w:val="13"/>
              <w:keepNext w:val="0"/>
              <w:keepLines w:val="0"/>
              <w:pageBreakBefore w:val="0"/>
              <w:widowControl w:val="0"/>
              <w:shd w:val="clear" w:color="auto" w:fill="auto"/>
              <w:tabs>
                <w:tab w:val="left" w:pos="689"/>
              </w:tabs>
              <w:kinsoku/>
              <w:wordWrap/>
              <w:overflowPunct/>
              <w:topLinePunct w:val="0"/>
              <w:autoSpaceDE/>
              <w:autoSpaceDN/>
              <w:bidi w:val="0"/>
              <w:adjustRightInd/>
              <w:snapToGrid/>
              <w:spacing w:before="0" w:line="360" w:lineRule="exact"/>
              <w:ind w:firstLine="420" w:firstLineChars="200"/>
              <w:jc w:val="both"/>
              <w:textAlignment w:val="auto"/>
              <w:rPr>
                <w:rFonts w:hint="eastAsia" w:ascii="宋体" w:hAnsi="宋体" w:eastAsia="宋体" w:cs="宋体"/>
                <w:sz w:val="21"/>
                <w:szCs w:val="21"/>
                <w:highlight w:val="none"/>
              </w:rPr>
            </w:pPr>
            <w:r>
              <w:rPr>
                <w:rStyle w:val="15"/>
                <w:rFonts w:hint="eastAsia" w:ascii="宋体" w:hAnsi="宋体" w:eastAsia="宋体" w:cs="宋体"/>
                <w:color w:val="auto"/>
                <w:sz w:val="21"/>
                <w:szCs w:val="21"/>
                <w:highlight w:val="none"/>
                <w:shd w:val="clear" w:color="auto" w:fill="auto"/>
              </w:rPr>
              <w:t>e.投标人在投标活动中无欺诈行为；</w:t>
            </w:r>
          </w:p>
          <w:p w14:paraId="4314CBA8">
            <w:pPr>
              <w:pStyle w:val="13"/>
              <w:keepNext w:val="0"/>
              <w:keepLines w:val="0"/>
              <w:pageBreakBefore w:val="0"/>
              <w:widowControl w:val="0"/>
              <w:shd w:val="clear" w:color="auto" w:fill="auto"/>
              <w:tabs>
                <w:tab w:val="left" w:pos="679"/>
              </w:tabs>
              <w:kinsoku/>
              <w:wordWrap/>
              <w:overflowPunct/>
              <w:topLinePunct w:val="0"/>
              <w:autoSpaceDE/>
              <w:autoSpaceDN/>
              <w:bidi w:val="0"/>
              <w:adjustRightInd/>
              <w:snapToGrid/>
              <w:spacing w:before="0" w:line="360" w:lineRule="exact"/>
              <w:ind w:firstLine="420" w:firstLineChars="200"/>
              <w:jc w:val="both"/>
              <w:textAlignment w:val="auto"/>
              <w:rPr>
                <w:rFonts w:hint="eastAsia" w:ascii="宋体" w:hAnsi="宋体" w:eastAsia="宋体" w:cs="宋体"/>
                <w:sz w:val="21"/>
                <w:szCs w:val="21"/>
                <w:highlight w:val="none"/>
              </w:rPr>
            </w:pPr>
            <w:r>
              <w:rPr>
                <w:rStyle w:val="15"/>
                <w:rFonts w:hint="eastAsia" w:ascii="宋体" w:hAnsi="宋体" w:eastAsia="宋体" w:cs="宋体"/>
                <w:color w:val="auto"/>
                <w:sz w:val="21"/>
                <w:szCs w:val="21"/>
                <w:highlight w:val="none"/>
                <w:shd w:val="clear" w:color="auto" w:fill="auto"/>
                <w:lang w:eastAsia="zh-CN"/>
              </w:rPr>
              <w:t>f</w:t>
            </w:r>
            <w:r>
              <w:rPr>
                <w:rStyle w:val="15"/>
                <w:rFonts w:hint="eastAsia" w:ascii="宋体" w:hAnsi="宋体" w:eastAsia="宋体" w:cs="宋体"/>
                <w:color w:val="auto"/>
                <w:sz w:val="21"/>
                <w:szCs w:val="21"/>
                <w:highlight w:val="none"/>
                <w:shd w:val="clear" w:color="auto" w:fill="auto"/>
              </w:rPr>
              <w:t>.投标人未对合同条款有重要保留。</w:t>
            </w:r>
          </w:p>
          <w:p w14:paraId="32070E50">
            <w:pPr>
              <w:keepNext w:val="0"/>
              <w:keepLines w:val="0"/>
              <w:pageBreakBefore w:val="0"/>
              <w:widowControl w:val="0"/>
              <w:tabs>
                <w:tab w:val="left" w:pos="735"/>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highlight w:val="none"/>
              </w:rPr>
            </w:pPr>
          </w:p>
          <w:p w14:paraId="719A3FFB">
            <w:pPr>
              <w:pStyle w:val="13"/>
              <w:keepNext w:val="0"/>
              <w:keepLines w:val="0"/>
              <w:pageBreakBefore w:val="0"/>
              <w:widowControl w:val="0"/>
              <w:shd w:val="clear" w:color="auto" w:fill="auto"/>
              <w:kinsoku/>
              <w:wordWrap/>
              <w:overflowPunct/>
              <w:topLinePunct w:val="0"/>
              <w:autoSpaceDE/>
              <w:autoSpaceDN/>
              <w:bidi w:val="0"/>
              <w:adjustRightInd/>
              <w:snapToGrid/>
              <w:spacing w:before="0" w:line="360" w:lineRule="exact"/>
              <w:jc w:val="left"/>
              <w:textAlignment w:val="auto"/>
              <w:rPr>
                <w:rFonts w:hint="eastAsia" w:ascii="宋体" w:hAnsi="宋体" w:eastAsia="宋体" w:cs="宋体"/>
                <w:sz w:val="21"/>
                <w:szCs w:val="21"/>
                <w:highlight w:val="none"/>
              </w:rPr>
            </w:pPr>
            <w:r>
              <w:rPr>
                <w:rStyle w:val="16"/>
                <w:rFonts w:hint="eastAsia" w:ascii="宋体" w:hAnsi="宋体" w:eastAsia="宋体" w:cs="宋体"/>
                <w:b w:val="0"/>
                <w:color w:val="auto"/>
                <w:sz w:val="21"/>
                <w:szCs w:val="21"/>
                <w:highlight w:val="none"/>
              </w:rPr>
              <w:t>第二个信封（报价文件）评审标准：</w:t>
            </w:r>
          </w:p>
          <w:p w14:paraId="1443E719">
            <w:pPr>
              <w:keepNext w:val="0"/>
              <w:keepLines w:val="0"/>
              <w:pageBreakBefore w:val="0"/>
              <w:widowControl w:val="0"/>
              <w:tabs>
                <w:tab w:val="left" w:pos="735"/>
              </w:tabs>
              <w:kinsoku/>
              <w:wordWrap/>
              <w:overflowPunct/>
              <w:topLinePunct w:val="0"/>
              <w:autoSpaceDE/>
              <w:autoSpaceDN/>
              <w:bidi w:val="0"/>
              <w:adjustRightInd/>
              <w:snapToGrid/>
              <w:spacing w:line="360" w:lineRule="exact"/>
              <w:ind w:firstLine="420" w:firstLineChars="200"/>
              <w:textAlignment w:val="auto"/>
              <w:rPr>
                <w:rStyle w:val="15"/>
                <w:rFonts w:hint="eastAsia" w:ascii="宋体" w:hAnsi="宋体" w:eastAsia="宋体" w:cs="宋体"/>
                <w:color w:val="auto"/>
                <w:sz w:val="21"/>
                <w:szCs w:val="21"/>
                <w:highlight w:val="none"/>
                <w:shd w:val="clear" w:color="auto" w:fill="auto"/>
                <w:lang w:eastAsia="zh-CN"/>
              </w:rPr>
            </w:pPr>
            <w:r>
              <w:rPr>
                <w:rStyle w:val="15"/>
                <w:rFonts w:hint="eastAsia" w:ascii="宋体" w:hAnsi="宋体" w:eastAsia="宋体" w:cs="宋体"/>
                <w:color w:val="auto"/>
                <w:sz w:val="21"/>
                <w:szCs w:val="21"/>
                <w:highlight w:val="none"/>
                <w:shd w:val="clear" w:color="auto" w:fill="auto"/>
              </w:rPr>
              <w:t>（1）投标文件按照招标文件规定的格式、内容填写，字迹清晰可辨，内容齐全完整：</w:t>
            </w:r>
          </w:p>
          <w:p w14:paraId="6CDC9BDE">
            <w:pPr>
              <w:pStyle w:val="13"/>
              <w:keepNext w:val="0"/>
              <w:keepLines w:val="0"/>
              <w:pageBreakBefore w:val="0"/>
              <w:widowControl w:val="0"/>
              <w:shd w:val="clear" w:color="auto" w:fill="auto"/>
              <w:tabs>
                <w:tab w:val="left" w:pos="569"/>
              </w:tabs>
              <w:kinsoku/>
              <w:wordWrap/>
              <w:overflowPunct/>
              <w:topLinePunct w:val="0"/>
              <w:autoSpaceDE/>
              <w:autoSpaceDN/>
              <w:bidi w:val="0"/>
              <w:adjustRightInd/>
              <w:snapToGrid/>
              <w:spacing w:before="0" w:line="360" w:lineRule="exact"/>
              <w:ind w:firstLine="420" w:firstLineChars="200"/>
              <w:jc w:val="left"/>
              <w:textAlignment w:val="auto"/>
              <w:rPr>
                <w:rFonts w:hint="eastAsia" w:ascii="宋体" w:hAnsi="宋体" w:eastAsia="宋体" w:cs="宋体"/>
                <w:sz w:val="21"/>
                <w:szCs w:val="21"/>
                <w:highlight w:val="none"/>
              </w:rPr>
            </w:pPr>
            <w:r>
              <w:rPr>
                <w:rStyle w:val="15"/>
                <w:rFonts w:hint="eastAsia" w:ascii="宋体" w:hAnsi="宋体" w:eastAsia="宋体" w:cs="宋体"/>
                <w:color w:val="auto"/>
                <w:sz w:val="21"/>
                <w:szCs w:val="21"/>
                <w:highlight w:val="none"/>
                <w:shd w:val="clear" w:color="auto" w:fill="auto"/>
              </w:rPr>
              <w:t>a.投标函按招标文件规定填报了项目名称、标段号、补遗书编号（如有</w:t>
            </w:r>
            <w:r>
              <w:rPr>
                <w:rStyle w:val="15"/>
                <w:rFonts w:hint="eastAsia" w:eastAsia="宋体" w:cs="宋体"/>
                <w:color w:val="auto"/>
                <w:sz w:val="21"/>
                <w:szCs w:val="21"/>
                <w:highlight w:val="none"/>
                <w:shd w:val="clear" w:color="auto" w:fill="auto"/>
                <w:lang w:eastAsia="zh-CN"/>
              </w:rPr>
              <w:t>）</w:t>
            </w:r>
            <w:r>
              <w:rPr>
                <w:rStyle w:val="15"/>
                <w:rFonts w:hint="eastAsia" w:ascii="宋体" w:hAnsi="宋体" w:eastAsia="宋体" w:cs="宋体"/>
                <w:color w:val="auto"/>
                <w:sz w:val="21"/>
                <w:szCs w:val="21"/>
                <w:highlight w:val="none"/>
                <w:shd w:val="clear" w:color="auto" w:fill="auto"/>
              </w:rPr>
              <w:t>、投标价（包括大写金额和小写金额</w:t>
            </w:r>
            <w:r>
              <w:rPr>
                <w:rStyle w:val="15"/>
                <w:rFonts w:hint="eastAsia" w:eastAsia="宋体" w:cs="宋体"/>
                <w:color w:val="auto"/>
                <w:sz w:val="21"/>
                <w:szCs w:val="21"/>
                <w:highlight w:val="none"/>
                <w:shd w:val="clear" w:color="auto" w:fill="auto"/>
                <w:lang w:eastAsia="zh-CN" w:bidi="en-US"/>
              </w:rPr>
              <w:t>）</w:t>
            </w:r>
            <w:r>
              <w:rPr>
                <w:rStyle w:val="15"/>
                <w:rFonts w:hint="eastAsia" w:ascii="宋体" w:hAnsi="宋体" w:eastAsia="宋体" w:cs="宋体"/>
                <w:color w:val="auto"/>
                <w:sz w:val="21"/>
                <w:szCs w:val="21"/>
                <w:highlight w:val="none"/>
                <w:shd w:val="clear" w:color="auto" w:fill="auto"/>
                <w:lang w:bidi="en-US"/>
              </w:rPr>
              <w:t>；</w:t>
            </w:r>
          </w:p>
          <w:p w14:paraId="33646134">
            <w:pPr>
              <w:pStyle w:val="13"/>
              <w:keepNext w:val="0"/>
              <w:keepLines w:val="0"/>
              <w:pageBreakBefore w:val="0"/>
              <w:widowControl w:val="0"/>
              <w:shd w:val="clear" w:color="auto" w:fill="auto"/>
              <w:tabs>
                <w:tab w:val="left" w:pos="593"/>
              </w:tabs>
              <w:kinsoku/>
              <w:wordWrap/>
              <w:overflowPunct/>
              <w:topLinePunct w:val="0"/>
              <w:autoSpaceDE/>
              <w:autoSpaceDN/>
              <w:bidi w:val="0"/>
              <w:adjustRightInd/>
              <w:snapToGrid/>
              <w:spacing w:before="0" w:line="360" w:lineRule="exact"/>
              <w:ind w:firstLine="420" w:firstLineChars="200"/>
              <w:jc w:val="left"/>
              <w:textAlignment w:val="auto"/>
              <w:rPr>
                <w:rFonts w:hint="eastAsia" w:ascii="宋体" w:hAnsi="宋体" w:eastAsia="宋体" w:cs="宋体"/>
                <w:sz w:val="21"/>
                <w:szCs w:val="21"/>
                <w:highlight w:val="none"/>
              </w:rPr>
            </w:pPr>
            <w:r>
              <w:rPr>
                <w:rStyle w:val="15"/>
                <w:rFonts w:hint="eastAsia" w:ascii="宋体" w:hAnsi="宋体" w:eastAsia="宋体" w:cs="宋体"/>
                <w:color w:val="auto"/>
                <w:sz w:val="21"/>
                <w:szCs w:val="21"/>
                <w:highlight w:val="none"/>
                <w:shd w:val="clear" w:color="auto" w:fill="auto"/>
              </w:rPr>
              <w:t>b.已标价报价清单说明文字与招标文件规定一致，未进行实质性修改和删减；</w:t>
            </w:r>
          </w:p>
          <w:p w14:paraId="2386E802">
            <w:pPr>
              <w:pStyle w:val="13"/>
              <w:keepNext w:val="0"/>
              <w:keepLines w:val="0"/>
              <w:pageBreakBefore w:val="0"/>
              <w:widowControl w:val="0"/>
              <w:shd w:val="clear" w:color="auto" w:fill="auto"/>
              <w:kinsoku/>
              <w:wordWrap/>
              <w:overflowPunct/>
              <w:topLinePunct w:val="0"/>
              <w:autoSpaceDE/>
              <w:autoSpaceDN/>
              <w:bidi w:val="0"/>
              <w:adjustRightInd/>
              <w:snapToGrid/>
              <w:spacing w:before="0" w:line="360" w:lineRule="exact"/>
              <w:ind w:firstLine="420" w:firstLineChars="200"/>
              <w:jc w:val="left"/>
              <w:textAlignment w:val="auto"/>
              <w:rPr>
                <w:rFonts w:hint="eastAsia" w:ascii="宋体" w:hAnsi="宋体" w:eastAsia="宋体" w:cs="宋体"/>
                <w:sz w:val="21"/>
                <w:szCs w:val="21"/>
                <w:highlight w:val="none"/>
              </w:rPr>
            </w:pPr>
            <w:r>
              <w:rPr>
                <w:rStyle w:val="17"/>
                <w:rFonts w:hint="eastAsia" w:ascii="宋体" w:hAnsi="宋体" w:eastAsia="宋体" w:cs="宋体"/>
                <w:color w:val="auto"/>
                <w:sz w:val="21"/>
                <w:szCs w:val="21"/>
                <w:highlight w:val="none"/>
                <w:shd w:val="clear" w:color="auto" w:fill="auto"/>
                <w:lang w:eastAsia="zh-CN"/>
              </w:rPr>
              <w:t>c.</w:t>
            </w:r>
            <w:r>
              <w:rPr>
                <w:rStyle w:val="15"/>
                <w:rFonts w:hint="eastAsia" w:ascii="宋体" w:hAnsi="宋体" w:eastAsia="宋体" w:cs="宋体"/>
                <w:color w:val="auto"/>
                <w:sz w:val="21"/>
                <w:szCs w:val="21"/>
                <w:highlight w:val="none"/>
                <w:shd w:val="clear" w:color="auto" w:fill="auto"/>
              </w:rPr>
              <w:t>投标文件组成齐全完整，内容均按规定填写。</w:t>
            </w:r>
          </w:p>
          <w:p w14:paraId="6F6E6209">
            <w:pPr>
              <w:pStyle w:val="13"/>
              <w:keepNext w:val="0"/>
              <w:keepLines w:val="0"/>
              <w:pageBreakBefore w:val="0"/>
              <w:widowControl w:val="0"/>
              <w:shd w:val="clear" w:color="auto" w:fill="auto"/>
              <w:tabs>
                <w:tab w:val="left" w:pos="948"/>
              </w:tabs>
              <w:kinsoku/>
              <w:wordWrap/>
              <w:overflowPunct/>
              <w:topLinePunct w:val="0"/>
              <w:autoSpaceDE/>
              <w:autoSpaceDN/>
              <w:bidi w:val="0"/>
              <w:adjustRightInd/>
              <w:snapToGrid/>
              <w:spacing w:before="0" w:line="360" w:lineRule="exact"/>
              <w:ind w:firstLine="420" w:firstLineChars="200"/>
              <w:jc w:val="both"/>
              <w:textAlignment w:val="auto"/>
              <w:rPr>
                <w:rFonts w:hint="eastAsia" w:ascii="宋体" w:hAnsi="宋体" w:eastAsia="宋体" w:cs="宋体"/>
                <w:sz w:val="21"/>
                <w:szCs w:val="21"/>
                <w:highlight w:val="none"/>
              </w:rPr>
            </w:pPr>
            <w:r>
              <w:rPr>
                <w:rStyle w:val="15"/>
                <w:rFonts w:hint="eastAsia" w:ascii="宋体" w:hAnsi="宋体" w:eastAsia="宋体" w:cs="宋体"/>
                <w:color w:val="auto"/>
                <w:sz w:val="21"/>
                <w:szCs w:val="21"/>
                <w:highlight w:val="none"/>
                <w:shd w:val="clear" w:color="auto" w:fill="auto"/>
              </w:rPr>
              <w:t>（2）投标文件上法定代表人或其委托代理人的签字、投标人的单位章盖章齐全，符合招标文件规定。</w:t>
            </w:r>
          </w:p>
          <w:p w14:paraId="18A24A52">
            <w:pPr>
              <w:pStyle w:val="13"/>
              <w:keepNext w:val="0"/>
              <w:keepLines w:val="0"/>
              <w:pageBreakBefore w:val="0"/>
              <w:widowControl w:val="0"/>
              <w:shd w:val="clear" w:color="auto" w:fill="auto"/>
              <w:tabs>
                <w:tab w:val="left" w:pos="1075"/>
              </w:tabs>
              <w:kinsoku/>
              <w:wordWrap/>
              <w:overflowPunct/>
              <w:topLinePunct w:val="0"/>
              <w:autoSpaceDE/>
              <w:autoSpaceDN/>
              <w:bidi w:val="0"/>
              <w:adjustRightInd/>
              <w:snapToGrid/>
              <w:spacing w:before="0" w:line="360" w:lineRule="exact"/>
              <w:ind w:firstLine="420" w:firstLineChars="200"/>
              <w:jc w:val="both"/>
              <w:textAlignment w:val="auto"/>
              <w:rPr>
                <w:rFonts w:hint="eastAsia" w:ascii="宋体" w:hAnsi="宋体" w:eastAsia="宋体" w:cs="宋体"/>
                <w:sz w:val="21"/>
                <w:szCs w:val="21"/>
                <w:highlight w:val="none"/>
              </w:rPr>
            </w:pPr>
            <w:r>
              <w:rPr>
                <w:rStyle w:val="15"/>
                <w:rFonts w:hint="eastAsia" w:ascii="宋体" w:hAnsi="宋体" w:eastAsia="宋体" w:cs="宋体"/>
                <w:color w:val="auto"/>
                <w:sz w:val="21"/>
                <w:szCs w:val="21"/>
                <w:highlight w:val="none"/>
                <w:shd w:val="clear" w:color="auto" w:fill="auto"/>
              </w:rPr>
              <w:t>（3）投标报价未超过招标文件设定的最高投标限价。</w:t>
            </w:r>
          </w:p>
          <w:p w14:paraId="07997F68">
            <w:pPr>
              <w:pStyle w:val="13"/>
              <w:keepNext w:val="0"/>
              <w:keepLines w:val="0"/>
              <w:pageBreakBefore w:val="0"/>
              <w:widowControl w:val="0"/>
              <w:shd w:val="clear" w:color="auto" w:fill="auto"/>
              <w:tabs>
                <w:tab w:val="left" w:pos="1075"/>
              </w:tabs>
              <w:kinsoku/>
              <w:wordWrap/>
              <w:overflowPunct/>
              <w:topLinePunct w:val="0"/>
              <w:autoSpaceDE/>
              <w:autoSpaceDN/>
              <w:bidi w:val="0"/>
              <w:adjustRightInd/>
              <w:snapToGrid/>
              <w:spacing w:before="0" w:line="360" w:lineRule="exact"/>
              <w:ind w:firstLine="420" w:firstLineChars="200"/>
              <w:jc w:val="both"/>
              <w:textAlignment w:val="auto"/>
              <w:rPr>
                <w:rFonts w:hint="eastAsia" w:ascii="宋体" w:hAnsi="宋体" w:eastAsia="宋体" w:cs="宋体"/>
                <w:sz w:val="21"/>
                <w:szCs w:val="21"/>
                <w:highlight w:val="none"/>
              </w:rPr>
            </w:pPr>
            <w:r>
              <w:rPr>
                <w:rStyle w:val="15"/>
                <w:rFonts w:hint="eastAsia" w:ascii="宋体" w:hAnsi="宋体" w:eastAsia="宋体" w:cs="宋体"/>
                <w:color w:val="auto"/>
                <w:sz w:val="21"/>
                <w:szCs w:val="21"/>
                <w:highlight w:val="none"/>
                <w:shd w:val="clear" w:color="auto" w:fill="auto"/>
              </w:rPr>
              <w:t>（4）投标报价的大写金额能够确定具体数值。</w:t>
            </w:r>
          </w:p>
          <w:p w14:paraId="5CCB2DDA">
            <w:pPr>
              <w:pStyle w:val="13"/>
              <w:keepNext w:val="0"/>
              <w:keepLines w:val="0"/>
              <w:pageBreakBefore w:val="0"/>
              <w:widowControl w:val="0"/>
              <w:shd w:val="clear" w:color="auto" w:fill="auto"/>
              <w:tabs>
                <w:tab w:val="left" w:pos="965"/>
              </w:tabs>
              <w:kinsoku/>
              <w:wordWrap/>
              <w:overflowPunct/>
              <w:topLinePunct w:val="0"/>
              <w:autoSpaceDE/>
              <w:autoSpaceDN/>
              <w:bidi w:val="0"/>
              <w:adjustRightInd/>
              <w:snapToGrid/>
              <w:spacing w:before="0" w:line="360" w:lineRule="exact"/>
              <w:ind w:firstLine="420" w:firstLineChars="200"/>
              <w:jc w:val="both"/>
              <w:textAlignment w:val="auto"/>
              <w:rPr>
                <w:rFonts w:hint="eastAsia" w:ascii="宋体" w:hAnsi="宋体" w:eastAsia="宋体" w:cs="宋体"/>
                <w:sz w:val="21"/>
                <w:szCs w:val="21"/>
                <w:highlight w:val="none"/>
              </w:rPr>
            </w:pPr>
            <w:r>
              <w:rPr>
                <w:rStyle w:val="15"/>
                <w:rFonts w:hint="eastAsia" w:ascii="宋体" w:hAnsi="宋体" w:eastAsia="宋体" w:cs="宋体"/>
                <w:color w:val="auto"/>
                <w:sz w:val="21"/>
                <w:szCs w:val="21"/>
                <w:highlight w:val="none"/>
                <w:shd w:val="clear" w:color="auto" w:fill="auto"/>
              </w:rPr>
              <w:t>（5）同一投标人未提交两个以上不同的投标报价，但招标文件要求提交备选投标的除外。</w:t>
            </w:r>
          </w:p>
        </w:tc>
      </w:tr>
      <w:tr w14:paraId="3E07E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shd w:val="clear" w:color="auto" w:fill="auto"/>
            <w:vAlign w:val="center"/>
          </w:tcPr>
          <w:p w14:paraId="184A802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20"/>
                <w:sz w:val="21"/>
                <w:szCs w:val="21"/>
                <w:highlight w:val="none"/>
              </w:rPr>
            </w:pPr>
            <w:r>
              <w:rPr>
                <w:rFonts w:hint="eastAsia" w:ascii="宋体" w:hAnsi="宋体" w:eastAsia="宋体" w:cs="宋体"/>
                <w:kern w:val="20"/>
                <w:sz w:val="21"/>
                <w:szCs w:val="21"/>
                <w:highlight w:val="none"/>
              </w:rPr>
              <w:t>2.1.2</w:t>
            </w:r>
          </w:p>
        </w:tc>
        <w:tc>
          <w:tcPr>
            <w:tcW w:w="1173" w:type="dxa"/>
            <w:shd w:val="clear" w:color="auto" w:fill="auto"/>
            <w:vAlign w:val="center"/>
          </w:tcPr>
          <w:p w14:paraId="39C40A4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20"/>
                <w:sz w:val="21"/>
                <w:szCs w:val="21"/>
                <w:highlight w:val="none"/>
              </w:rPr>
            </w:pPr>
            <w:r>
              <w:rPr>
                <w:rFonts w:hint="eastAsia" w:ascii="宋体" w:hAnsi="宋体" w:eastAsia="宋体" w:cs="宋体"/>
                <w:kern w:val="20"/>
                <w:sz w:val="21"/>
                <w:szCs w:val="21"/>
                <w:highlight w:val="none"/>
              </w:rPr>
              <w:t>资格</w:t>
            </w:r>
          </w:p>
          <w:p w14:paraId="009EE64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20"/>
                <w:sz w:val="21"/>
                <w:szCs w:val="21"/>
                <w:highlight w:val="none"/>
              </w:rPr>
            </w:pPr>
            <w:r>
              <w:rPr>
                <w:rFonts w:hint="eastAsia" w:ascii="宋体" w:hAnsi="宋体" w:eastAsia="宋体" w:cs="宋体"/>
                <w:kern w:val="20"/>
                <w:sz w:val="21"/>
                <w:szCs w:val="21"/>
                <w:highlight w:val="none"/>
              </w:rPr>
              <w:t>评审标准</w:t>
            </w:r>
          </w:p>
        </w:tc>
        <w:tc>
          <w:tcPr>
            <w:tcW w:w="7536" w:type="dxa"/>
            <w:shd w:val="clear" w:color="auto" w:fill="auto"/>
          </w:tcPr>
          <w:p w14:paraId="49C04364">
            <w:pPr>
              <w:pStyle w:val="13"/>
              <w:keepNext w:val="0"/>
              <w:keepLines w:val="0"/>
              <w:pageBreakBefore w:val="0"/>
              <w:widowControl w:val="0"/>
              <w:shd w:val="clear" w:color="auto" w:fill="auto"/>
              <w:tabs>
                <w:tab w:val="left" w:pos="946"/>
              </w:tabs>
              <w:kinsoku/>
              <w:wordWrap/>
              <w:overflowPunct/>
              <w:topLinePunct w:val="0"/>
              <w:autoSpaceDE/>
              <w:autoSpaceDN/>
              <w:bidi w:val="0"/>
              <w:adjustRightInd/>
              <w:snapToGrid/>
              <w:spacing w:before="0" w:line="360" w:lineRule="exact"/>
              <w:ind w:firstLine="420" w:firstLineChars="200"/>
              <w:jc w:val="both"/>
              <w:textAlignment w:val="auto"/>
              <w:rPr>
                <w:rStyle w:val="15"/>
                <w:rFonts w:hint="eastAsia" w:ascii="宋体" w:hAnsi="宋体" w:eastAsia="宋体" w:cs="宋体"/>
                <w:color w:val="auto"/>
                <w:sz w:val="21"/>
                <w:szCs w:val="21"/>
                <w:highlight w:val="none"/>
                <w:shd w:val="clear" w:color="auto" w:fill="auto"/>
              </w:rPr>
            </w:pPr>
            <w:r>
              <w:rPr>
                <w:rStyle w:val="15"/>
                <w:rFonts w:hint="eastAsia" w:ascii="宋体" w:hAnsi="宋体" w:eastAsia="宋体" w:cs="宋体"/>
                <w:color w:val="auto"/>
                <w:sz w:val="21"/>
                <w:szCs w:val="21"/>
                <w:highlight w:val="none"/>
                <w:shd w:val="clear" w:color="auto" w:fill="auto"/>
              </w:rPr>
              <w:t>（1）投标人具备有效的营业执照、勘察资质证书、设计资质证书和基本账户开户许可证明材料。</w:t>
            </w:r>
          </w:p>
          <w:p w14:paraId="624754DC">
            <w:pPr>
              <w:pStyle w:val="13"/>
              <w:keepNext w:val="0"/>
              <w:keepLines w:val="0"/>
              <w:pageBreakBefore w:val="0"/>
              <w:widowControl w:val="0"/>
              <w:shd w:val="clear" w:color="auto" w:fill="auto"/>
              <w:tabs>
                <w:tab w:val="left" w:pos="1073"/>
              </w:tabs>
              <w:kinsoku/>
              <w:wordWrap/>
              <w:overflowPunct/>
              <w:topLinePunct w:val="0"/>
              <w:autoSpaceDE/>
              <w:autoSpaceDN/>
              <w:bidi w:val="0"/>
              <w:adjustRightInd/>
              <w:snapToGrid/>
              <w:spacing w:before="0" w:line="360" w:lineRule="exact"/>
              <w:ind w:firstLine="420" w:firstLineChars="200"/>
              <w:jc w:val="both"/>
              <w:textAlignment w:val="auto"/>
              <w:rPr>
                <w:rStyle w:val="15"/>
                <w:rFonts w:hint="eastAsia" w:ascii="宋体" w:hAnsi="宋体" w:eastAsia="宋体" w:cs="宋体"/>
                <w:color w:val="auto"/>
                <w:sz w:val="21"/>
                <w:szCs w:val="21"/>
                <w:highlight w:val="none"/>
                <w:shd w:val="clear" w:color="auto" w:fill="auto"/>
              </w:rPr>
            </w:pPr>
            <w:r>
              <w:rPr>
                <w:rStyle w:val="15"/>
                <w:rFonts w:hint="eastAsia" w:ascii="宋体" w:hAnsi="宋体" w:eastAsia="宋体" w:cs="宋体"/>
                <w:color w:val="auto"/>
                <w:sz w:val="21"/>
                <w:szCs w:val="21"/>
                <w:highlight w:val="none"/>
                <w:shd w:val="clear" w:color="auto" w:fill="auto"/>
              </w:rPr>
              <w:t>（2）投标人的资质等级符合招标文件规定。</w:t>
            </w:r>
          </w:p>
          <w:p w14:paraId="61702BFE">
            <w:pPr>
              <w:pStyle w:val="13"/>
              <w:keepNext w:val="0"/>
              <w:keepLines w:val="0"/>
              <w:pageBreakBefore w:val="0"/>
              <w:widowControl w:val="0"/>
              <w:shd w:val="clear" w:color="auto" w:fill="auto"/>
              <w:tabs>
                <w:tab w:val="left" w:pos="1078"/>
              </w:tabs>
              <w:kinsoku/>
              <w:wordWrap/>
              <w:overflowPunct/>
              <w:topLinePunct w:val="0"/>
              <w:autoSpaceDE/>
              <w:autoSpaceDN/>
              <w:bidi w:val="0"/>
              <w:adjustRightInd/>
              <w:snapToGrid/>
              <w:spacing w:before="0" w:line="360" w:lineRule="exact"/>
              <w:ind w:firstLine="420" w:firstLineChars="200"/>
              <w:jc w:val="both"/>
              <w:textAlignment w:val="auto"/>
              <w:rPr>
                <w:rStyle w:val="15"/>
                <w:rFonts w:hint="eastAsia" w:ascii="宋体" w:hAnsi="宋体" w:eastAsia="宋体" w:cs="宋体"/>
                <w:color w:val="auto"/>
                <w:sz w:val="21"/>
                <w:szCs w:val="21"/>
                <w:highlight w:val="none"/>
                <w:shd w:val="clear" w:color="auto" w:fill="auto"/>
              </w:rPr>
            </w:pPr>
            <w:r>
              <w:rPr>
                <w:rStyle w:val="15"/>
                <w:rFonts w:hint="eastAsia" w:ascii="宋体" w:hAnsi="宋体" w:eastAsia="宋体" w:cs="宋体"/>
                <w:color w:val="auto"/>
                <w:sz w:val="21"/>
                <w:szCs w:val="21"/>
                <w:highlight w:val="none"/>
                <w:shd w:val="clear" w:color="auto" w:fill="auto"/>
              </w:rPr>
              <w:t>（3）投标人的类似项目业绩符合招标文件规定。</w:t>
            </w:r>
          </w:p>
          <w:p w14:paraId="29CB581B">
            <w:pPr>
              <w:pStyle w:val="13"/>
              <w:keepNext w:val="0"/>
              <w:keepLines w:val="0"/>
              <w:pageBreakBefore w:val="0"/>
              <w:widowControl w:val="0"/>
              <w:shd w:val="clear" w:color="auto" w:fill="auto"/>
              <w:tabs>
                <w:tab w:val="left" w:pos="1075"/>
              </w:tabs>
              <w:kinsoku/>
              <w:wordWrap/>
              <w:overflowPunct/>
              <w:topLinePunct w:val="0"/>
              <w:autoSpaceDE/>
              <w:autoSpaceDN/>
              <w:bidi w:val="0"/>
              <w:adjustRightInd/>
              <w:snapToGrid/>
              <w:spacing w:before="0" w:line="360" w:lineRule="exact"/>
              <w:ind w:firstLine="420" w:firstLineChars="200"/>
              <w:jc w:val="both"/>
              <w:textAlignment w:val="auto"/>
              <w:rPr>
                <w:rStyle w:val="15"/>
                <w:rFonts w:hint="eastAsia" w:ascii="宋体" w:hAnsi="宋体" w:eastAsia="宋体" w:cs="宋体"/>
                <w:color w:val="auto"/>
                <w:sz w:val="21"/>
                <w:szCs w:val="21"/>
                <w:highlight w:val="none"/>
                <w:shd w:val="clear" w:color="auto" w:fill="auto"/>
              </w:rPr>
            </w:pPr>
            <w:r>
              <w:rPr>
                <w:rStyle w:val="15"/>
                <w:rFonts w:hint="eastAsia" w:ascii="宋体" w:hAnsi="宋体" w:eastAsia="宋体" w:cs="宋体"/>
                <w:color w:val="auto"/>
                <w:sz w:val="21"/>
                <w:szCs w:val="21"/>
                <w:highlight w:val="none"/>
                <w:shd w:val="clear" w:color="auto" w:fill="auto"/>
              </w:rPr>
              <w:t>（4）投标人的信誉符合招标文件规定。</w:t>
            </w:r>
          </w:p>
          <w:p w14:paraId="6B941AB7">
            <w:pPr>
              <w:pStyle w:val="13"/>
              <w:keepNext w:val="0"/>
              <w:keepLines w:val="0"/>
              <w:pageBreakBefore w:val="0"/>
              <w:widowControl w:val="0"/>
              <w:shd w:val="clear" w:color="auto" w:fill="auto"/>
              <w:tabs>
                <w:tab w:val="left" w:pos="1078"/>
              </w:tabs>
              <w:kinsoku/>
              <w:wordWrap/>
              <w:overflowPunct/>
              <w:topLinePunct w:val="0"/>
              <w:autoSpaceDE/>
              <w:autoSpaceDN/>
              <w:bidi w:val="0"/>
              <w:adjustRightInd/>
              <w:snapToGrid/>
              <w:spacing w:before="0" w:line="360" w:lineRule="exact"/>
              <w:ind w:firstLine="420" w:firstLineChars="200"/>
              <w:jc w:val="both"/>
              <w:textAlignment w:val="auto"/>
              <w:rPr>
                <w:rStyle w:val="15"/>
                <w:rFonts w:hint="eastAsia" w:ascii="宋体" w:hAnsi="宋体" w:eastAsia="宋体" w:cs="宋体"/>
                <w:color w:val="auto"/>
                <w:sz w:val="21"/>
                <w:szCs w:val="21"/>
                <w:highlight w:val="none"/>
                <w:shd w:val="clear" w:color="auto" w:fill="auto"/>
              </w:rPr>
            </w:pPr>
            <w:r>
              <w:rPr>
                <w:rStyle w:val="15"/>
                <w:rFonts w:hint="eastAsia" w:ascii="宋体" w:hAnsi="宋体" w:eastAsia="宋体" w:cs="宋体"/>
                <w:color w:val="auto"/>
                <w:sz w:val="21"/>
                <w:szCs w:val="21"/>
                <w:highlight w:val="none"/>
                <w:shd w:val="clear" w:color="auto" w:fill="auto"/>
              </w:rPr>
              <w:t>（5）投标人的项目负责人资格符合招标文件规定。</w:t>
            </w:r>
          </w:p>
          <w:p w14:paraId="014A12BA">
            <w:pPr>
              <w:pStyle w:val="13"/>
              <w:keepNext w:val="0"/>
              <w:keepLines w:val="0"/>
              <w:pageBreakBefore w:val="0"/>
              <w:widowControl w:val="0"/>
              <w:shd w:val="clear" w:color="auto" w:fill="auto"/>
              <w:tabs>
                <w:tab w:val="left" w:pos="1073"/>
              </w:tabs>
              <w:kinsoku/>
              <w:wordWrap/>
              <w:overflowPunct/>
              <w:topLinePunct w:val="0"/>
              <w:autoSpaceDE/>
              <w:autoSpaceDN/>
              <w:bidi w:val="0"/>
              <w:adjustRightInd/>
              <w:snapToGrid/>
              <w:spacing w:before="0" w:line="360" w:lineRule="exact"/>
              <w:ind w:firstLine="420" w:firstLineChars="200"/>
              <w:jc w:val="both"/>
              <w:textAlignment w:val="auto"/>
              <w:rPr>
                <w:rStyle w:val="15"/>
                <w:rFonts w:hint="eastAsia" w:ascii="宋体" w:hAnsi="宋体" w:eastAsia="宋体" w:cs="宋体"/>
                <w:color w:val="auto"/>
                <w:sz w:val="21"/>
                <w:szCs w:val="21"/>
                <w:highlight w:val="none"/>
                <w:shd w:val="clear" w:color="auto" w:fill="auto"/>
              </w:rPr>
            </w:pPr>
            <w:r>
              <w:rPr>
                <w:rStyle w:val="15"/>
                <w:rFonts w:hint="eastAsia" w:ascii="宋体" w:hAnsi="宋体" w:eastAsia="宋体" w:cs="宋体"/>
                <w:color w:val="auto"/>
                <w:sz w:val="21"/>
                <w:szCs w:val="21"/>
                <w:highlight w:val="none"/>
                <w:shd w:val="clear" w:color="auto" w:fill="auto"/>
              </w:rPr>
              <w:t>（6）投标人不存在第二章“投标人须知”第1.4.3项或第1.4.4项规定的任何一种情形。</w:t>
            </w:r>
          </w:p>
          <w:p w14:paraId="58815020">
            <w:pPr>
              <w:pStyle w:val="13"/>
              <w:keepNext w:val="0"/>
              <w:keepLines w:val="0"/>
              <w:pageBreakBefore w:val="0"/>
              <w:widowControl w:val="0"/>
              <w:shd w:val="clear" w:color="auto" w:fill="auto"/>
              <w:tabs>
                <w:tab w:val="left" w:pos="1073"/>
              </w:tabs>
              <w:kinsoku/>
              <w:wordWrap/>
              <w:overflowPunct/>
              <w:topLinePunct w:val="0"/>
              <w:autoSpaceDE/>
              <w:autoSpaceDN/>
              <w:bidi w:val="0"/>
              <w:adjustRightInd/>
              <w:snapToGrid/>
              <w:spacing w:before="0" w:line="360" w:lineRule="exact"/>
              <w:ind w:firstLine="420" w:firstLineChars="200"/>
              <w:jc w:val="both"/>
              <w:textAlignment w:val="auto"/>
              <w:rPr>
                <w:rStyle w:val="15"/>
                <w:rFonts w:hint="eastAsia" w:ascii="宋体" w:hAnsi="宋体" w:eastAsia="宋体" w:cs="宋体"/>
                <w:color w:val="auto"/>
                <w:sz w:val="21"/>
                <w:szCs w:val="21"/>
                <w:highlight w:val="none"/>
                <w:shd w:val="clear" w:color="auto" w:fill="auto"/>
              </w:rPr>
            </w:pPr>
            <w:r>
              <w:rPr>
                <w:rStyle w:val="15"/>
                <w:rFonts w:hint="eastAsia" w:ascii="宋体" w:hAnsi="宋体" w:eastAsia="宋体" w:cs="宋体"/>
                <w:color w:val="auto"/>
                <w:sz w:val="21"/>
                <w:szCs w:val="21"/>
                <w:highlight w:val="none"/>
                <w:shd w:val="clear" w:color="auto" w:fill="auto"/>
              </w:rPr>
              <w:t>（</w:t>
            </w:r>
            <w:r>
              <w:rPr>
                <w:rStyle w:val="15"/>
                <w:rFonts w:hint="eastAsia" w:ascii="宋体" w:hAnsi="宋体" w:eastAsia="宋体" w:cs="宋体"/>
                <w:color w:val="auto"/>
                <w:sz w:val="21"/>
                <w:szCs w:val="21"/>
                <w:highlight w:val="none"/>
                <w:shd w:val="clear" w:color="auto" w:fill="auto"/>
                <w:lang w:eastAsia="zh-CN"/>
              </w:rPr>
              <w:t>7</w:t>
            </w:r>
            <w:r>
              <w:rPr>
                <w:rStyle w:val="15"/>
                <w:rFonts w:hint="eastAsia" w:ascii="宋体" w:hAnsi="宋体" w:eastAsia="宋体" w:cs="宋体"/>
                <w:color w:val="auto"/>
                <w:sz w:val="21"/>
                <w:szCs w:val="21"/>
                <w:highlight w:val="none"/>
                <w:shd w:val="clear" w:color="auto" w:fill="auto"/>
              </w:rPr>
              <w:t>）投标人符合第二章“投标人须知”第1.4.5项规定。</w:t>
            </w:r>
          </w:p>
          <w:p w14:paraId="549C101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Style w:val="15"/>
                <w:rFonts w:hint="eastAsia" w:ascii="宋体" w:hAnsi="宋体" w:eastAsia="宋体" w:cs="宋体"/>
                <w:color w:val="auto"/>
                <w:kern w:val="0"/>
                <w:sz w:val="21"/>
                <w:szCs w:val="21"/>
                <w:highlight w:val="none"/>
                <w:shd w:val="clear" w:color="auto" w:fill="auto"/>
              </w:rPr>
            </w:pPr>
            <w:r>
              <w:rPr>
                <w:rStyle w:val="15"/>
                <w:rFonts w:hint="eastAsia" w:ascii="宋体" w:hAnsi="宋体" w:eastAsia="宋体" w:cs="宋体"/>
                <w:color w:val="auto"/>
                <w:kern w:val="0"/>
                <w:sz w:val="21"/>
                <w:szCs w:val="21"/>
                <w:highlight w:val="none"/>
                <w:shd w:val="clear" w:color="auto" w:fill="auto"/>
              </w:rPr>
              <w:t>（</w:t>
            </w:r>
            <w:r>
              <w:rPr>
                <w:rStyle w:val="15"/>
                <w:rFonts w:hint="eastAsia" w:ascii="宋体" w:hAnsi="宋体" w:eastAsia="宋体" w:cs="宋体"/>
                <w:color w:val="auto"/>
                <w:kern w:val="0"/>
                <w:sz w:val="21"/>
                <w:szCs w:val="21"/>
                <w:highlight w:val="none"/>
                <w:shd w:val="clear" w:color="auto" w:fill="auto"/>
                <w:lang w:eastAsia="zh-CN"/>
              </w:rPr>
              <w:t>8</w:t>
            </w:r>
            <w:r>
              <w:rPr>
                <w:rStyle w:val="15"/>
                <w:rFonts w:hint="eastAsia" w:ascii="宋体" w:hAnsi="宋体" w:eastAsia="宋体" w:cs="宋体"/>
                <w:color w:val="auto"/>
                <w:kern w:val="0"/>
                <w:sz w:val="21"/>
                <w:szCs w:val="21"/>
                <w:highlight w:val="none"/>
                <w:shd w:val="clear" w:color="auto" w:fill="auto"/>
              </w:rPr>
              <w:t>）以联合体形式参与投标的，联合体各方均未再以自己名义单独或参加其他联合体在同一标段中投标；独立参与投标的，投标人未同时参加联合体在同一标段中投标。</w:t>
            </w:r>
          </w:p>
        </w:tc>
      </w:tr>
    </w:tbl>
    <w:p w14:paraId="61AECA07">
      <w:pPr>
        <w:keepLines w:val="0"/>
        <w:pageBreakBefore w:val="0"/>
        <w:kinsoku/>
        <w:wordWrap/>
        <w:overflowPunct/>
        <w:topLinePunct w:val="0"/>
        <w:bidi w:val="0"/>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br w:type="page"/>
      </w:r>
    </w:p>
    <w:tbl>
      <w:tblPr>
        <w:tblStyle w:val="6"/>
        <w:tblW w:w="956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173"/>
        <w:gridCol w:w="7536"/>
      </w:tblGrid>
      <w:tr w14:paraId="4A15CC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3" w:type="dxa"/>
            <w:shd w:val="clear" w:color="auto" w:fill="auto"/>
            <w:vAlign w:val="center"/>
          </w:tcPr>
          <w:p w14:paraId="1171939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条款号</w:t>
            </w:r>
          </w:p>
        </w:tc>
        <w:tc>
          <w:tcPr>
            <w:tcW w:w="1173" w:type="dxa"/>
            <w:shd w:val="clear" w:color="auto" w:fill="auto"/>
            <w:vAlign w:val="center"/>
          </w:tcPr>
          <w:p w14:paraId="30ADBFA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条款内容</w:t>
            </w:r>
          </w:p>
        </w:tc>
        <w:tc>
          <w:tcPr>
            <w:tcW w:w="7536" w:type="dxa"/>
            <w:shd w:val="clear" w:color="auto" w:fill="auto"/>
            <w:vAlign w:val="center"/>
          </w:tcPr>
          <w:p w14:paraId="676C6AF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编列内容</w:t>
            </w:r>
          </w:p>
        </w:tc>
      </w:tr>
      <w:tr w14:paraId="3C65CC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36" w:hRule="atLeast"/>
          <w:jc w:val="center"/>
        </w:trPr>
        <w:tc>
          <w:tcPr>
            <w:tcW w:w="853" w:type="dxa"/>
            <w:shd w:val="clear" w:color="auto" w:fill="auto"/>
            <w:vAlign w:val="center"/>
          </w:tcPr>
          <w:p w14:paraId="3E9CC7A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20"/>
                <w:sz w:val="21"/>
                <w:szCs w:val="21"/>
                <w:highlight w:val="none"/>
              </w:rPr>
            </w:pPr>
            <w:r>
              <w:rPr>
                <w:rFonts w:hint="eastAsia" w:ascii="宋体" w:hAnsi="宋体" w:eastAsia="宋体" w:cs="宋体"/>
                <w:kern w:val="20"/>
                <w:sz w:val="21"/>
                <w:szCs w:val="21"/>
                <w:highlight w:val="none"/>
              </w:rPr>
              <w:t>2.2.1</w:t>
            </w:r>
          </w:p>
        </w:tc>
        <w:tc>
          <w:tcPr>
            <w:tcW w:w="1173" w:type="dxa"/>
            <w:shd w:val="clear" w:color="auto" w:fill="auto"/>
            <w:vAlign w:val="center"/>
          </w:tcPr>
          <w:p w14:paraId="01B613B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Style w:val="16"/>
                <w:rFonts w:hint="eastAsia" w:ascii="宋体" w:hAnsi="宋体" w:eastAsia="宋体" w:cs="宋体"/>
                <w:b w:val="0"/>
                <w:color w:val="auto"/>
                <w:sz w:val="21"/>
                <w:szCs w:val="21"/>
                <w:highlight w:val="none"/>
                <w:lang w:eastAsia="zh-CN"/>
              </w:rPr>
            </w:pPr>
            <w:r>
              <w:rPr>
                <w:rStyle w:val="16"/>
                <w:rFonts w:hint="eastAsia" w:ascii="宋体" w:hAnsi="宋体" w:eastAsia="宋体" w:cs="宋体"/>
                <w:b w:val="0"/>
                <w:color w:val="auto"/>
                <w:sz w:val="21"/>
                <w:szCs w:val="21"/>
                <w:highlight w:val="none"/>
              </w:rPr>
              <w:t>分值构成</w:t>
            </w:r>
          </w:p>
          <w:p w14:paraId="60D5C24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20"/>
                <w:sz w:val="21"/>
                <w:szCs w:val="21"/>
                <w:highlight w:val="none"/>
              </w:rPr>
            </w:pPr>
            <w:r>
              <w:rPr>
                <w:rStyle w:val="16"/>
                <w:rFonts w:hint="eastAsia" w:ascii="宋体" w:hAnsi="宋体" w:eastAsia="宋体" w:cs="宋体"/>
                <w:b w:val="0"/>
                <w:color w:val="auto"/>
                <w:sz w:val="21"/>
                <w:szCs w:val="21"/>
                <w:highlight w:val="none"/>
                <w:lang w:eastAsia="zh-CN"/>
              </w:rPr>
              <w:t>（</w:t>
            </w:r>
            <w:r>
              <w:rPr>
                <w:rStyle w:val="16"/>
                <w:rFonts w:hint="eastAsia" w:ascii="宋体" w:hAnsi="宋体" w:eastAsia="宋体" w:cs="宋体"/>
                <w:b w:val="0"/>
                <w:color w:val="auto"/>
                <w:sz w:val="21"/>
                <w:szCs w:val="21"/>
                <w:highlight w:val="none"/>
              </w:rPr>
              <w:t>总分</w:t>
            </w:r>
            <w:r>
              <w:rPr>
                <w:rStyle w:val="16"/>
                <w:rFonts w:hint="eastAsia" w:ascii="宋体" w:hAnsi="宋体" w:eastAsia="宋体" w:cs="宋体"/>
                <w:b w:val="0"/>
                <w:color w:val="auto"/>
                <w:sz w:val="21"/>
                <w:szCs w:val="21"/>
                <w:highlight w:val="none"/>
              </w:rPr>
              <w:br w:type="textWrapping"/>
            </w:r>
            <w:r>
              <w:rPr>
                <w:rStyle w:val="16"/>
                <w:rFonts w:hint="eastAsia" w:ascii="宋体" w:hAnsi="宋体" w:eastAsia="宋体" w:cs="宋体"/>
                <w:b w:val="0"/>
                <w:color w:val="auto"/>
                <w:sz w:val="21"/>
                <w:szCs w:val="21"/>
                <w:highlight w:val="none"/>
              </w:rPr>
              <w:t>100分）</w:t>
            </w:r>
          </w:p>
        </w:tc>
        <w:tc>
          <w:tcPr>
            <w:tcW w:w="7536" w:type="dxa"/>
            <w:shd w:val="clear" w:color="auto" w:fill="auto"/>
          </w:tcPr>
          <w:p w14:paraId="532CD6CD">
            <w:pPr>
              <w:pStyle w:val="13"/>
              <w:keepNext w:val="0"/>
              <w:keepLines w:val="0"/>
              <w:pageBreakBefore w:val="0"/>
              <w:widowControl w:val="0"/>
              <w:shd w:val="clear" w:color="auto" w:fill="auto"/>
              <w:kinsoku/>
              <w:wordWrap/>
              <w:overflowPunct/>
              <w:topLinePunct w:val="0"/>
              <w:autoSpaceDE/>
              <w:autoSpaceDN/>
              <w:bidi w:val="0"/>
              <w:spacing w:before="0" w:line="360" w:lineRule="exact"/>
              <w:ind w:firstLine="420" w:firstLineChars="200"/>
              <w:jc w:val="left"/>
              <w:rPr>
                <w:rStyle w:val="16"/>
                <w:rFonts w:hint="eastAsia" w:ascii="宋体" w:hAnsi="宋体" w:eastAsia="宋体" w:cs="宋体"/>
                <w:b w:val="0"/>
                <w:color w:val="auto"/>
                <w:sz w:val="21"/>
                <w:szCs w:val="21"/>
                <w:highlight w:val="none"/>
              </w:rPr>
            </w:pPr>
            <w:r>
              <w:rPr>
                <w:rStyle w:val="16"/>
                <w:rFonts w:hint="eastAsia" w:ascii="宋体" w:hAnsi="宋体" w:eastAsia="宋体" w:cs="宋体"/>
                <w:b w:val="0"/>
                <w:color w:val="auto"/>
                <w:sz w:val="21"/>
                <w:szCs w:val="21"/>
                <w:highlight w:val="none"/>
              </w:rPr>
              <w:t>第一个信封（商务及技术文件）评分分值构成：</w:t>
            </w:r>
          </w:p>
          <w:p w14:paraId="234851F9">
            <w:pPr>
              <w:pStyle w:val="13"/>
              <w:keepNext w:val="0"/>
              <w:keepLines w:val="0"/>
              <w:pageBreakBefore w:val="0"/>
              <w:widowControl w:val="0"/>
              <w:shd w:val="clear" w:color="auto" w:fill="auto"/>
              <w:kinsoku/>
              <w:wordWrap/>
              <w:overflowPunct/>
              <w:topLinePunct w:val="0"/>
              <w:autoSpaceDE/>
              <w:autoSpaceDN/>
              <w:bidi w:val="0"/>
              <w:spacing w:before="0" w:line="360" w:lineRule="exact"/>
              <w:ind w:firstLine="420" w:firstLineChars="200"/>
              <w:jc w:val="left"/>
              <w:rPr>
                <w:rStyle w:val="16"/>
                <w:rFonts w:hint="eastAsia" w:ascii="宋体" w:hAnsi="宋体" w:eastAsia="宋体" w:cs="宋体"/>
                <w:b w:val="0"/>
                <w:color w:val="auto"/>
                <w:sz w:val="21"/>
                <w:szCs w:val="21"/>
                <w:highlight w:val="none"/>
              </w:rPr>
            </w:pPr>
            <w:r>
              <w:rPr>
                <w:rStyle w:val="16"/>
                <w:rFonts w:hint="eastAsia" w:ascii="宋体" w:hAnsi="宋体" w:eastAsia="宋体" w:cs="宋体"/>
                <w:b w:val="0"/>
                <w:color w:val="auto"/>
                <w:sz w:val="21"/>
                <w:szCs w:val="21"/>
                <w:highlight w:val="none"/>
              </w:rPr>
              <w:t>技术建议书：</w:t>
            </w:r>
            <w:r>
              <w:rPr>
                <w:rStyle w:val="16"/>
                <w:rFonts w:hint="eastAsia" w:ascii="宋体" w:hAnsi="宋体" w:eastAsia="宋体" w:cs="宋体"/>
                <w:b w:val="0"/>
                <w:color w:val="auto"/>
                <w:sz w:val="21"/>
                <w:szCs w:val="21"/>
                <w:highlight w:val="none"/>
                <w:u w:val="single"/>
                <w:lang w:eastAsia="zh-CN"/>
              </w:rPr>
              <w:t>30</w:t>
            </w:r>
            <w:r>
              <w:rPr>
                <w:rStyle w:val="16"/>
                <w:rFonts w:hint="eastAsia" w:ascii="宋体" w:hAnsi="宋体" w:eastAsia="宋体" w:cs="宋体"/>
                <w:b w:val="0"/>
                <w:color w:val="auto"/>
                <w:sz w:val="21"/>
                <w:szCs w:val="21"/>
                <w:highlight w:val="none"/>
              </w:rPr>
              <w:t>分</w:t>
            </w:r>
          </w:p>
          <w:p w14:paraId="07039FE2">
            <w:pPr>
              <w:pStyle w:val="13"/>
              <w:keepNext w:val="0"/>
              <w:keepLines w:val="0"/>
              <w:pageBreakBefore w:val="0"/>
              <w:widowControl w:val="0"/>
              <w:shd w:val="clear" w:color="auto" w:fill="auto"/>
              <w:kinsoku/>
              <w:wordWrap/>
              <w:overflowPunct/>
              <w:topLinePunct w:val="0"/>
              <w:autoSpaceDE/>
              <w:autoSpaceDN/>
              <w:bidi w:val="0"/>
              <w:spacing w:before="0" w:line="360" w:lineRule="exact"/>
              <w:ind w:firstLine="420" w:firstLineChars="200"/>
              <w:jc w:val="left"/>
              <w:rPr>
                <w:rStyle w:val="16"/>
                <w:rFonts w:hint="eastAsia" w:ascii="宋体" w:hAnsi="宋体" w:eastAsia="宋体" w:cs="宋体"/>
                <w:b w:val="0"/>
                <w:color w:val="auto"/>
                <w:sz w:val="21"/>
                <w:szCs w:val="21"/>
                <w:highlight w:val="none"/>
              </w:rPr>
            </w:pPr>
            <w:r>
              <w:rPr>
                <w:rStyle w:val="16"/>
                <w:rFonts w:hint="eastAsia" w:ascii="宋体" w:hAnsi="宋体" w:eastAsia="宋体" w:cs="宋体"/>
                <w:b w:val="0"/>
                <w:color w:val="auto"/>
                <w:sz w:val="21"/>
                <w:szCs w:val="21"/>
                <w:highlight w:val="none"/>
              </w:rPr>
              <w:t>主要人员：</w:t>
            </w:r>
            <w:r>
              <w:rPr>
                <w:rStyle w:val="16"/>
                <w:rFonts w:hint="eastAsia" w:ascii="宋体" w:hAnsi="宋体" w:eastAsia="宋体" w:cs="宋体"/>
                <w:b w:val="0"/>
                <w:color w:val="auto"/>
                <w:sz w:val="21"/>
                <w:szCs w:val="21"/>
                <w:highlight w:val="none"/>
                <w:u w:val="single"/>
                <w:lang w:eastAsia="zh-CN"/>
              </w:rPr>
              <w:t>25</w:t>
            </w:r>
            <w:r>
              <w:rPr>
                <w:rStyle w:val="16"/>
                <w:rFonts w:hint="eastAsia" w:ascii="宋体" w:hAnsi="宋体" w:eastAsia="宋体" w:cs="宋体"/>
                <w:b w:val="0"/>
                <w:color w:val="auto"/>
                <w:sz w:val="21"/>
                <w:szCs w:val="21"/>
                <w:highlight w:val="none"/>
              </w:rPr>
              <w:t>分</w:t>
            </w:r>
          </w:p>
          <w:p w14:paraId="3A0ADA78">
            <w:pPr>
              <w:pStyle w:val="13"/>
              <w:keepNext w:val="0"/>
              <w:keepLines w:val="0"/>
              <w:pageBreakBefore w:val="0"/>
              <w:widowControl w:val="0"/>
              <w:shd w:val="clear" w:color="auto" w:fill="auto"/>
              <w:kinsoku/>
              <w:wordWrap/>
              <w:overflowPunct/>
              <w:topLinePunct w:val="0"/>
              <w:autoSpaceDE/>
              <w:autoSpaceDN/>
              <w:bidi w:val="0"/>
              <w:spacing w:before="0" w:line="360" w:lineRule="exact"/>
              <w:ind w:firstLine="420" w:firstLineChars="200"/>
              <w:jc w:val="left"/>
              <w:rPr>
                <w:rStyle w:val="16"/>
                <w:rFonts w:hint="eastAsia" w:ascii="宋体" w:hAnsi="宋体" w:eastAsia="宋体" w:cs="宋体"/>
                <w:b w:val="0"/>
                <w:color w:val="auto"/>
                <w:sz w:val="21"/>
                <w:szCs w:val="21"/>
                <w:highlight w:val="none"/>
              </w:rPr>
            </w:pPr>
            <w:r>
              <w:rPr>
                <w:rStyle w:val="16"/>
                <w:rFonts w:hint="eastAsia" w:ascii="宋体" w:hAnsi="宋体" w:eastAsia="宋体" w:cs="宋体"/>
                <w:b w:val="0"/>
                <w:color w:val="auto"/>
                <w:sz w:val="21"/>
                <w:szCs w:val="21"/>
                <w:highlight w:val="none"/>
              </w:rPr>
              <w:t>业绩：</w:t>
            </w:r>
            <w:r>
              <w:rPr>
                <w:rStyle w:val="16"/>
                <w:rFonts w:hint="eastAsia" w:ascii="宋体" w:hAnsi="宋体" w:eastAsia="宋体" w:cs="宋体"/>
                <w:b w:val="0"/>
                <w:color w:val="auto"/>
                <w:sz w:val="21"/>
                <w:szCs w:val="21"/>
                <w:highlight w:val="none"/>
                <w:u w:val="single"/>
                <w:lang w:eastAsia="zh-CN"/>
              </w:rPr>
              <w:t>25</w:t>
            </w:r>
            <w:r>
              <w:rPr>
                <w:rStyle w:val="16"/>
                <w:rFonts w:hint="eastAsia" w:ascii="宋体" w:hAnsi="宋体" w:eastAsia="宋体" w:cs="宋体"/>
                <w:b w:val="0"/>
                <w:color w:val="auto"/>
                <w:sz w:val="21"/>
                <w:szCs w:val="21"/>
                <w:highlight w:val="none"/>
              </w:rPr>
              <w:t>分</w:t>
            </w:r>
          </w:p>
          <w:p w14:paraId="47BE433E">
            <w:pPr>
              <w:pStyle w:val="13"/>
              <w:keepNext w:val="0"/>
              <w:keepLines w:val="0"/>
              <w:pageBreakBefore w:val="0"/>
              <w:widowControl w:val="0"/>
              <w:shd w:val="clear" w:color="auto" w:fill="auto"/>
              <w:kinsoku/>
              <w:wordWrap/>
              <w:overflowPunct/>
              <w:topLinePunct w:val="0"/>
              <w:autoSpaceDE/>
              <w:autoSpaceDN/>
              <w:bidi w:val="0"/>
              <w:spacing w:before="0" w:line="360" w:lineRule="exact"/>
              <w:ind w:firstLine="420" w:firstLineChars="200"/>
              <w:jc w:val="left"/>
              <w:rPr>
                <w:rStyle w:val="16"/>
                <w:rFonts w:hint="eastAsia" w:ascii="宋体" w:hAnsi="宋体" w:eastAsia="宋体" w:cs="宋体"/>
                <w:b w:val="0"/>
                <w:color w:val="auto"/>
                <w:sz w:val="21"/>
                <w:szCs w:val="21"/>
                <w:highlight w:val="none"/>
                <w:lang w:eastAsia="zh-CN"/>
              </w:rPr>
            </w:pPr>
            <w:r>
              <w:rPr>
                <w:rStyle w:val="16"/>
                <w:rFonts w:hint="eastAsia" w:ascii="宋体" w:hAnsi="宋体" w:eastAsia="宋体" w:cs="宋体"/>
                <w:b w:val="0"/>
                <w:color w:val="auto"/>
                <w:sz w:val="21"/>
                <w:szCs w:val="21"/>
                <w:highlight w:val="none"/>
              </w:rPr>
              <w:t>履约信誉：</w:t>
            </w:r>
            <w:r>
              <w:rPr>
                <w:rStyle w:val="16"/>
                <w:rFonts w:hint="eastAsia" w:ascii="宋体" w:hAnsi="宋体" w:eastAsia="宋体" w:cs="宋体"/>
                <w:b w:val="0"/>
                <w:color w:val="auto"/>
                <w:sz w:val="21"/>
                <w:szCs w:val="21"/>
                <w:highlight w:val="none"/>
                <w:u w:val="single"/>
                <w:lang w:eastAsia="zh-CN"/>
              </w:rPr>
              <w:t>10</w:t>
            </w:r>
            <w:r>
              <w:rPr>
                <w:rStyle w:val="16"/>
                <w:rFonts w:hint="eastAsia" w:ascii="宋体" w:hAnsi="宋体" w:eastAsia="宋体" w:cs="宋体"/>
                <w:b w:val="0"/>
                <w:color w:val="auto"/>
                <w:sz w:val="21"/>
                <w:szCs w:val="21"/>
                <w:highlight w:val="none"/>
              </w:rPr>
              <w:t>分</w:t>
            </w:r>
          </w:p>
          <w:p w14:paraId="13B48A2A">
            <w:pPr>
              <w:pStyle w:val="13"/>
              <w:keepNext w:val="0"/>
              <w:keepLines w:val="0"/>
              <w:pageBreakBefore w:val="0"/>
              <w:widowControl w:val="0"/>
              <w:shd w:val="clear" w:color="auto" w:fill="auto"/>
              <w:kinsoku/>
              <w:wordWrap/>
              <w:overflowPunct/>
              <w:topLinePunct w:val="0"/>
              <w:autoSpaceDE/>
              <w:autoSpaceDN/>
              <w:bidi w:val="0"/>
              <w:spacing w:before="0" w:line="360" w:lineRule="exact"/>
              <w:ind w:firstLine="420" w:firstLineChars="200"/>
              <w:jc w:val="left"/>
              <w:rPr>
                <w:rFonts w:hint="eastAsia" w:ascii="宋体" w:hAnsi="宋体" w:eastAsia="宋体" w:cs="宋体"/>
                <w:bCs/>
                <w:sz w:val="21"/>
                <w:szCs w:val="21"/>
                <w:highlight w:val="none"/>
                <w:lang w:val="zh-TW" w:bidi="zh-TW"/>
              </w:rPr>
            </w:pPr>
            <w:r>
              <w:rPr>
                <w:rStyle w:val="16"/>
                <w:rFonts w:hint="eastAsia" w:ascii="宋体" w:hAnsi="宋体" w:eastAsia="宋体" w:cs="宋体"/>
                <w:b w:val="0"/>
                <w:color w:val="auto"/>
                <w:sz w:val="21"/>
                <w:szCs w:val="21"/>
                <w:highlight w:val="none"/>
              </w:rPr>
              <w:t>第二个信封（报价文件）评分分值构成：</w:t>
            </w:r>
          </w:p>
          <w:p w14:paraId="66258B95">
            <w:pPr>
              <w:keepNext w:val="0"/>
              <w:keepLines w:val="0"/>
              <w:pageBreakBefore w:val="0"/>
              <w:widowControl w:val="0"/>
              <w:kinsoku/>
              <w:wordWrap/>
              <w:overflowPunct/>
              <w:topLinePunct w:val="0"/>
              <w:autoSpaceDE/>
              <w:autoSpaceDN/>
              <w:bidi w:val="0"/>
              <w:spacing w:line="360" w:lineRule="exact"/>
              <w:ind w:firstLine="420" w:firstLineChars="200"/>
              <w:rPr>
                <w:rFonts w:hint="eastAsia" w:ascii="宋体" w:hAnsi="宋体" w:eastAsia="宋体" w:cs="宋体"/>
                <w:kern w:val="20"/>
                <w:sz w:val="21"/>
                <w:szCs w:val="21"/>
                <w:highlight w:val="none"/>
              </w:rPr>
            </w:pPr>
            <w:r>
              <w:rPr>
                <w:rStyle w:val="16"/>
                <w:rFonts w:hint="eastAsia" w:ascii="宋体" w:hAnsi="宋体" w:eastAsia="宋体" w:cs="宋体"/>
                <w:b w:val="0"/>
                <w:color w:val="auto"/>
                <w:sz w:val="21"/>
                <w:szCs w:val="21"/>
                <w:highlight w:val="none"/>
              </w:rPr>
              <w:t>评标价：</w:t>
            </w:r>
            <w:r>
              <w:rPr>
                <w:rStyle w:val="16"/>
                <w:rFonts w:hint="eastAsia" w:ascii="宋体" w:hAnsi="宋体" w:eastAsia="宋体" w:cs="宋体"/>
                <w:b w:val="0"/>
                <w:color w:val="auto"/>
                <w:sz w:val="21"/>
                <w:szCs w:val="21"/>
                <w:highlight w:val="none"/>
                <w:u w:val="single"/>
                <w:lang w:eastAsia="zh-CN"/>
              </w:rPr>
              <w:t>10</w:t>
            </w:r>
            <w:r>
              <w:rPr>
                <w:rStyle w:val="16"/>
                <w:rFonts w:hint="eastAsia" w:ascii="宋体" w:hAnsi="宋体" w:eastAsia="宋体" w:cs="宋体"/>
                <w:b w:val="0"/>
                <w:color w:val="auto"/>
                <w:sz w:val="21"/>
                <w:szCs w:val="21"/>
                <w:highlight w:val="none"/>
              </w:rPr>
              <w:t>分</w:t>
            </w:r>
          </w:p>
        </w:tc>
      </w:tr>
      <w:tr w14:paraId="1E70B9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shd w:val="clear" w:color="auto" w:fill="auto"/>
            <w:vAlign w:val="center"/>
          </w:tcPr>
          <w:p w14:paraId="2C01087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20"/>
                <w:sz w:val="21"/>
                <w:szCs w:val="21"/>
                <w:highlight w:val="none"/>
              </w:rPr>
            </w:pPr>
            <w:r>
              <w:rPr>
                <w:rFonts w:hint="eastAsia" w:ascii="宋体" w:hAnsi="宋体" w:eastAsia="宋体" w:cs="宋体"/>
                <w:kern w:val="20"/>
                <w:sz w:val="21"/>
                <w:szCs w:val="21"/>
                <w:highlight w:val="none"/>
              </w:rPr>
              <w:t>2.2.2</w:t>
            </w:r>
          </w:p>
        </w:tc>
        <w:tc>
          <w:tcPr>
            <w:tcW w:w="1173" w:type="dxa"/>
            <w:shd w:val="clear" w:color="auto" w:fill="auto"/>
            <w:vAlign w:val="center"/>
          </w:tcPr>
          <w:p w14:paraId="6E49E3E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20"/>
                <w:sz w:val="21"/>
                <w:szCs w:val="21"/>
                <w:highlight w:val="none"/>
              </w:rPr>
            </w:pPr>
            <w:r>
              <w:rPr>
                <w:rStyle w:val="16"/>
                <w:rFonts w:hint="eastAsia" w:ascii="宋体" w:hAnsi="宋体" w:eastAsia="宋体" w:cs="宋体"/>
                <w:b w:val="0"/>
                <w:color w:val="auto"/>
                <w:sz w:val="21"/>
                <w:szCs w:val="21"/>
                <w:highlight w:val="none"/>
              </w:rPr>
              <w:t>评标基准价计算方法</w:t>
            </w:r>
          </w:p>
        </w:tc>
        <w:tc>
          <w:tcPr>
            <w:tcW w:w="7536" w:type="dxa"/>
            <w:shd w:val="clear" w:color="auto" w:fill="auto"/>
          </w:tcPr>
          <w:p w14:paraId="1F539F6C">
            <w:pPr>
              <w:pStyle w:val="14"/>
              <w:keepNext w:val="0"/>
              <w:keepLines w:val="0"/>
              <w:pageBreakBefore w:val="0"/>
              <w:widowControl w:val="0"/>
              <w:kinsoku/>
              <w:wordWrap/>
              <w:overflowPunct/>
              <w:topLinePunct w:val="0"/>
              <w:autoSpaceDE/>
              <w:autoSpaceDN/>
              <w:bidi w:val="0"/>
              <w:adjustRightInd w:val="0"/>
              <w:snapToGrid w:val="0"/>
              <w:spacing w:line="360" w:lineRule="exact"/>
              <w:jc w:val="left"/>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评标基准价的计算：</w:t>
            </w:r>
          </w:p>
          <w:p w14:paraId="583CB42D">
            <w:pPr>
              <w:pStyle w:val="14"/>
              <w:keepNext w:val="0"/>
              <w:keepLines w:val="0"/>
              <w:pageBreakBefore w:val="0"/>
              <w:widowControl w:val="0"/>
              <w:kinsoku/>
              <w:wordWrap/>
              <w:overflowPunct/>
              <w:topLinePunct w:val="0"/>
              <w:autoSpaceDE/>
              <w:autoSpaceDN/>
              <w:bidi w:val="0"/>
              <w:adjustRightInd w:val="0"/>
              <w:snapToGrid w:val="0"/>
              <w:spacing w:line="360" w:lineRule="exact"/>
              <w:jc w:val="left"/>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在开标现场，招标人将当场计算并宣布评标基准价。</w:t>
            </w:r>
          </w:p>
          <w:p w14:paraId="70EEC60B">
            <w:pPr>
              <w:pStyle w:val="14"/>
              <w:keepNext w:val="0"/>
              <w:keepLines w:val="0"/>
              <w:pageBreakBefore w:val="0"/>
              <w:widowControl w:val="0"/>
              <w:kinsoku/>
              <w:wordWrap/>
              <w:overflowPunct/>
              <w:topLinePunct w:val="0"/>
              <w:autoSpaceDE/>
              <w:autoSpaceDN/>
              <w:bidi w:val="0"/>
              <w:adjustRightInd w:val="0"/>
              <w:snapToGrid w:val="0"/>
              <w:spacing w:line="360" w:lineRule="exact"/>
              <w:jc w:val="left"/>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（1）评标价的确定：</w:t>
            </w:r>
          </w:p>
          <w:p w14:paraId="44F17C12">
            <w:pPr>
              <w:pStyle w:val="14"/>
              <w:keepNext w:val="0"/>
              <w:keepLines w:val="0"/>
              <w:pageBreakBefore w:val="0"/>
              <w:widowControl w:val="0"/>
              <w:kinsoku/>
              <w:wordWrap/>
              <w:overflowPunct/>
              <w:topLinePunct w:val="0"/>
              <w:autoSpaceDE/>
              <w:autoSpaceDN/>
              <w:bidi w:val="0"/>
              <w:adjustRightInd w:val="0"/>
              <w:snapToGrid w:val="0"/>
              <w:spacing w:line="360" w:lineRule="exact"/>
              <w:jc w:val="left"/>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评标价=投标函文字报价系数</w:t>
            </w:r>
          </w:p>
          <w:p w14:paraId="7FA24D0A">
            <w:pPr>
              <w:pStyle w:val="14"/>
              <w:keepNext w:val="0"/>
              <w:keepLines w:val="0"/>
              <w:pageBreakBefore w:val="0"/>
              <w:widowControl w:val="0"/>
              <w:kinsoku/>
              <w:wordWrap/>
              <w:overflowPunct/>
              <w:topLinePunct w:val="0"/>
              <w:autoSpaceDE/>
              <w:autoSpaceDN/>
              <w:bidi w:val="0"/>
              <w:adjustRightInd w:val="0"/>
              <w:snapToGrid w:val="0"/>
              <w:spacing w:line="360" w:lineRule="exact"/>
              <w:jc w:val="left"/>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（2）评标价平均值的计算：</w:t>
            </w:r>
          </w:p>
          <w:p w14:paraId="17F68092">
            <w:pPr>
              <w:pStyle w:val="14"/>
              <w:keepNext w:val="0"/>
              <w:keepLines w:val="0"/>
              <w:pageBreakBefore w:val="0"/>
              <w:widowControl w:val="0"/>
              <w:kinsoku/>
              <w:wordWrap/>
              <w:overflowPunct/>
              <w:topLinePunct w:val="0"/>
              <w:autoSpaceDE/>
              <w:autoSpaceDN/>
              <w:bidi w:val="0"/>
              <w:adjustRightInd w:val="0"/>
              <w:snapToGrid w:val="0"/>
              <w:spacing w:line="360" w:lineRule="exact"/>
              <w:jc w:val="left"/>
              <w:textAlignment w:val="baseline"/>
              <w:rPr>
                <w:rFonts w:hint="eastAsia" w:ascii="宋体" w:hAnsi="宋体" w:eastAsia="宋体" w:cs="宋体"/>
                <w:bCs/>
                <w:sz w:val="21"/>
                <w:szCs w:val="21"/>
                <w:highlight w:val="none"/>
              </w:rPr>
            </w:pPr>
            <w:r>
              <w:rPr>
                <w:rFonts w:hint="eastAsia" w:ascii="宋体" w:hAnsi="宋体" w:eastAsia="宋体" w:cs="宋体"/>
                <w:sz w:val="21"/>
                <w:szCs w:val="21"/>
                <w:highlight w:val="none"/>
              </w:rPr>
              <w:t>除按第二章“投标人须知”第5.2.4项规定开标现场被宣布为不进入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w:t>
            </w:r>
          </w:p>
          <w:p w14:paraId="79605BE7">
            <w:pPr>
              <w:pStyle w:val="14"/>
              <w:keepNext w:val="0"/>
              <w:keepLines w:val="0"/>
              <w:pageBreakBefore w:val="0"/>
              <w:widowControl w:val="0"/>
              <w:kinsoku/>
              <w:wordWrap/>
              <w:overflowPunct/>
              <w:topLinePunct w:val="0"/>
              <w:autoSpaceDE/>
              <w:autoSpaceDN/>
              <w:bidi w:val="0"/>
              <w:adjustRightInd w:val="0"/>
              <w:snapToGrid w:val="0"/>
              <w:spacing w:line="360" w:lineRule="exact"/>
              <w:jc w:val="left"/>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（3）评标基准价的确定：</w:t>
            </w:r>
          </w:p>
          <w:p w14:paraId="152131B3">
            <w:pPr>
              <w:pStyle w:val="14"/>
              <w:keepNext w:val="0"/>
              <w:keepLines w:val="0"/>
              <w:pageBreakBefore w:val="0"/>
              <w:widowControl w:val="0"/>
              <w:kinsoku/>
              <w:wordWrap/>
              <w:overflowPunct/>
              <w:topLinePunct w:val="0"/>
              <w:autoSpaceDE/>
              <w:autoSpaceDN/>
              <w:bidi w:val="0"/>
              <w:adjustRightInd w:val="0"/>
              <w:snapToGrid w:val="0"/>
              <w:spacing w:line="360" w:lineRule="exact"/>
              <w:jc w:val="left"/>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将评标价平均值直接作为评标基准价。</w:t>
            </w:r>
          </w:p>
          <w:p w14:paraId="7F0DFED2">
            <w:pPr>
              <w:keepNext w:val="0"/>
              <w:keepLines w:val="0"/>
              <w:pageBreakBefore w:val="0"/>
              <w:widowControl w:val="0"/>
              <w:kinsoku/>
              <w:wordWrap/>
              <w:overflowPunct/>
              <w:topLinePunct w:val="0"/>
              <w:autoSpaceDE/>
              <w:autoSpaceDN/>
              <w:bidi w:val="0"/>
              <w:spacing w:line="360" w:lineRule="exact"/>
              <w:ind w:firstLine="420" w:firstLineChars="200"/>
              <w:rPr>
                <w:rFonts w:hint="eastAsia" w:ascii="宋体" w:hAnsi="宋体" w:eastAsia="宋体" w:cs="宋体"/>
                <w:kern w:val="20"/>
                <w:sz w:val="21"/>
                <w:szCs w:val="21"/>
                <w:highlight w:val="none"/>
              </w:rPr>
            </w:pPr>
            <w:r>
              <w:rPr>
                <w:rFonts w:hint="eastAsia" w:ascii="宋体" w:hAnsi="宋体" w:eastAsia="宋体" w:cs="宋体"/>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436721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shd w:val="clear" w:color="auto" w:fill="auto"/>
            <w:vAlign w:val="center"/>
          </w:tcPr>
          <w:p w14:paraId="2236EF4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20"/>
                <w:sz w:val="21"/>
                <w:szCs w:val="21"/>
                <w:highlight w:val="none"/>
              </w:rPr>
            </w:pPr>
            <w:r>
              <w:rPr>
                <w:rFonts w:hint="eastAsia" w:ascii="宋体" w:hAnsi="宋体" w:eastAsia="宋体" w:cs="宋体"/>
                <w:kern w:val="20"/>
                <w:sz w:val="21"/>
                <w:szCs w:val="21"/>
                <w:highlight w:val="none"/>
              </w:rPr>
              <w:t>2.2.3</w:t>
            </w:r>
          </w:p>
        </w:tc>
        <w:tc>
          <w:tcPr>
            <w:tcW w:w="1173" w:type="dxa"/>
            <w:shd w:val="clear" w:color="auto" w:fill="auto"/>
            <w:vAlign w:val="center"/>
          </w:tcPr>
          <w:p w14:paraId="2E434E6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Style w:val="16"/>
                <w:rFonts w:hint="eastAsia" w:ascii="宋体" w:hAnsi="宋体" w:eastAsia="宋体" w:cs="宋体"/>
                <w:b w:val="0"/>
                <w:color w:val="auto"/>
                <w:sz w:val="21"/>
                <w:szCs w:val="21"/>
                <w:highlight w:val="none"/>
              </w:rPr>
            </w:pPr>
            <w:r>
              <w:rPr>
                <w:rStyle w:val="15"/>
                <w:rFonts w:hint="eastAsia" w:ascii="宋体" w:hAnsi="宋体" w:eastAsia="宋体" w:cs="宋体"/>
                <w:color w:val="auto"/>
                <w:sz w:val="21"/>
                <w:szCs w:val="21"/>
                <w:highlight w:val="none"/>
                <w:shd w:val="clear" w:color="auto" w:fill="auto"/>
              </w:rPr>
              <w:t>评标价的偏差率计算公式</w:t>
            </w:r>
          </w:p>
        </w:tc>
        <w:tc>
          <w:tcPr>
            <w:tcW w:w="7536" w:type="dxa"/>
            <w:shd w:val="clear" w:color="auto" w:fill="auto"/>
            <w:vAlign w:val="center"/>
          </w:tcPr>
          <w:p w14:paraId="69A60533">
            <w:pPr>
              <w:keepNext w:val="0"/>
              <w:keepLines w:val="0"/>
              <w:pageBreakBefore w:val="0"/>
              <w:widowControl w:val="0"/>
              <w:kinsoku/>
              <w:wordWrap/>
              <w:overflowPunct/>
              <w:topLinePunct w:val="0"/>
              <w:autoSpaceDE/>
              <w:autoSpaceDN/>
              <w:bidi w:val="0"/>
              <w:spacing w:line="360" w:lineRule="exact"/>
              <w:ind w:firstLine="420" w:firstLineChars="200"/>
              <w:jc w:val="both"/>
              <w:rPr>
                <w:rStyle w:val="15"/>
                <w:rFonts w:hint="eastAsia" w:ascii="宋体" w:hAnsi="宋体" w:eastAsia="宋体" w:cs="宋体"/>
                <w:color w:val="auto"/>
                <w:sz w:val="21"/>
                <w:szCs w:val="21"/>
                <w:highlight w:val="none"/>
                <w:shd w:val="clear" w:color="auto" w:fill="auto"/>
              </w:rPr>
            </w:pPr>
            <w:r>
              <w:rPr>
                <w:rStyle w:val="15"/>
                <w:rFonts w:hint="eastAsia" w:ascii="宋体" w:hAnsi="宋体" w:eastAsia="宋体" w:cs="宋体"/>
                <w:color w:val="auto"/>
                <w:sz w:val="21"/>
                <w:szCs w:val="21"/>
                <w:highlight w:val="none"/>
                <w:shd w:val="clear" w:color="auto" w:fill="auto"/>
              </w:rPr>
              <w:t>偏差率=100%</w:t>
            </w:r>
            <w:r>
              <w:rPr>
                <w:rStyle w:val="17"/>
                <w:rFonts w:hint="eastAsia" w:ascii="宋体" w:hAnsi="宋体" w:eastAsia="宋体" w:cs="宋体"/>
                <w:color w:val="auto"/>
                <w:sz w:val="21"/>
                <w:szCs w:val="21"/>
                <w:highlight w:val="none"/>
                <w:shd w:val="clear" w:color="auto" w:fill="auto"/>
                <w:lang w:eastAsia="zh-CN"/>
              </w:rPr>
              <w:t>×</w:t>
            </w:r>
            <w:r>
              <w:rPr>
                <w:rStyle w:val="15"/>
                <w:rFonts w:hint="eastAsia" w:ascii="宋体" w:hAnsi="宋体" w:eastAsia="宋体" w:cs="宋体"/>
                <w:color w:val="auto"/>
                <w:sz w:val="21"/>
                <w:szCs w:val="21"/>
                <w:highlight w:val="none"/>
                <w:shd w:val="clear" w:color="auto" w:fill="auto"/>
                <w:lang w:eastAsia="zh-CN" w:bidi="en-US"/>
              </w:rPr>
              <w:t>（</w:t>
            </w:r>
            <w:r>
              <w:rPr>
                <w:rStyle w:val="15"/>
                <w:rFonts w:hint="eastAsia" w:ascii="宋体" w:hAnsi="宋体" w:eastAsia="宋体" w:cs="宋体"/>
                <w:color w:val="auto"/>
                <w:sz w:val="21"/>
                <w:szCs w:val="21"/>
                <w:highlight w:val="none"/>
                <w:shd w:val="clear" w:color="auto" w:fill="auto"/>
              </w:rPr>
              <w:t>投标人评标价-评标基准价</w:t>
            </w:r>
            <w:r>
              <w:rPr>
                <w:rStyle w:val="15"/>
                <w:rFonts w:hint="eastAsia" w:ascii="宋体" w:hAnsi="宋体" w:eastAsia="宋体" w:cs="宋体"/>
                <w:color w:val="auto"/>
                <w:sz w:val="21"/>
                <w:szCs w:val="21"/>
                <w:highlight w:val="none"/>
                <w:shd w:val="clear" w:color="auto" w:fill="auto"/>
                <w:lang w:bidi="en-US"/>
              </w:rPr>
              <w:t>）/</w:t>
            </w:r>
            <w:r>
              <w:rPr>
                <w:rStyle w:val="15"/>
                <w:rFonts w:hint="eastAsia" w:ascii="宋体" w:hAnsi="宋体" w:eastAsia="宋体" w:cs="宋体"/>
                <w:color w:val="auto"/>
                <w:sz w:val="21"/>
                <w:szCs w:val="21"/>
                <w:highlight w:val="none"/>
                <w:shd w:val="clear" w:color="auto" w:fill="auto"/>
              </w:rPr>
              <w:t>评标基准价</w:t>
            </w:r>
          </w:p>
          <w:p w14:paraId="498A6178">
            <w:pPr>
              <w:pStyle w:val="13"/>
              <w:keepNext w:val="0"/>
              <w:keepLines w:val="0"/>
              <w:pageBreakBefore w:val="0"/>
              <w:widowControl w:val="0"/>
              <w:shd w:val="clear" w:color="auto" w:fill="auto"/>
              <w:kinsoku/>
              <w:wordWrap/>
              <w:overflowPunct/>
              <w:topLinePunct w:val="0"/>
              <w:autoSpaceDE/>
              <w:autoSpaceDN/>
              <w:bidi w:val="0"/>
              <w:spacing w:before="0" w:line="360" w:lineRule="exact"/>
              <w:ind w:firstLine="420" w:firstLineChars="200"/>
              <w:jc w:val="both"/>
              <w:rPr>
                <w:rStyle w:val="16"/>
                <w:rFonts w:hint="eastAsia" w:ascii="宋体" w:hAnsi="宋体" w:eastAsia="宋体" w:cs="宋体"/>
                <w:b w:val="0"/>
                <w:color w:val="auto"/>
                <w:sz w:val="21"/>
                <w:szCs w:val="21"/>
                <w:highlight w:val="none"/>
              </w:rPr>
            </w:pPr>
            <w:r>
              <w:rPr>
                <w:rStyle w:val="15"/>
                <w:rFonts w:hint="eastAsia" w:ascii="宋体" w:hAnsi="宋体" w:eastAsia="宋体" w:cs="宋体"/>
                <w:color w:val="auto"/>
                <w:sz w:val="21"/>
                <w:szCs w:val="21"/>
                <w:highlight w:val="none"/>
                <w:shd w:val="clear" w:color="auto" w:fill="auto"/>
              </w:rPr>
              <w:t>偏差率保留</w:t>
            </w:r>
            <w:r>
              <w:rPr>
                <w:rStyle w:val="15"/>
                <w:rFonts w:hint="eastAsia" w:ascii="宋体" w:hAnsi="宋体" w:eastAsia="宋体" w:cs="宋体"/>
                <w:color w:val="auto"/>
                <w:sz w:val="21"/>
                <w:szCs w:val="21"/>
                <w:highlight w:val="none"/>
                <w:shd w:val="clear" w:color="auto" w:fill="auto"/>
                <w:lang w:eastAsia="zh-CN"/>
              </w:rPr>
              <w:t>两</w:t>
            </w:r>
            <w:r>
              <w:rPr>
                <w:rStyle w:val="15"/>
                <w:rFonts w:hint="eastAsia" w:ascii="宋体" w:hAnsi="宋体" w:eastAsia="宋体" w:cs="宋体"/>
                <w:color w:val="auto"/>
                <w:sz w:val="21"/>
                <w:szCs w:val="21"/>
                <w:highlight w:val="none"/>
                <w:shd w:val="clear" w:color="auto" w:fill="auto"/>
              </w:rPr>
              <w:t>位小数</w:t>
            </w:r>
          </w:p>
        </w:tc>
      </w:tr>
    </w:tbl>
    <w:p w14:paraId="5CB79989">
      <w:pPr>
        <w:keepLines w:val="0"/>
        <w:pageBreakBefore w:val="0"/>
        <w:kinsoku/>
        <w:wordWrap/>
        <w:overflowPunct/>
        <w:topLinePunct w:val="0"/>
        <w:bidi w:val="0"/>
        <w:spacing w:line="360" w:lineRule="exact"/>
        <w:ind w:right="420"/>
        <w:jc w:val="left"/>
        <w:rPr>
          <w:rFonts w:hint="eastAsia" w:ascii="宋体" w:hAnsi="宋体" w:eastAsia="宋体" w:cs="宋体"/>
          <w:kern w:val="20"/>
          <w:sz w:val="21"/>
          <w:szCs w:val="21"/>
          <w:highlight w:val="none"/>
        </w:rPr>
      </w:pPr>
    </w:p>
    <w:tbl>
      <w:tblPr>
        <w:tblStyle w:val="6"/>
        <w:tblW w:w="95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7"/>
        <w:gridCol w:w="573"/>
        <w:gridCol w:w="586"/>
        <w:gridCol w:w="1091"/>
        <w:gridCol w:w="1909"/>
        <w:gridCol w:w="723"/>
        <w:gridCol w:w="3822"/>
      </w:tblGrid>
      <w:tr w14:paraId="567A0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5759" w:type="dxa"/>
            <w:gridSpan w:val="6"/>
            <w:shd w:val="clear" w:color="auto" w:fill="auto"/>
            <w:vAlign w:val="center"/>
          </w:tcPr>
          <w:p w14:paraId="66763020">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r>
              <w:rPr>
                <w:rFonts w:hint="eastAsia" w:ascii="宋体" w:hAnsi="宋体" w:eastAsia="宋体" w:cs="宋体"/>
                <w:kern w:val="20"/>
                <w:sz w:val="21"/>
                <w:szCs w:val="21"/>
                <w:highlight w:val="none"/>
              </w:rPr>
              <w:t>评分因素与权重分值</w:t>
            </w:r>
          </w:p>
        </w:tc>
        <w:tc>
          <w:tcPr>
            <w:tcW w:w="3822" w:type="dxa"/>
            <w:vMerge w:val="restart"/>
            <w:shd w:val="clear" w:color="auto" w:fill="auto"/>
            <w:vAlign w:val="center"/>
          </w:tcPr>
          <w:p w14:paraId="64D95F3C">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r>
              <w:rPr>
                <w:rFonts w:hint="eastAsia" w:ascii="宋体" w:hAnsi="宋体" w:eastAsia="宋体" w:cs="宋体"/>
                <w:kern w:val="20"/>
                <w:sz w:val="21"/>
                <w:szCs w:val="21"/>
                <w:highlight w:val="none"/>
              </w:rPr>
              <w:t>评分标准</w:t>
            </w:r>
          </w:p>
        </w:tc>
      </w:tr>
      <w:tr w14:paraId="26D18A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877" w:type="dxa"/>
            <w:shd w:val="clear" w:color="auto" w:fill="auto"/>
            <w:vAlign w:val="center"/>
          </w:tcPr>
          <w:p w14:paraId="348130E1">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r>
              <w:rPr>
                <w:rFonts w:hint="eastAsia" w:ascii="宋体" w:hAnsi="宋体" w:eastAsia="宋体" w:cs="宋体"/>
                <w:kern w:val="20"/>
                <w:sz w:val="21"/>
                <w:szCs w:val="21"/>
                <w:highlight w:val="none"/>
              </w:rPr>
              <w:t>条款号</w:t>
            </w:r>
          </w:p>
        </w:tc>
        <w:tc>
          <w:tcPr>
            <w:tcW w:w="1159" w:type="dxa"/>
            <w:gridSpan w:val="2"/>
            <w:shd w:val="clear" w:color="auto" w:fill="auto"/>
            <w:vAlign w:val="center"/>
          </w:tcPr>
          <w:p w14:paraId="4E5C0EA1">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r>
              <w:rPr>
                <w:rFonts w:hint="eastAsia" w:ascii="宋体" w:hAnsi="宋体" w:eastAsia="宋体" w:cs="宋体"/>
                <w:kern w:val="20"/>
                <w:sz w:val="21"/>
                <w:szCs w:val="21"/>
                <w:highlight w:val="none"/>
              </w:rPr>
              <w:t>评分因素</w:t>
            </w:r>
          </w:p>
        </w:tc>
        <w:tc>
          <w:tcPr>
            <w:tcW w:w="1091" w:type="dxa"/>
            <w:shd w:val="clear" w:color="auto" w:fill="auto"/>
            <w:vAlign w:val="center"/>
          </w:tcPr>
          <w:p w14:paraId="7681B2CD">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r>
              <w:rPr>
                <w:rFonts w:hint="eastAsia" w:ascii="宋体" w:hAnsi="宋体" w:eastAsia="宋体" w:cs="宋体"/>
                <w:kern w:val="20"/>
                <w:sz w:val="21"/>
                <w:szCs w:val="21"/>
                <w:highlight w:val="none"/>
              </w:rPr>
              <w:t>评分因素权重分值</w:t>
            </w:r>
          </w:p>
        </w:tc>
        <w:tc>
          <w:tcPr>
            <w:tcW w:w="1909" w:type="dxa"/>
            <w:shd w:val="clear" w:color="auto" w:fill="auto"/>
            <w:vAlign w:val="center"/>
          </w:tcPr>
          <w:p w14:paraId="49001FFB">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r>
              <w:rPr>
                <w:rFonts w:hint="eastAsia" w:ascii="宋体" w:hAnsi="宋体" w:eastAsia="宋体" w:cs="宋体"/>
                <w:kern w:val="20"/>
                <w:sz w:val="21"/>
                <w:szCs w:val="21"/>
                <w:highlight w:val="none"/>
              </w:rPr>
              <w:t>各评分因素细分项</w:t>
            </w:r>
          </w:p>
        </w:tc>
        <w:tc>
          <w:tcPr>
            <w:tcW w:w="723" w:type="dxa"/>
            <w:shd w:val="clear" w:color="auto" w:fill="auto"/>
            <w:vAlign w:val="center"/>
          </w:tcPr>
          <w:p w14:paraId="30F48D8B">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r>
              <w:rPr>
                <w:rFonts w:hint="eastAsia" w:ascii="宋体" w:hAnsi="宋体" w:eastAsia="宋体" w:cs="宋体"/>
                <w:kern w:val="20"/>
                <w:sz w:val="21"/>
                <w:szCs w:val="21"/>
                <w:highlight w:val="none"/>
              </w:rPr>
              <w:t>分值</w:t>
            </w:r>
          </w:p>
        </w:tc>
        <w:tc>
          <w:tcPr>
            <w:tcW w:w="3822" w:type="dxa"/>
            <w:vMerge w:val="continue"/>
            <w:shd w:val="clear" w:color="auto" w:fill="auto"/>
          </w:tcPr>
          <w:p w14:paraId="6F9102E0">
            <w:pPr>
              <w:keepNext w:val="0"/>
              <w:keepLines w:val="0"/>
              <w:pageBreakBefore w:val="0"/>
              <w:widowControl w:val="0"/>
              <w:kinsoku/>
              <w:wordWrap/>
              <w:overflowPunct/>
              <w:topLinePunct w:val="0"/>
              <w:autoSpaceDE/>
              <w:autoSpaceDN/>
              <w:bidi w:val="0"/>
              <w:spacing w:line="360" w:lineRule="exact"/>
              <w:rPr>
                <w:rFonts w:hint="eastAsia" w:ascii="宋体" w:hAnsi="宋体" w:eastAsia="宋体" w:cs="宋体"/>
                <w:kern w:val="20"/>
                <w:sz w:val="21"/>
                <w:szCs w:val="21"/>
                <w:highlight w:val="none"/>
              </w:rPr>
            </w:pPr>
          </w:p>
        </w:tc>
      </w:tr>
      <w:tr w14:paraId="69152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877" w:type="dxa"/>
            <w:vMerge w:val="restart"/>
            <w:shd w:val="clear" w:color="auto" w:fill="auto"/>
            <w:vAlign w:val="center"/>
          </w:tcPr>
          <w:p w14:paraId="3702E38C">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lang w:eastAsia="zh-CN"/>
              </w:rPr>
            </w:pPr>
            <w:r>
              <w:rPr>
                <w:rStyle w:val="15"/>
                <w:rFonts w:hint="eastAsia" w:ascii="宋体" w:hAnsi="宋体" w:eastAsia="宋体" w:cs="宋体"/>
                <w:color w:val="auto"/>
                <w:sz w:val="21"/>
                <w:szCs w:val="21"/>
                <w:highlight w:val="none"/>
                <w:shd w:val="clear" w:color="auto" w:fill="auto"/>
              </w:rPr>
              <w:t>2.2.4</w:t>
            </w:r>
            <w:r>
              <w:rPr>
                <w:rStyle w:val="15"/>
                <w:rFonts w:hint="eastAsia" w:ascii="宋体" w:hAnsi="宋体" w:eastAsia="宋体" w:cs="宋体"/>
                <w:color w:val="auto"/>
                <w:sz w:val="21"/>
                <w:szCs w:val="21"/>
                <w:highlight w:val="none"/>
                <w:shd w:val="clear" w:color="auto" w:fill="auto"/>
              </w:rPr>
              <w:br w:type="textWrapping"/>
            </w:r>
            <w:r>
              <w:rPr>
                <w:rStyle w:val="15"/>
                <w:rFonts w:hint="eastAsia" w:ascii="宋体" w:hAnsi="宋体" w:eastAsia="宋体" w:cs="宋体"/>
                <w:color w:val="auto"/>
                <w:sz w:val="21"/>
                <w:szCs w:val="21"/>
                <w:highlight w:val="none"/>
                <w:shd w:val="clear" w:color="auto" w:fill="auto"/>
                <w:lang w:eastAsia="zh-CN"/>
              </w:rPr>
              <w:t>（</w:t>
            </w:r>
            <w:r>
              <w:rPr>
                <w:rStyle w:val="15"/>
                <w:rFonts w:hint="eastAsia" w:ascii="宋体" w:hAnsi="宋体" w:eastAsia="宋体" w:cs="宋体"/>
                <w:color w:val="auto"/>
                <w:sz w:val="21"/>
                <w:szCs w:val="21"/>
                <w:highlight w:val="none"/>
                <w:shd w:val="clear" w:color="auto" w:fill="auto"/>
              </w:rPr>
              <w:t>1</w:t>
            </w:r>
            <w:r>
              <w:rPr>
                <w:rStyle w:val="15"/>
                <w:rFonts w:hint="eastAsia" w:ascii="宋体" w:hAnsi="宋体" w:eastAsia="宋体" w:cs="宋体"/>
                <w:color w:val="auto"/>
                <w:sz w:val="21"/>
                <w:szCs w:val="21"/>
                <w:highlight w:val="none"/>
                <w:shd w:val="clear" w:color="auto" w:fill="auto"/>
                <w:lang w:eastAsia="zh-CN"/>
              </w:rPr>
              <w:t>）</w:t>
            </w:r>
          </w:p>
        </w:tc>
        <w:tc>
          <w:tcPr>
            <w:tcW w:w="1159" w:type="dxa"/>
            <w:gridSpan w:val="2"/>
            <w:vMerge w:val="restart"/>
            <w:shd w:val="clear" w:color="auto" w:fill="auto"/>
            <w:vAlign w:val="center"/>
          </w:tcPr>
          <w:p w14:paraId="5975566D">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r>
              <w:rPr>
                <w:rStyle w:val="15"/>
                <w:rFonts w:hint="eastAsia" w:ascii="宋体" w:hAnsi="宋体" w:eastAsia="宋体" w:cs="宋体"/>
                <w:color w:val="auto"/>
                <w:sz w:val="21"/>
                <w:szCs w:val="21"/>
                <w:highlight w:val="none"/>
                <w:shd w:val="clear" w:color="auto" w:fill="auto"/>
              </w:rPr>
              <w:t>技术</w:t>
            </w:r>
            <w:r>
              <w:rPr>
                <w:rStyle w:val="15"/>
                <w:rFonts w:hint="eastAsia" w:ascii="宋体" w:hAnsi="宋体" w:eastAsia="宋体" w:cs="宋体"/>
                <w:color w:val="auto"/>
                <w:sz w:val="21"/>
                <w:szCs w:val="21"/>
                <w:highlight w:val="none"/>
                <w:shd w:val="clear" w:color="auto" w:fill="auto"/>
              </w:rPr>
              <w:br w:type="textWrapping"/>
            </w:r>
            <w:r>
              <w:rPr>
                <w:rStyle w:val="15"/>
                <w:rFonts w:hint="eastAsia" w:ascii="宋体" w:hAnsi="宋体" w:eastAsia="宋体" w:cs="宋体"/>
                <w:color w:val="auto"/>
                <w:sz w:val="21"/>
                <w:szCs w:val="21"/>
                <w:highlight w:val="none"/>
                <w:shd w:val="clear" w:color="auto" w:fill="auto"/>
              </w:rPr>
              <w:t>建议书</w:t>
            </w:r>
          </w:p>
        </w:tc>
        <w:tc>
          <w:tcPr>
            <w:tcW w:w="1091" w:type="dxa"/>
            <w:vMerge w:val="restart"/>
            <w:shd w:val="clear" w:color="auto" w:fill="auto"/>
            <w:vAlign w:val="center"/>
          </w:tcPr>
          <w:p w14:paraId="0B903062">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r>
              <w:rPr>
                <w:rFonts w:hint="eastAsia" w:ascii="宋体" w:hAnsi="宋体" w:eastAsia="宋体" w:cs="宋体"/>
                <w:kern w:val="20"/>
                <w:sz w:val="21"/>
                <w:szCs w:val="21"/>
                <w:highlight w:val="none"/>
                <w:u w:val="single"/>
              </w:rPr>
              <w:t>30</w:t>
            </w:r>
            <w:r>
              <w:rPr>
                <w:rFonts w:hint="eastAsia" w:ascii="宋体" w:hAnsi="宋体" w:eastAsia="宋体" w:cs="宋体"/>
                <w:kern w:val="20"/>
                <w:sz w:val="21"/>
                <w:szCs w:val="21"/>
                <w:highlight w:val="none"/>
              </w:rPr>
              <w:t>分</w:t>
            </w:r>
          </w:p>
        </w:tc>
        <w:tc>
          <w:tcPr>
            <w:tcW w:w="1909" w:type="dxa"/>
            <w:shd w:val="clear" w:color="auto" w:fill="auto"/>
            <w:vAlign w:val="center"/>
          </w:tcPr>
          <w:p w14:paraId="02999438">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r>
              <w:rPr>
                <w:rStyle w:val="15"/>
                <w:rFonts w:hint="eastAsia" w:ascii="宋体" w:hAnsi="宋体" w:eastAsia="宋体" w:cs="宋体"/>
                <w:color w:val="auto"/>
                <w:sz w:val="21"/>
                <w:szCs w:val="21"/>
                <w:highlight w:val="none"/>
                <w:shd w:val="clear" w:color="auto" w:fill="auto"/>
              </w:rPr>
              <w:t>对招标项目的理解和总体设计思路</w:t>
            </w:r>
          </w:p>
        </w:tc>
        <w:tc>
          <w:tcPr>
            <w:tcW w:w="723" w:type="dxa"/>
            <w:shd w:val="clear" w:color="auto" w:fill="auto"/>
            <w:vAlign w:val="center"/>
          </w:tcPr>
          <w:p w14:paraId="31BB2B0C">
            <w:pPr>
              <w:keepNext w:val="0"/>
              <w:keepLines w:val="0"/>
              <w:pageBreakBefore w:val="0"/>
              <w:widowControl w:val="0"/>
              <w:kinsoku/>
              <w:wordWrap/>
              <w:overflowPunct/>
              <w:topLinePunct w:val="0"/>
              <w:autoSpaceDE/>
              <w:autoSpaceDN/>
              <w:bidi w:val="0"/>
              <w:adjustRightInd w:val="0"/>
              <w:snapToGrid w:val="0"/>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u w:val="single"/>
              </w:rPr>
              <w:t>5</w:t>
            </w:r>
            <w:r>
              <w:rPr>
                <w:rFonts w:hint="eastAsia" w:ascii="宋体" w:hAnsi="宋体" w:eastAsia="宋体" w:cs="宋体"/>
                <w:sz w:val="21"/>
                <w:szCs w:val="21"/>
                <w:highlight w:val="none"/>
              </w:rPr>
              <w:t>分</w:t>
            </w:r>
          </w:p>
        </w:tc>
        <w:tc>
          <w:tcPr>
            <w:tcW w:w="3822" w:type="dxa"/>
            <w:shd w:val="clear" w:color="auto" w:fill="auto"/>
            <w:vAlign w:val="center"/>
          </w:tcPr>
          <w:p w14:paraId="019263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113" w:rightChars="0" w:firstLine="0" w:firstLineChars="0"/>
              <w:textAlignment w:val="auto"/>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对招标项目的理解和总体设计思路基本正确得3分，理解深刻、认识全面、对设计思路把握准确，酌情加分，最高加2分。</w:t>
            </w:r>
          </w:p>
        </w:tc>
      </w:tr>
      <w:tr w14:paraId="1131CB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7" w:type="dxa"/>
            <w:vMerge w:val="continue"/>
            <w:shd w:val="clear" w:color="auto" w:fill="auto"/>
            <w:vAlign w:val="center"/>
          </w:tcPr>
          <w:p w14:paraId="41F0B174">
            <w:pPr>
              <w:keepNext w:val="0"/>
              <w:keepLines w:val="0"/>
              <w:pageBreakBefore w:val="0"/>
              <w:widowControl w:val="0"/>
              <w:kinsoku/>
              <w:wordWrap/>
              <w:overflowPunct/>
              <w:topLinePunct w:val="0"/>
              <w:autoSpaceDE/>
              <w:autoSpaceDN/>
              <w:bidi w:val="0"/>
              <w:spacing w:line="360" w:lineRule="exact"/>
              <w:jc w:val="center"/>
              <w:rPr>
                <w:rStyle w:val="15"/>
                <w:rFonts w:hint="eastAsia" w:ascii="宋体" w:hAnsi="宋体" w:eastAsia="宋体" w:cs="宋体"/>
                <w:color w:val="auto"/>
                <w:sz w:val="21"/>
                <w:szCs w:val="21"/>
                <w:highlight w:val="none"/>
                <w:shd w:val="clear" w:color="auto" w:fill="auto"/>
              </w:rPr>
            </w:pPr>
          </w:p>
        </w:tc>
        <w:tc>
          <w:tcPr>
            <w:tcW w:w="1159" w:type="dxa"/>
            <w:gridSpan w:val="2"/>
            <w:vMerge w:val="continue"/>
            <w:shd w:val="clear" w:color="auto" w:fill="auto"/>
            <w:vAlign w:val="center"/>
          </w:tcPr>
          <w:p w14:paraId="5CA3F239">
            <w:pPr>
              <w:keepNext w:val="0"/>
              <w:keepLines w:val="0"/>
              <w:pageBreakBefore w:val="0"/>
              <w:widowControl w:val="0"/>
              <w:kinsoku/>
              <w:wordWrap/>
              <w:overflowPunct/>
              <w:topLinePunct w:val="0"/>
              <w:autoSpaceDE/>
              <w:autoSpaceDN/>
              <w:bidi w:val="0"/>
              <w:spacing w:line="360" w:lineRule="exact"/>
              <w:jc w:val="center"/>
              <w:rPr>
                <w:rStyle w:val="15"/>
                <w:rFonts w:hint="eastAsia" w:ascii="宋体" w:hAnsi="宋体" w:eastAsia="宋体" w:cs="宋体"/>
                <w:color w:val="auto"/>
                <w:sz w:val="21"/>
                <w:szCs w:val="21"/>
                <w:highlight w:val="none"/>
                <w:shd w:val="clear" w:color="auto" w:fill="auto"/>
              </w:rPr>
            </w:pPr>
          </w:p>
        </w:tc>
        <w:tc>
          <w:tcPr>
            <w:tcW w:w="1091" w:type="dxa"/>
            <w:vMerge w:val="continue"/>
            <w:shd w:val="clear" w:color="auto" w:fill="auto"/>
            <w:vAlign w:val="center"/>
          </w:tcPr>
          <w:p w14:paraId="1DB6D471">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u w:val="single"/>
              </w:rPr>
            </w:pPr>
          </w:p>
        </w:tc>
        <w:tc>
          <w:tcPr>
            <w:tcW w:w="1909" w:type="dxa"/>
            <w:shd w:val="clear" w:color="auto" w:fill="auto"/>
            <w:vAlign w:val="center"/>
          </w:tcPr>
          <w:p w14:paraId="2CE01BFD">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对招标项目勘察设计的特点、关键技术问题的认识及对策措施</w:t>
            </w:r>
          </w:p>
        </w:tc>
        <w:tc>
          <w:tcPr>
            <w:tcW w:w="723" w:type="dxa"/>
            <w:shd w:val="clear" w:color="auto" w:fill="auto"/>
            <w:vAlign w:val="center"/>
          </w:tcPr>
          <w:p w14:paraId="21F27359">
            <w:pPr>
              <w:keepNext w:val="0"/>
              <w:keepLines w:val="0"/>
              <w:pageBreakBefore w:val="0"/>
              <w:widowControl w:val="0"/>
              <w:kinsoku/>
              <w:wordWrap/>
              <w:overflowPunct/>
              <w:topLinePunct w:val="0"/>
              <w:autoSpaceDE/>
              <w:autoSpaceDN/>
              <w:bidi w:val="0"/>
              <w:adjustRightInd w:val="0"/>
              <w:snapToGrid w:val="0"/>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u w:val="single"/>
              </w:rPr>
              <w:t>5</w:t>
            </w:r>
            <w:r>
              <w:rPr>
                <w:rFonts w:hint="eastAsia" w:ascii="宋体" w:hAnsi="宋体" w:eastAsia="宋体" w:cs="宋体"/>
                <w:sz w:val="21"/>
                <w:szCs w:val="21"/>
                <w:highlight w:val="none"/>
              </w:rPr>
              <w:t>分</w:t>
            </w:r>
          </w:p>
        </w:tc>
        <w:tc>
          <w:tcPr>
            <w:tcW w:w="3822" w:type="dxa"/>
            <w:shd w:val="clear" w:color="auto" w:fill="auto"/>
            <w:vAlign w:val="center"/>
          </w:tcPr>
          <w:p w14:paraId="3B3A88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113" w:rightChars="0" w:firstLine="0" w:firstLineChars="0"/>
              <w:textAlignment w:val="auto"/>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对招标项目设计的特点及关键性技术问题把握基本准确，所提出的措施基本可行得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分，所提出的措施符合本项目的特点，针对性强，且具有可行性的，酌情加分，最高加</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tc>
      </w:tr>
      <w:tr w14:paraId="42EC0A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877" w:type="dxa"/>
            <w:vMerge w:val="continue"/>
            <w:shd w:val="clear" w:color="auto" w:fill="auto"/>
            <w:vAlign w:val="center"/>
          </w:tcPr>
          <w:p w14:paraId="32955494">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p>
        </w:tc>
        <w:tc>
          <w:tcPr>
            <w:tcW w:w="1159" w:type="dxa"/>
            <w:gridSpan w:val="2"/>
            <w:vMerge w:val="continue"/>
            <w:shd w:val="clear" w:color="auto" w:fill="auto"/>
            <w:vAlign w:val="center"/>
          </w:tcPr>
          <w:p w14:paraId="70AB18A3">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p>
        </w:tc>
        <w:tc>
          <w:tcPr>
            <w:tcW w:w="1091" w:type="dxa"/>
            <w:vMerge w:val="continue"/>
            <w:shd w:val="clear" w:color="auto" w:fill="auto"/>
            <w:vAlign w:val="center"/>
          </w:tcPr>
          <w:p w14:paraId="331FDD1C">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p>
        </w:tc>
        <w:tc>
          <w:tcPr>
            <w:tcW w:w="1909" w:type="dxa"/>
            <w:shd w:val="clear" w:color="auto" w:fill="auto"/>
            <w:vAlign w:val="center"/>
          </w:tcPr>
          <w:p w14:paraId="3998C4DD">
            <w:pPr>
              <w:keepNext w:val="0"/>
              <w:keepLines w:val="0"/>
              <w:pageBreakBefore w:val="0"/>
              <w:widowControl w:val="0"/>
              <w:kinsoku/>
              <w:wordWrap/>
              <w:overflowPunct/>
              <w:topLinePunct w:val="0"/>
              <w:autoSpaceDE/>
              <w:autoSpaceDN/>
              <w:bidi w:val="0"/>
              <w:spacing w:line="360" w:lineRule="exact"/>
              <w:jc w:val="center"/>
              <w:rPr>
                <w:rStyle w:val="15"/>
                <w:rFonts w:hint="eastAsia" w:ascii="宋体" w:hAnsi="宋体" w:eastAsia="宋体" w:cs="宋体"/>
                <w:color w:val="auto"/>
                <w:sz w:val="21"/>
                <w:szCs w:val="21"/>
                <w:highlight w:val="none"/>
                <w:shd w:val="clear" w:color="auto" w:fill="auto"/>
              </w:rPr>
            </w:pPr>
            <w:r>
              <w:rPr>
                <w:rStyle w:val="15"/>
                <w:rFonts w:hint="eastAsia" w:ascii="宋体" w:hAnsi="宋体" w:eastAsia="宋体" w:cs="宋体"/>
                <w:color w:val="auto"/>
                <w:sz w:val="21"/>
                <w:szCs w:val="21"/>
                <w:highlight w:val="none"/>
                <w:shd w:val="clear" w:color="auto" w:fill="auto"/>
              </w:rPr>
              <w:t>勘察设计工作量及计划安排</w:t>
            </w:r>
          </w:p>
        </w:tc>
        <w:tc>
          <w:tcPr>
            <w:tcW w:w="723" w:type="dxa"/>
            <w:shd w:val="clear" w:color="auto" w:fill="auto"/>
            <w:vAlign w:val="center"/>
          </w:tcPr>
          <w:p w14:paraId="7C12BB9D">
            <w:pPr>
              <w:keepNext w:val="0"/>
              <w:keepLines w:val="0"/>
              <w:pageBreakBefore w:val="0"/>
              <w:widowControl w:val="0"/>
              <w:kinsoku/>
              <w:wordWrap/>
              <w:overflowPunct/>
              <w:topLinePunct w:val="0"/>
              <w:autoSpaceDE/>
              <w:autoSpaceDN/>
              <w:bidi w:val="0"/>
              <w:adjustRightInd w:val="0"/>
              <w:snapToGrid w:val="0"/>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u w:val="single"/>
              </w:rPr>
              <w:t>10</w:t>
            </w:r>
            <w:r>
              <w:rPr>
                <w:rFonts w:hint="eastAsia" w:ascii="宋体" w:hAnsi="宋体" w:eastAsia="宋体" w:cs="宋体"/>
                <w:sz w:val="21"/>
                <w:szCs w:val="21"/>
                <w:highlight w:val="none"/>
              </w:rPr>
              <w:t>分</w:t>
            </w:r>
          </w:p>
        </w:tc>
        <w:tc>
          <w:tcPr>
            <w:tcW w:w="3822" w:type="dxa"/>
            <w:shd w:val="clear" w:color="auto" w:fill="auto"/>
            <w:vAlign w:val="center"/>
          </w:tcPr>
          <w:p w14:paraId="0B509F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113" w:rightChars="0" w:firstLine="0" w:firstLineChars="0"/>
              <w:textAlignment w:val="auto"/>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设计工作计划安排基本可行得6分，计划安排合理，酌情加分，最高加4分。</w:t>
            </w:r>
          </w:p>
        </w:tc>
      </w:tr>
      <w:tr w14:paraId="10BA70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77" w:type="dxa"/>
            <w:vMerge w:val="continue"/>
            <w:shd w:val="clear" w:color="auto" w:fill="auto"/>
            <w:vAlign w:val="center"/>
          </w:tcPr>
          <w:p w14:paraId="07561B86">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p>
        </w:tc>
        <w:tc>
          <w:tcPr>
            <w:tcW w:w="1159" w:type="dxa"/>
            <w:gridSpan w:val="2"/>
            <w:vMerge w:val="continue"/>
            <w:shd w:val="clear" w:color="auto" w:fill="auto"/>
            <w:vAlign w:val="center"/>
          </w:tcPr>
          <w:p w14:paraId="6A1388F0">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p>
        </w:tc>
        <w:tc>
          <w:tcPr>
            <w:tcW w:w="1091" w:type="dxa"/>
            <w:vMerge w:val="continue"/>
            <w:shd w:val="clear" w:color="auto" w:fill="auto"/>
            <w:vAlign w:val="center"/>
          </w:tcPr>
          <w:p w14:paraId="18E8D45E">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p>
        </w:tc>
        <w:tc>
          <w:tcPr>
            <w:tcW w:w="1909" w:type="dxa"/>
            <w:shd w:val="clear" w:color="auto" w:fill="auto"/>
            <w:vAlign w:val="center"/>
          </w:tcPr>
          <w:p w14:paraId="14B7677D">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r>
              <w:rPr>
                <w:rStyle w:val="15"/>
                <w:rFonts w:hint="eastAsia" w:ascii="宋体" w:hAnsi="宋体" w:eastAsia="宋体" w:cs="宋体"/>
                <w:color w:val="auto"/>
                <w:sz w:val="21"/>
                <w:szCs w:val="21"/>
                <w:highlight w:val="none"/>
                <w:shd w:val="clear" w:color="auto" w:fill="auto"/>
              </w:rPr>
              <w:t>勘察设计的质量保证措施、进度保证措施、安全保证措施</w:t>
            </w:r>
          </w:p>
        </w:tc>
        <w:tc>
          <w:tcPr>
            <w:tcW w:w="723" w:type="dxa"/>
            <w:shd w:val="clear" w:color="auto" w:fill="auto"/>
            <w:vAlign w:val="center"/>
          </w:tcPr>
          <w:p w14:paraId="40C0EC32">
            <w:pPr>
              <w:keepNext w:val="0"/>
              <w:keepLines w:val="0"/>
              <w:pageBreakBefore w:val="0"/>
              <w:widowControl w:val="0"/>
              <w:kinsoku/>
              <w:wordWrap/>
              <w:overflowPunct/>
              <w:topLinePunct w:val="0"/>
              <w:autoSpaceDE/>
              <w:autoSpaceDN/>
              <w:bidi w:val="0"/>
              <w:adjustRightInd w:val="0"/>
              <w:snapToGrid w:val="0"/>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u w:val="single"/>
              </w:rPr>
              <w:t>5</w:t>
            </w:r>
            <w:r>
              <w:rPr>
                <w:rFonts w:hint="eastAsia" w:ascii="宋体" w:hAnsi="宋体" w:eastAsia="宋体" w:cs="宋体"/>
                <w:sz w:val="21"/>
                <w:szCs w:val="21"/>
                <w:highlight w:val="none"/>
              </w:rPr>
              <w:t>分</w:t>
            </w:r>
          </w:p>
        </w:tc>
        <w:tc>
          <w:tcPr>
            <w:tcW w:w="3822" w:type="dxa"/>
            <w:shd w:val="clear" w:color="auto" w:fill="auto"/>
            <w:vAlign w:val="center"/>
          </w:tcPr>
          <w:p w14:paraId="7ED3AF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113" w:rightChars="0" w:firstLine="0" w:firstLineChars="0"/>
              <w:textAlignment w:val="auto"/>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设计的质量、进度、安全保证措施基本可行得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分，措施可行，所采用的措施能够提高设计质量、加快设计进度的酌情加分，最高加</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tc>
      </w:tr>
      <w:tr w14:paraId="10F4EE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877" w:type="dxa"/>
            <w:vMerge w:val="continue"/>
            <w:shd w:val="clear" w:color="auto" w:fill="auto"/>
            <w:vAlign w:val="center"/>
          </w:tcPr>
          <w:p w14:paraId="1DF87573">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p>
        </w:tc>
        <w:tc>
          <w:tcPr>
            <w:tcW w:w="1159" w:type="dxa"/>
            <w:gridSpan w:val="2"/>
            <w:vMerge w:val="continue"/>
            <w:shd w:val="clear" w:color="auto" w:fill="auto"/>
            <w:vAlign w:val="center"/>
          </w:tcPr>
          <w:p w14:paraId="39BB6896">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p>
        </w:tc>
        <w:tc>
          <w:tcPr>
            <w:tcW w:w="1091" w:type="dxa"/>
            <w:vMerge w:val="continue"/>
            <w:shd w:val="clear" w:color="auto" w:fill="auto"/>
            <w:vAlign w:val="center"/>
          </w:tcPr>
          <w:p w14:paraId="5C645043">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p>
        </w:tc>
        <w:tc>
          <w:tcPr>
            <w:tcW w:w="1909" w:type="dxa"/>
            <w:shd w:val="clear" w:color="auto" w:fill="auto"/>
            <w:vAlign w:val="center"/>
          </w:tcPr>
          <w:p w14:paraId="409ADEE3">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r>
              <w:rPr>
                <w:rStyle w:val="15"/>
                <w:rFonts w:hint="eastAsia" w:ascii="宋体" w:hAnsi="宋体" w:eastAsia="宋体" w:cs="宋体"/>
                <w:color w:val="auto"/>
                <w:sz w:val="21"/>
                <w:szCs w:val="21"/>
                <w:highlight w:val="none"/>
                <w:shd w:val="clear" w:color="auto" w:fill="auto"/>
              </w:rPr>
              <w:t>后续服务的安排及保证措施</w:t>
            </w:r>
          </w:p>
        </w:tc>
        <w:tc>
          <w:tcPr>
            <w:tcW w:w="723" w:type="dxa"/>
            <w:shd w:val="clear" w:color="auto" w:fill="auto"/>
            <w:vAlign w:val="center"/>
          </w:tcPr>
          <w:p w14:paraId="0C5CA422">
            <w:pPr>
              <w:keepNext w:val="0"/>
              <w:keepLines w:val="0"/>
              <w:pageBreakBefore w:val="0"/>
              <w:widowControl w:val="0"/>
              <w:kinsoku/>
              <w:wordWrap/>
              <w:overflowPunct/>
              <w:topLinePunct w:val="0"/>
              <w:autoSpaceDE/>
              <w:autoSpaceDN/>
              <w:bidi w:val="0"/>
              <w:adjustRightInd w:val="0"/>
              <w:snapToGrid w:val="0"/>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u w:val="single"/>
              </w:rPr>
              <w:t>5</w:t>
            </w:r>
            <w:r>
              <w:rPr>
                <w:rFonts w:hint="eastAsia" w:ascii="宋体" w:hAnsi="宋体" w:eastAsia="宋体" w:cs="宋体"/>
                <w:sz w:val="21"/>
                <w:szCs w:val="21"/>
                <w:highlight w:val="none"/>
              </w:rPr>
              <w:t>分</w:t>
            </w:r>
          </w:p>
        </w:tc>
        <w:tc>
          <w:tcPr>
            <w:tcW w:w="3822" w:type="dxa"/>
            <w:shd w:val="clear" w:color="auto" w:fill="auto"/>
            <w:vAlign w:val="center"/>
          </w:tcPr>
          <w:p w14:paraId="5AB2B6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113" w:rightChars="0" w:firstLine="0" w:firstLineChars="0"/>
              <w:textAlignment w:val="auto"/>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后续服务的安排及保证措施基本可行得3分，可行且能够快速的协助发包人解决问题，酌情加分，最高加2分。</w:t>
            </w:r>
          </w:p>
        </w:tc>
      </w:tr>
      <w:tr w14:paraId="418461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877" w:type="dxa"/>
            <w:shd w:val="clear" w:color="auto" w:fill="auto"/>
            <w:vAlign w:val="center"/>
          </w:tcPr>
          <w:p w14:paraId="3A19D255">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lang w:eastAsia="zh-CN"/>
              </w:rPr>
            </w:pPr>
            <w:r>
              <w:rPr>
                <w:rStyle w:val="15"/>
                <w:rFonts w:hint="eastAsia" w:ascii="宋体" w:hAnsi="宋体" w:eastAsia="宋体" w:cs="宋体"/>
                <w:color w:val="auto"/>
                <w:sz w:val="21"/>
                <w:szCs w:val="21"/>
                <w:highlight w:val="none"/>
                <w:shd w:val="clear" w:color="auto" w:fill="auto"/>
              </w:rPr>
              <w:t>2.2.4</w:t>
            </w:r>
            <w:r>
              <w:rPr>
                <w:rStyle w:val="15"/>
                <w:rFonts w:hint="eastAsia" w:ascii="宋体" w:hAnsi="宋体" w:eastAsia="宋体" w:cs="宋体"/>
                <w:color w:val="auto"/>
                <w:sz w:val="21"/>
                <w:szCs w:val="21"/>
                <w:highlight w:val="none"/>
                <w:shd w:val="clear" w:color="auto" w:fill="auto"/>
              </w:rPr>
              <w:br w:type="textWrapping"/>
            </w:r>
            <w:r>
              <w:rPr>
                <w:rStyle w:val="15"/>
                <w:rFonts w:hint="eastAsia" w:ascii="宋体" w:hAnsi="宋体" w:eastAsia="宋体" w:cs="宋体"/>
                <w:color w:val="auto"/>
                <w:sz w:val="21"/>
                <w:szCs w:val="21"/>
                <w:highlight w:val="none"/>
                <w:shd w:val="clear" w:color="auto" w:fill="auto"/>
                <w:lang w:eastAsia="zh-CN"/>
              </w:rPr>
              <w:t>（</w:t>
            </w:r>
            <w:r>
              <w:rPr>
                <w:rStyle w:val="15"/>
                <w:rFonts w:hint="eastAsia" w:ascii="宋体" w:hAnsi="宋体" w:eastAsia="宋体" w:cs="宋体"/>
                <w:color w:val="auto"/>
                <w:sz w:val="21"/>
                <w:szCs w:val="21"/>
                <w:highlight w:val="none"/>
                <w:shd w:val="clear" w:color="auto" w:fill="auto"/>
              </w:rPr>
              <w:t>2</w:t>
            </w:r>
            <w:r>
              <w:rPr>
                <w:rStyle w:val="15"/>
                <w:rFonts w:hint="eastAsia" w:ascii="宋体" w:hAnsi="宋体" w:eastAsia="宋体" w:cs="宋体"/>
                <w:color w:val="auto"/>
                <w:sz w:val="21"/>
                <w:szCs w:val="21"/>
                <w:highlight w:val="none"/>
                <w:shd w:val="clear" w:color="auto" w:fill="auto"/>
                <w:lang w:eastAsia="zh-CN"/>
              </w:rPr>
              <w:t>）</w:t>
            </w:r>
          </w:p>
        </w:tc>
        <w:tc>
          <w:tcPr>
            <w:tcW w:w="1159" w:type="dxa"/>
            <w:gridSpan w:val="2"/>
            <w:shd w:val="clear" w:color="auto" w:fill="auto"/>
            <w:vAlign w:val="center"/>
          </w:tcPr>
          <w:p w14:paraId="2F34FECA">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r>
              <w:rPr>
                <w:rStyle w:val="15"/>
                <w:rFonts w:hint="eastAsia" w:ascii="宋体" w:hAnsi="宋体" w:eastAsia="宋体" w:cs="宋体"/>
                <w:color w:val="auto"/>
                <w:sz w:val="21"/>
                <w:szCs w:val="21"/>
                <w:highlight w:val="none"/>
                <w:shd w:val="clear" w:color="auto" w:fill="auto"/>
              </w:rPr>
              <w:t>主要人员</w:t>
            </w:r>
          </w:p>
        </w:tc>
        <w:tc>
          <w:tcPr>
            <w:tcW w:w="1091" w:type="dxa"/>
            <w:shd w:val="clear" w:color="auto" w:fill="auto"/>
            <w:vAlign w:val="center"/>
          </w:tcPr>
          <w:p w14:paraId="77D6DCE6">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r>
              <w:rPr>
                <w:rFonts w:hint="eastAsia" w:ascii="宋体" w:hAnsi="宋体" w:eastAsia="宋体" w:cs="宋体"/>
                <w:kern w:val="20"/>
                <w:sz w:val="21"/>
                <w:szCs w:val="21"/>
                <w:highlight w:val="none"/>
                <w:u w:val="single"/>
              </w:rPr>
              <w:t>25</w:t>
            </w:r>
            <w:r>
              <w:rPr>
                <w:rFonts w:hint="eastAsia" w:ascii="宋体" w:hAnsi="宋体" w:eastAsia="宋体" w:cs="宋体"/>
                <w:kern w:val="20"/>
                <w:sz w:val="21"/>
                <w:szCs w:val="21"/>
                <w:highlight w:val="none"/>
              </w:rPr>
              <w:t>分</w:t>
            </w:r>
          </w:p>
        </w:tc>
        <w:tc>
          <w:tcPr>
            <w:tcW w:w="1909" w:type="dxa"/>
            <w:shd w:val="clear" w:color="auto" w:fill="auto"/>
            <w:vAlign w:val="center"/>
          </w:tcPr>
          <w:p w14:paraId="5105FF94">
            <w:pPr>
              <w:keepNext w:val="0"/>
              <w:keepLines w:val="0"/>
              <w:pageBreakBefore w:val="0"/>
              <w:widowControl w:val="0"/>
              <w:kinsoku/>
              <w:wordWrap/>
              <w:overflowPunct/>
              <w:topLinePunct w:val="0"/>
              <w:autoSpaceDE/>
              <w:autoSpaceDN/>
              <w:bidi w:val="0"/>
              <w:spacing w:line="360" w:lineRule="exact"/>
              <w:jc w:val="center"/>
              <w:rPr>
                <w:rStyle w:val="15"/>
                <w:rFonts w:hint="eastAsia" w:ascii="宋体" w:hAnsi="宋体" w:eastAsia="宋体" w:cs="宋体"/>
                <w:color w:val="auto"/>
                <w:sz w:val="21"/>
                <w:szCs w:val="21"/>
                <w:highlight w:val="none"/>
                <w:shd w:val="clear" w:color="auto" w:fill="auto"/>
                <w:lang w:eastAsia="zh-CN"/>
              </w:rPr>
            </w:pPr>
            <w:r>
              <w:rPr>
                <w:rStyle w:val="15"/>
                <w:rFonts w:hint="eastAsia" w:ascii="宋体" w:hAnsi="宋体" w:eastAsia="宋体" w:cs="宋体"/>
                <w:color w:val="auto"/>
                <w:sz w:val="21"/>
                <w:szCs w:val="21"/>
                <w:highlight w:val="none"/>
                <w:shd w:val="clear" w:color="auto" w:fill="auto"/>
                <w:lang w:eastAsia="zh-CN"/>
              </w:rPr>
              <w:t>项目负责人</w:t>
            </w:r>
          </w:p>
          <w:p w14:paraId="067F6F08">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r>
              <w:rPr>
                <w:rStyle w:val="15"/>
                <w:rFonts w:hint="eastAsia" w:ascii="宋体" w:hAnsi="宋体" w:eastAsia="宋体" w:cs="宋体"/>
                <w:color w:val="auto"/>
                <w:sz w:val="21"/>
                <w:szCs w:val="21"/>
                <w:highlight w:val="none"/>
                <w:shd w:val="clear" w:color="auto" w:fill="auto"/>
              </w:rPr>
              <w:t>任职资格与业绩</w:t>
            </w:r>
          </w:p>
        </w:tc>
        <w:tc>
          <w:tcPr>
            <w:tcW w:w="723" w:type="dxa"/>
            <w:shd w:val="clear" w:color="auto" w:fill="auto"/>
            <w:vAlign w:val="center"/>
          </w:tcPr>
          <w:p w14:paraId="2DA69257">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r>
              <w:rPr>
                <w:rFonts w:hint="eastAsia" w:ascii="宋体" w:hAnsi="宋体" w:eastAsia="宋体" w:cs="宋体"/>
                <w:kern w:val="20"/>
                <w:sz w:val="21"/>
                <w:szCs w:val="21"/>
                <w:highlight w:val="none"/>
                <w:u w:val="single"/>
              </w:rPr>
              <w:t>25</w:t>
            </w:r>
            <w:r>
              <w:rPr>
                <w:rFonts w:hint="eastAsia" w:ascii="宋体" w:hAnsi="宋体" w:eastAsia="宋体" w:cs="宋体"/>
                <w:kern w:val="20"/>
                <w:sz w:val="21"/>
                <w:szCs w:val="21"/>
                <w:highlight w:val="none"/>
              </w:rPr>
              <w:t>分</w:t>
            </w:r>
          </w:p>
        </w:tc>
        <w:tc>
          <w:tcPr>
            <w:tcW w:w="3822" w:type="dxa"/>
            <w:shd w:val="clear" w:color="auto" w:fill="auto"/>
            <w:vAlign w:val="center"/>
          </w:tcPr>
          <w:p w14:paraId="009BAA7A">
            <w:pPr>
              <w:keepNext w:val="0"/>
              <w:keepLines w:val="0"/>
              <w:pageBreakBefore w:val="0"/>
              <w:widowControl w:val="0"/>
              <w:kinsoku/>
              <w:wordWrap/>
              <w:overflowPunct/>
              <w:topLinePunct w:val="0"/>
              <w:autoSpaceDE/>
              <w:autoSpaceDN/>
              <w:bidi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满足最低资格条件得15分，职称为高级工程师得21分、职称为正高级工程师（研究员）得25分。</w:t>
            </w:r>
          </w:p>
        </w:tc>
      </w:tr>
      <w:tr w14:paraId="33C3DA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25" w:hRule="atLeast"/>
          <w:jc w:val="center"/>
        </w:trPr>
        <w:tc>
          <w:tcPr>
            <w:tcW w:w="877" w:type="dxa"/>
            <w:shd w:val="clear" w:color="auto" w:fill="auto"/>
            <w:vAlign w:val="center"/>
          </w:tcPr>
          <w:p w14:paraId="504BA503">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lang w:eastAsia="zh-CN"/>
              </w:rPr>
            </w:pPr>
            <w:r>
              <w:rPr>
                <w:rStyle w:val="15"/>
                <w:rFonts w:hint="eastAsia" w:ascii="宋体" w:hAnsi="宋体" w:eastAsia="宋体" w:cs="宋体"/>
                <w:color w:val="auto"/>
                <w:sz w:val="21"/>
                <w:szCs w:val="21"/>
                <w:highlight w:val="none"/>
                <w:shd w:val="clear" w:color="auto" w:fill="auto"/>
              </w:rPr>
              <w:t>2.2.4</w:t>
            </w:r>
            <w:r>
              <w:rPr>
                <w:rStyle w:val="15"/>
                <w:rFonts w:hint="eastAsia" w:ascii="宋体" w:hAnsi="宋体" w:eastAsia="宋体" w:cs="宋体"/>
                <w:color w:val="auto"/>
                <w:sz w:val="21"/>
                <w:szCs w:val="21"/>
                <w:highlight w:val="none"/>
                <w:shd w:val="clear" w:color="auto" w:fill="auto"/>
              </w:rPr>
              <w:br w:type="textWrapping"/>
            </w:r>
            <w:r>
              <w:rPr>
                <w:rStyle w:val="15"/>
                <w:rFonts w:hint="eastAsia" w:ascii="宋体" w:hAnsi="宋体" w:eastAsia="宋体" w:cs="宋体"/>
                <w:color w:val="auto"/>
                <w:sz w:val="21"/>
                <w:szCs w:val="21"/>
                <w:highlight w:val="none"/>
                <w:shd w:val="clear" w:color="auto" w:fill="auto"/>
                <w:lang w:eastAsia="zh-CN"/>
              </w:rPr>
              <w:t>（</w:t>
            </w:r>
            <w:r>
              <w:rPr>
                <w:rStyle w:val="15"/>
                <w:rFonts w:hint="eastAsia" w:ascii="宋体" w:hAnsi="宋体" w:eastAsia="宋体" w:cs="宋体"/>
                <w:color w:val="auto"/>
                <w:sz w:val="21"/>
                <w:szCs w:val="21"/>
                <w:highlight w:val="none"/>
                <w:shd w:val="clear" w:color="auto" w:fill="auto"/>
              </w:rPr>
              <w:t>3</w:t>
            </w:r>
            <w:r>
              <w:rPr>
                <w:rStyle w:val="15"/>
                <w:rFonts w:hint="eastAsia" w:ascii="宋体" w:hAnsi="宋体" w:eastAsia="宋体" w:cs="宋体"/>
                <w:color w:val="auto"/>
                <w:sz w:val="21"/>
                <w:szCs w:val="21"/>
                <w:highlight w:val="none"/>
                <w:shd w:val="clear" w:color="auto" w:fill="auto"/>
                <w:lang w:eastAsia="zh-CN"/>
              </w:rPr>
              <w:t>）</w:t>
            </w:r>
          </w:p>
        </w:tc>
        <w:tc>
          <w:tcPr>
            <w:tcW w:w="1159" w:type="dxa"/>
            <w:gridSpan w:val="2"/>
            <w:shd w:val="clear" w:color="auto" w:fill="auto"/>
            <w:vAlign w:val="center"/>
          </w:tcPr>
          <w:p w14:paraId="786362C3">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r>
              <w:rPr>
                <w:rStyle w:val="15"/>
                <w:rFonts w:hint="eastAsia" w:ascii="宋体" w:hAnsi="宋体" w:eastAsia="宋体" w:cs="宋体"/>
                <w:color w:val="auto"/>
                <w:sz w:val="21"/>
                <w:szCs w:val="21"/>
                <w:highlight w:val="none"/>
                <w:shd w:val="clear" w:color="auto" w:fill="auto"/>
              </w:rPr>
              <w:t>评标价</w:t>
            </w:r>
          </w:p>
        </w:tc>
        <w:tc>
          <w:tcPr>
            <w:tcW w:w="1091" w:type="dxa"/>
            <w:shd w:val="clear" w:color="auto" w:fill="auto"/>
            <w:vAlign w:val="center"/>
          </w:tcPr>
          <w:p w14:paraId="3A369D07">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r>
              <w:rPr>
                <w:rFonts w:hint="eastAsia" w:ascii="宋体" w:hAnsi="宋体" w:eastAsia="宋体" w:cs="宋体"/>
                <w:kern w:val="20"/>
                <w:sz w:val="21"/>
                <w:szCs w:val="21"/>
                <w:highlight w:val="none"/>
                <w:u w:val="single"/>
              </w:rPr>
              <w:t>10</w:t>
            </w:r>
            <w:r>
              <w:rPr>
                <w:rFonts w:hint="eastAsia" w:ascii="宋体" w:hAnsi="宋体" w:eastAsia="宋体" w:cs="宋体"/>
                <w:kern w:val="20"/>
                <w:sz w:val="21"/>
                <w:szCs w:val="21"/>
                <w:highlight w:val="none"/>
              </w:rPr>
              <w:t>分</w:t>
            </w:r>
          </w:p>
        </w:tc>
        <w:tc>
          <w:tcPr>
            <w:tcW w:w="6454" w:type="dxa"/>
            <w:gridSpan w:val="3"/>
            <w:shd w:val="clear" w:color="auto" w:fill="auto"/>
            <w:vAlign w:val="center"/>
          </w:tcPr>
          <w:p w14:paraId="45B2E28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评标价得分计算公式示例：</w:t>
            </w:r>
          </w:p>
          <w:p w14:paraId="1BAF98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right="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（1）如果投标人的评标价＞评标基准价，则评标价得分=</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-偏差率×100×</w:t>
            </w:r>
            <w:r>
              <w:rPr>
                <w:rFonts w:hint="eastAsia" w:ascii="宋体" w:hAnsi="宋体" w:eastAsia="宋体" w:cs="宋体"/>
                <w:color w:val="auto"/>
                <w:sz w:val="21"/>
                <w:szCs w:val="21"/>
                <w:highlight w:val="none"/>
                <w:lang w:val="en-US" w:eastAsia="zh-CN"/>
              </w:rPr>
              <w:t>0.1</w:t>
            </w:r>
            <w:r>
              <w:rPr>
                <w:rFonts w:hint="eastAsia" w:ascii="宋体" w:hAnsi="宋体" w:eastAsia="宋体" w:cs="宋体"/>
                <w:color w:val="auto"/>
                <w:sz w:val="21"/>
                <w:szCs w:val="21"/>
                <w:highlight w:val="none"/>
              </w:rPr>
              <w:t>；</w:t>
            </w:r>
          </w:p>
          <w:p w14:paraId="5885E9B0">
            <w:pPr>
              <w:keepNext w:val="0"/>
              <w:keepLines w:val="0"/>
              <w:pageBreakBefore w:val="0"/>
              <w:widowControl w:val="0"/>
              <w:kinsoku/>
              <w:wordWrap/>
              <w:overflowPunct/>
              <w:topLinePunct w:val="0"/>
              <w:autoSpaceDE/>
              <w:autoSpaceDN/>
              <w:bidi w:val="0"/>
              <w:spacing w:line="360" w:lineRule="exact"/>
              <w:rPr>
                <w:rFonts w:hint="eastAsia" w:ascii="宋体" w:hAnsi="宋体" w:eastAsia="宋体" w:cs="宋体"/>
                <w:kern w:val="20"/>
                <w:sz w:val="21"/>
                <w:szCs w:val="21"/>
                <w:highlight w:val="none"/>
              </w:rPr>
            </w:pPr>
            <w:r>
              <w:rPr>
                <w:rFonts w:hint="eastAsia" w:ascii="宋体" w:hAnsi="宋体" w:eastAsia="宋体" w:cs="宋体"/>
                <w:color w:val="auto"/>
                <w:sz w:val="21"/>
                <w:szCs w:val="21"/>
                <w:highlight w:val="none"/>
              </w:rPr>
              <w:t>（2）如果投标人的评标价≤评标基准价，则评标价得分=</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+偏差率×100×</w:t>
            </w:r>
            <w:r>
              <w:rPr>
                <w:rFonts w:hint="eastAsia" w:ascii="宋体" w:hAnsi="宋体" w:eastAsia="宋体" w:cs="宋体"/>
                <w:color w:val="auto"/>
                <w:sz w:val="21"/>
                <w:szCs w:val="21"/>
                <w:highlight w:val="none"/>
                <w:lang w:val="en-US" w:eastAsia="zh-CN"/>
              </w:rPr>
              <w:t>0.05。</w:t>
            </w:r>
          </w:p>
        </w:tc>
      </w:tr>
      <w:tr w14:paraId="110177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vMerge w:val="restart"/>
            <w:shd w:val="clear" w:color="auto" w:fill="auto"/>
            <w:vAlign w:val="center"/>
          </w:tcPr>
          <w:p w14:paraId="10E20724">
            <w:pPr>
              <w:keepNext w:val="0"/>
              <w:keepLines w:val="0"/>
              <w:pageBreakBefore w:val="0"/>
              <w:widowControl w:val="0"/>
              <w:kinsoku/>
              <w:wordWrap/>
              <w:overflowPunct/>
              <w:topLinePunct w:val="0"/>
              <w:autoSpaceDE/>
              <w:autoSpaceDN/>
              <w:bidi w:val="0"/>
              <w:spacing w:line="360" w:lineRule="exact"/>
              <w:jc w:val="center"/>
              <w:rPr>
                <w:rStyle w:val="15"/>
                <w:rFonts w:hint="eastAsia" w:ascii="宋体" w:hAnsi="宋体" w:eastAsia="宋体" w:cs="宋体"/>
                <w:color w:val="auto"/>
                <w:sz w:val="21"/>
                <w:szCs w:val="21"/>
                <w:highlight w:val="none"/>
                <w:shd w:val="clear" w:color="auto" w:fill="auto"/>
              </w:rPr>
            </w:pPr>
            <w:r>
              <w:rPr>
                <w:rFonts w:hint="eastAsia" w:ascii="宋体" w:hAnsi="宋体" w:eastAsia="宋体" w:cs="宋体"/>
                <w:kern w:val="20"/>
                <w:sz w:val="21"/>
                <w:szCs w:val="21"/>
                <w:highlight w:val="none"/>
              </w:rPr>
              <w:t>2.2.4（4）</w:t>
            </w:r>
          </w:p>
        </w:tc>
        <w:tc>
          <w:tcPr>
            <w:tcW w:w="573" w:type="dxa"/>
            <w:vMerge w:val="restart"/>
            <w:shd w:val="clear" w:color="auto" w:fill="auto"/>
            <w:vAlign w:val="center"/>
          </w:tcPr>
          <w:p w14:paraId="1478F61D">
            <w:pPr>
              <w:keepNext w:val="0"/>
              <w:keepLines w:val="0"/>
              <w:pageBreakBefore w:val="0"/>
              <w:widowControl w:val="0"/>
              <w:kinsoku/>
              <w:wordWrap/>
              <w:overflowPunct/>
              <w:topLinePunct w:val="0"/>
              <w:autoSpaceDE/>
              <w:autoSpaceDN/>
              <w:bidi w:val="0"/>
              <w:spacing w:line="360" w:lineRule="exact"/>
              <w:jc w:val="center"/>
              <w:rPr>
                <w:rStyle w:val="15"/>
                <w:rFonts w:hint="eastAsia" w:ascii="宋体" w:hAnsi="宋体" w:eastAsia="宋体" w:cs="宋体"/>
                <w:color w:val="auto"/>
                <w:sz w:val="21"/>
                <w:szCs w:val="21"/>
                <w:highlight w:val="none"/>
                <w:shd w:val="clear" w:color="auto" w:fill="auto"/>
              </w:rPr>
            </w:pPr>
            <w:r>
              <w:rPr>
                <w:rStyle w:val="15"/>
                <w:rFonts w:hint="eastAsia" w:ascii="宋体" w:hAnsi="宋体" w:eastAsia="宋体" w:cs="宋体"/>
                <w:color w:val="auto"/>
                <w:sz w:val="21"/>
                <w:szCs w:val="21"/>
                <w:highlight w:val="none"/>
                <w:shd w:val="clear" w:color="auto" w:fill="auto"/>
              </w:rPr>
              <w:t>其他因素</w:t>
            </w:r>
          </w:p>
        </w:tc>
        <w:tc>
          <w:tcPr>
            <w:tcW w:w="586" w:type="dxa"/>
            <w:shd w:val="clear" w:color="auto" w:fill="auto"/>
            <w:vAlign w:val="center"/>
          </w:tcPr>
          <w:p w14:paraId="7549C210">
            <w:pPr>
              <w:keepNext w:val="0"/>
              <w:keepLines w:val="0"/>
              <w:pageBreakBefore w:val="0"/>
              <w:widowControl w:val="0"/>
              <w:kinsoku/>
              <w:wordWrap/>
              <w:overflowPunct/>
              <w:topLinePunct w:val="0"/>
              <w:autoSpaceDE/>
              <w:autoSpaceDN/>
              <w:bidi w:val="0"/>
              <w:adjustRightInd w:val="0"/>
              <w:snapToGrid w:val="0"/>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业绩</w:t>
            </w:r>
          </w:p>
        </w:tc>
        <w:tc>
          <w:tcPr>
            <w:tcW w:w="1091" w:type="dxa"/>
            <w:shd w:val="clear" w:color="auto" w:fill="auto"/>
            <w:vAlign w:val="center"/>
          </w:tcPr>
          <w:p w14:paraId="3F7C79B2">
            <w:pPr>
              <w:keepNext w:val="0"/>
              <w:keepLines w:val="0"/>
              <w:pageBreakBefore w:val="0"/>
              <w:widowControl w:val="0"/>
              <w:kinsoku/>
              <w:wordWrap/>
              <w:overflowPunct/>
              <w:topLinePunct w:val="0"/>
              <w:autoSpaceDE/>
              <w:autoSpaceDN/>
              <w:bidi w:val="0"/>
              <w:adjustRightInd w:val="0"/>
              <w:snapToGrid w:val="0"/>
              <w:spacing w:line="360" w:lineRule="exact"/>
              <w:jc w:val="center"/>
              <w:rPr>
                <w:rFonts w:hint="eastAsia" w:ascii="宋体" w:hAnsi="宋体" w:eastAsia="宋体" w:cs="宋体"/>
                <w:sz w:val="21"/>
                <w:szCs w:val="21"/>
                <w:highlight w:val="none"/>
              </w:rPr>
            </w:pPr>
            <w:r>
              <w:rPr>
                <w:rFonts w:hint="eastAsia" w:ascii="宋体" w:hAnsi="宋体" w:eastAsia="宋体" w:cs="宋体"/>
                <w:kern w:val="20"/>
                <w:sz w:val="21"/>
                <w:szCs w:val="21"/>
                <w:highlight w:val="none"/>
                <w:u w:val="single"/>
              </w:rPr>
              <w:t>25</w:t>
            </w:r>
            <w:r>
              <w:rPr>
                <w:rFonts w:hint="eastAsia" w:ascii="宋体" w:hAnsi="宋体" w:eastAsia="宋体" w:cs="宋体"/>
                <w:kern w:val="20"/>
                <w:sz w:val="21"/>
                <w:szCs w:val="21"/>
                <w:highlight w:val="none"/>
              </w:rPr>
              <w:t>分</w:t>
            </w:r>
          </w:p>
        </w:tc>
        <w:tc>
          <w:tcPr>
            <w:tcW w:w="1909" w:type="dxa"/>
            <w:shd w:val="clear" w:color="auto" w:fill="auto"/>
            <w:vAlign w:val="center"/>
          </w:tcPr>
          <w:p w14:paraId="7233CDFE">
            <w:pPr>
              <w:keepNext w:val="0"/>
              <w:keepLines w:val="0"/>
              <w:pageBreakBefore w:val="0"/>
              <w:widowControl w:val="0"/>
              <w:kinsoku/>
              <w:wordWrap/>
              <w:overflowPunct/>
              <w:topLinePunct w:val="0"/>
              <w:autoSpaceDE/>
              <w:autoSpaceDN/>
              <w:bidi w:val="0"/>
              <w:adjustRightInd w:val="0"/>
              <w:snapToGrid w:val="0"/>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设计业绩</w:t>
            </w:r>
          </w:p>
        </w:tc>
        <w:tc>
          <w:tcPr>
            <w:tcW w:w="723" w:type="dxa"/>
            <w:shd w:val="clear" w:color="auto" w:fill="auto"/>
            <w:vAlign w:val="center"/>
          </w:tcPr>
          <w:p w14:paraId="0E0AEA10">
            <w:pPr>
              <w:keepNext w:val="0"/>
              <w:keepLines w:val="0"/>
              <w:pageBreakBefore w:val="0"/>
              <w:widowControl w:val="0"/>
              <w:kinsoku/>
              <w:wordWrap/>
              <w:overflowPunct/>
              <w:topLinePunct w:val="0"/>
              <w:autoSpaceDE/>
              <w:autoSpaceDN/>
              <w:bidi w:val="0"/>
              <w:adjustRightInd w:val="0"/>
              <w:snapToGrid w:val="0"/>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u w:val="single"/>
              </w:rPr>
              <w:t>25</w:t>
            </w:r>
            <w:r>
              <w:rPr>
                <w:rFonts w:hint="eastAsia" w:ascii="宋体" w:hAnsi="宋体" w:eastAsia="宋体" w:cs="宋体"/>
                <w:sz w:val="21"/>
                <w:szCs w:val="21"/>
                <w:highlight w:val="none"/>
              </w:rPr>
              <w:t>分</w:t>
            </w:r>
          </w:p>
        </w:tc>
        <w:tc>
          <w:tcPr>
            <w:tcW w:w="3822" w:type="dxa"/>
            <w:shd w:val="clear" w:color="auto" w:fill="auto"/>
            <w:vAlign w:val="center"/>
          </w:tcPr>
          <w:p w14:paraId="7858E8E1">
            <w:pPr>
              <w:keepNext w:val="0"/>
              <w:keepLines w:val="0"/>
              <w:pageBreakBefore w:val="0"/>
              <w:widowControl w:val="0"/>
              <w:kinsoku/>
              <w:wordWrap/>
              <w:overflowPunct/>
              <w:topLinePunct w:val="0"/>
              <w:autoSpaceDE/>
              <w:autoSpaceDN/>
              <w:bidi w:val="0"/>
              <w:adjustRightInd w:val="0"/>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投标人通过初步评审</w:t>
            </w:r>
            <w:r>
              <w:rPr>
                <w:rFonts w:hint="eastAsia" w:ascii="宋体" w:hAnsi="宋体" w:eastAsia="宋体" w:cs="宋体"/>
                <w:sz w:val="21"/>
                <w:szCs w:val="21"/>
                <w:highlight w:val="none"/>
              </w:rPr>
              <w:t>得15分。</w:t>
            </w:r>
          </w:p>
          <w:p w14:paraId="4D3A9D2B">
            <w:pPr>
              <w:keepNext w:val="0"/>
              <w:keepLines w:val="0"/>
              <w:pageBreakBefore w:val="0"/>
              <w:widowControl w:val="0"/>
              <w:kinsoku/>
              <w:wordWrap/>
              <w:overflowPunct/>
              <w:topLinePunct w:val="0"/>
              <w:autoSpaceDE/>
              <w:autoSpaceDN/>
              <w:bidi w:val="0"/>
              <w:adjustRightInd w:val="0"/>
              <w:snapToGrid w:val="0"/>
              <w:spacing w:line="360" w:lineRule="exact"/>
              <w:rPr>
                <w:rFonts w:hint="eastAsia" w:ascii="宋体" w:hAnsi="宋体" w:eastAsia="宋体" w:cs="宋体"/>
                <w:sz w:val="21"/>
                <w:szCs w:val="21"/>
                <w:highlight w:val="none"/>
                <w:lang w:eastAsia="zh-CN"/>
              </w:rPr>
            </w:pPr>
            <w:r>
              <w:rPr>
                <w:rFonts w:hint="eastAsia" w:ascii="宋体" w:hAnsi="宋体" w:eastAsia="宋体" w:cs="宋体"/>
                <w:color w:val="auto"/>
                <w:sz w:val="21"/>
                <w:szCs w:val="21"/>
                <w:highlight w:val="none"/>
                <w:lang w:eastAsia="zh-CN"/>
              </w:rPr>
              <w:t>2021年1月1日</w:t>
            </w:r>
            <w:r>
              <w:rPr>
                <w:rFonts w:hint="eastAsia" w:ascii="宋体" w:hAnsi="宋体" w:eastAsia="宋体" w:cs="宋体"/>
                <w:color w:val="auto"/>
                <w:sz w:val="21"/>
                <w:szCs w:val="21"/>
                <w:highlight w:val="none"/>
              </w:rPr>
              <w:t>后（以相应的批复时间为准）</w:t>
            </w:r>
            <w:r>
              <w:rPr>
                <w:rFonts w:hint="eastAsia" w:ascii="宋体" w:hAnsi="宋体" w:eastAsia="宋体" w:cs="宋体"/>
                <w:sz w:val="21"/>
                <w:szCs w:val="21"/>
                <w:highlight w:val="none"/>
                <w:lang w:val="en-US" w:eastAsia="zh-CN"/>
              </w:rPr>
              <w:t>完成过1项二级（含二级）以上</w:t>
            </w:r>
            <w:r>
              <w:rPr>
                <w:rFonts w:hint="eastAsia" w:ascii="宋体" w:hAnsi="宋体" w:eastAsia="宋体" w:cs="宋体"/>
                <w:sz w:val="21"/>
                <w:szCs w:val="21"/>
                <w:highlight w:val="none"/>
              </w:rPr>
              <w:t>公路养护工程</w:t>
            </w:r>
            <w:r>
              <w:rPr>
                <w:rFonts w:hint="eastAsia" w:ascii="宋体" w:hAnsi="宋体" w:eastAsia="宋体" w:cs="宋体"/>
                <w:sz w:val="21"/>
                <w:szCs w:val="21"/>
                <w:highlight w:val="none"/>
                <w:lang w:val="en-US" w:eastAsia="zh-CN"/>
              </w:rPr>
              <w:t>设计业绩</w:t>
            </w:r>
            <w:r>
              <w:rPr>
                <w:rFonts w:hint="eastAsia" w:ascii="宋体" w:hAnsi="宋体" w:eastAsia="宋体" w:cs="宋体"/>
                <w:sz w:val="21"/>
                <w:szCs w:val="21"/>
                <w:highlight w:val="none"/>
              </w:rPr>
              <w:t>加</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分，最多加10分</w:t>
            </w:r>
            <w:r>
              <w:rPr>
                <w:rFonts w:hint="eastAsia" w:ascii="宋体" w:hAnsi="宋体" w:eastAsia="宋体" w:cs="宋体"/>
                <w:sz w:val="21"/>
                <w:szCs w:val="21"/>
                <w:highlight w:val="none"/>
                <w:lang w:eastAsia="zh-CN"/>
              </w:rPr>
              <w:t>。</w:t>
            </w:r>
          </w:p>
          <w:p w14:paraId="0BD1DEDD">
            <w:pPr>
              <w:keepNext w:val="0"/>
              <w:keepLines w:val="0"/>
              <w:pageBreakBefore w:val="0"/>
              <w:widowControl w:val="0"/>
              <w:kinsoku/>
              <w:wordWrap/>
              <w:overflowPunct/>
              <w:topLinePunct w:val="0"/>
              <w:autoSpaceDE/>
              <w:autoSpaceDN/>
              <w:bidi w:val="0"/>
              <w:adjustRightInd w:val="0"/>
              <w:snapToGrid w:val="0"/>
              <w:spacing w:line="360" w:lineRule="exac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注：①以联合体形式投标的，只计算联合体牵头人业绩</w:t>
            </w:r>
            <w:r>
              <w:rPr>
                <w:rFonts w:hint="eastAsia" w:ascii="宋体" w:hAnsi="宋体" w:eastAsia="宋体" w:cs="宋体"/>
                <w:sz w:val="21"/>
                <w:szCs w:val="21"/>
                <w:highlight w:val="none"/>
                <w:lang w:eastAsia="zh-CN"/>
              </w:rPr>
              <w:t>。</w:t>
            </w:r>
          </w:p>
          <w:p w14:paraId="469ACEAC">
            <w:pPr>
              <w:keepNext w:val="0"/>
              <w:keepLines w:val="0"/>
              <w:pageBreakBefore w:val="0"/>
              <w:widowControl w:val="0"/>
              <w:kinsoku/>
              <w:wordWrap/>
              <w:overflowPunct/>
              <w:topLinePunct w:val="0"/>
              <w:autoSpaceDE/>
              <w:autoSpaceDN/>
              <w:bidi w:val="0"/>
              <w:adjustRightInd w:val="0"/>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②设计业绩应是交通运输部“全国公路建设市场监督管理系统”或省级交通运输主管部门“公路建设市场信用信息管理系统”已载明业绩。</w:t>
            </w:r>
          </w:p>
        </w:tc>
      </w:tr>
      <w:tr w14:paraId="7AF8BB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vMerge w:val="continue"/>
            <w:shd w:val="clear" w:color="auto" w:fill="auto"/>
            <w:vAlign w:val="center"/>
          </w:tcPr>
          <w:p w14:paraId="26657EDA">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p>
        </w:tc>
        <w:tc>
          <w:tcPr>
            <w:tcW w:w="573" w:type="dxa"/>
            <w:vMerge w:val="continue"/>
            <w:shd w:val="clear" w:color="auto" w:fill="auto"/>
            <w:vAlign w:val="center"/>
          </w:tcPr>
          <w:p w14:paraId="157DD247">
            <w:pPr>
              <w:keepNext w:val="0"/>
              <w:keepLines w:val="0"/>
              <w:pageBreakBefore w:val="0"/>
              <w:widowControl w:val="0"/>
              <w:kinsoku/>
              <w:wordWrap/>
              <w:overflowPunct/>
              <w:topLinePunct w:val="0"/>
              <w:autoSpaceDE/>
              <w:autoSpaceDN/>
              <w:bidi w:val="0"/>
              <w:spacing w:line="360" w:lineRule="exact"/>
              <w:jc w:val="center"/>
              <w:rPr>
                <w:rStyle w:val="15"/>
                <w:rFonts w:hint="eastAsia" w:ascii="宋体" w:hAnsi="宋体" w:eastAsia="宋体" w:cs="宋体"/>
                <w:color w:val="auto"/>
                <w:sz w:val="21"/>
                <w:szCs w:val="21"/>
                <w:highlight w:val="none"/>
                <w:shd w:val="clear" w:color="auto" w:fill="auto"/>
              </w:rPr>
            </w:pPr>
          </w:p>
        </w:tc>
        <w:tc>
          <w:tcPr>
            <w:tcW w:w="586" w:type="dxa"/>
            <w:vMerge w:val="restart"/>
            <w:shd w:val="clear" w:color="auto" w:fill="auto"/>
            <w:vAlign w:val="center"/>
          </w:tcPr>
          <w:p w14:paraId="56537FBA">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r>
              <w:rPr>
                <w:rFonts w:hint="eastAsia" w:ascii="宋体" w:hAnsi="宋体" w:eastAsia="宋体" w:cs="宋体"/>
                <w:kern w:val="20"/>
                <w:sz w:val="21"/>
                <w:szCs w:val="21"/>
                <w:highlight w:val="none"/>
              </w:rPr>
              <w:t>履约</w:t>
            </w:r>
          </w:p>
          <w:p w14:paraId="5D55C7A5">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r>
              <w:rPr>
                <w:rFonts w:hint="eastAsia" w:ascii="宋体" w:hAnsi="宋体" w:eastAsia="宋体" w:cs="宋体"/>
                <w:kern w:val="20"/>
                <w:sz w:val="21"/>
                <w:szCs w:val="21"/>
                <w:highlight w:val="none"/>
              </w:rPr>
              <w:t>信誉</w:t>
            </w:r>
          </w:p>
        </w:tc>
        <w:tc>
          <w:tcPr>
            <w:tcW w:w="1091" w:type="dxa"/>
            <w:vMerge w:val="restart"/>
            <w:shd w:val="clear" w:color="auto" w:fill="auto"/>
            <w:vAlign w:val="center"/>
          </w:tcPr>
          <w:p w14:paraId="4C1F681B">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r>
              <w:rPr>
                <w:rFonts w:hint="eastAsia" w:ascii="宋体" w:hAnsi="宋体" w:eastAsia="宋体" w:cs="宋体"/>
                <w:kern w:val="20"/>
                <w:sz w:val="21"/>
                <w:szCs w:val="21"/>
                <w:highlight w:val="none"/>
                <w:u w:val="single"/>
              </w:rPr>
              <w:t>10</w:t>
            </w:r>
            <w:r>
              <w:rPr>
                <w:rFonts w:hint="eastAsia" w:ascii="宋体" w:hAnsi="宋体" w:eastAsia="宋体" w:cs="宋体"/>
                <w:kern w:val="20"/>
                <w:sz w:val="21"/>
                <w:szCs w:val="21"/>
                <w:highlight w:val="none"/>
              </w:rPr>
              <w:t>分</w:t>
            </w:r>
          </w:p>
        </w:tc>
        <w:tc>
          <w:tcPr>
            <w:tcW w:w="1909" w:type="dxa"/>
            <w:vMerge w:val="restart"/>
            <w:shd w:val="clear" w:color="auto" w:fill="auto"/>
            <w:vAlign w:val="center"/>
          </w:tcPr>
          <w:p w14:paraId="4F3C3F4C">
            <w:pPr>
              <w:keepNext w:val="0"/>
              <w:keepLines w:val="0"/>
              <w:pageBreakBefore w:val="0"/>
              <w:widowControl w:val="0"/>
              <w:kinsoku/>
              <w:wordWrap/>
              <w:overflowPunct/>
              <w:topLinePunct w:val="0"/>
              <w:autoSpaceDE/>
              <w:autoSpaceDN/>
              <w:bidi w:val="0"/>
              <w:adjustRightInd w:val="0"/>
              <w:snapToGrid w:val="0"/>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信用评价等级</w:t>
            </w:r>
          </w:p>
        </w:tc>
        <w:tc>
          <w:tcPr>
            <w:tcW w:w="723" w:type="dxa"/>
            <w:shd w:val="clear" w:color="auto" w:fill="auto"/>
            <w:vAlign w:val="center"/>
          </w:tcPr>
          <w:p w14:paraId="4F8A7D0D">
            <w:pPr>
              <w:keepNext w:val="0"/>
              <w:keepLines w:val="0"/>
              <w:pageBreakBefore w:val="0"/>
              <w:widowControl w:val="0"/>
              <w:kinsoku/>
              <w:wordWrap/>
              <w:overflowPunct/>
              <w:topLinePunct w:val="0"/>
              <w:autoSpaceDE/>
              <w:autoSpaceDN/>
              <w:bidi w:val="0"/>
              <w:adjustRightInd w:val="0"/>
              <w:snapToGrid w:val="0"/>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u w:val="single"/>
              </w:rPr>
              <w:t>10</w:t>
            </w:r>
            <w:r>
              <w:rPr>
                <w:rFonts w:hint="eastAsia" w:ascii="宋体" w:hAnsi="宋体" w:eastAsia="宋体" w:cs="宋体"/>
                <w:sz w:val="21"/>
                <w:szCs w:val="21"/>
                <w:highlight w:val="none"/>
              </w:rPr>
              <w:t>分</w:t>
            </w:r>
          </w:p>
        </w:tc>
        <w:tc>
          <w:tcPr>
            <w:tcW w:w="3822" w:type="dxa"/>
            <w:shd w:val="clear" w:color="auto" w:fill="auto"/>
            <w:vAlign w:val="center"/>
          </w:tcPr>
          <w:p w14:paraId="155BEBEA">
            <w:pPr>
              <w:keepNext w:val="0"/>
              <w:keepLines w:val="0"/>
              <w:pageBreakBefore w:val="0"/>
              <w:widowControl w:val="0"/>
              <w:kinsoku/>
              <w:wordWrap/>
              <w:overflowPunct/>
              <w:topLinePunct w:val="0"/>
              <w:autoSpaceDE/>
              <w:autoSpaceDN/>
              <w:bidi w:val="0"/>
              <w:adjustRightInd w:val="0"/>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信用评价AA级</w:t>
            </w:r>
          </w:p>
        </w:tc>
      </w:tr>
      <w:tr w14:paraId="50E647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vMerge w:val="continue"/>
            <w:shd w:val="clear" w:color="auto" w:fill="auto"/>
            <w:vAlign w:val="center"/>
          </w:tcPr>
          <w:p w14:paraId="7C9670C6">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p>
        </w:tc>
        <w:tc>
          <w:tcPr>
            <w:tcW w:w="573" w:type="dxa"/>
            <w:vMerge w:val="continue"/>
            <w:shd w:val="clear" w:color="auto" w:fill="auto"/>
            <w:vAlign w:val="center"/>
          </w:tcPr>
          <w:p w14:paraId="088A1DE8">
            <w:pPr>
              <w:keepNext w:val="0"/>
              <w:keepLines w:val="0"/>
              <w:pageBreakBefore w:val="0"/>
              <w:widowControl w:val="0"/>
              <w:kinsoku/>
              <w:wordWrap/>
              <w:overflowPunct/>
              <w:topLinePunct w:val="0"/>
              <w:autoSpaceDE/>
              <w:autoSpaceDN/>
              <w:bidi w:val="0"/>
              <w:spacing w:line="360" w:lineRule="exact"/>
              <w:jc w:val="center"/>
              <w:rPr>
                <w:rStyle w:val="15"/>
                <w:rFonts w:hint="eastAsia" w:ascii="宋体" w:hAnsi="宋体" w:eastAsia="宋体" w:cs="宋体"/>
                <w:color w:val="auto"/>
                <w:sz w:val="21"/>
                <w:szCs w:val="21"/>
                <w:highlight w:val="none"/>
                <w:shd w:val="clear" w:color="auto" w:fill="auto"/>
              </w:rPr>
            </w:pPr>
          </w:p>
        </w:tc>
        <w:tc>
          <w:tcPr>
            <w:tcW w:w="586" w:type="dxa"/>
            <w:vMerge w:val="continue"/>
            <w:shd w:val="clear" w:color="auto" w:fill="auto"/>
            <w:vAlign w:val="center"/>
          </w:tcPr>
          <w:p w14:paraId="51384DCB">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p>
        </w:tc>
        <w:tc>
          <w:tcPr>
            <w:tcW w:w="1091" w:type="dxa"/>
            <w:vMerge w:val="continue"/>
            <w:shd w:val="clear" w:color="auto" w:fill="auto"/>
            <w:vAlign w:val="center"/>
          </w:tcPr>
          <w:p w14:paraId="3654A1E9">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u w:val="single"/>
              </w:rPr>
            </w:pPr>
          </w:p>
        </w:tc>
        <w:tc>
          <w:tcPr>
            <w:tcW w:w="1909" w:type="dxa"/>
            <w:vMerge w:val="continue"/>
            <w:shd w:val="clear" w:color="auto" w:fill="auto"/>
            <w:vAlign w:val="center"/>
          </w:tcPr>
          <w:p w14:paraId="0BFE8E3B">
            <w:pPr>
              <w:keepNext w:val="0"/>
              <w:keepLines w:val="0"/>
              <w:pageBreakBefore w:val="0"/>
              <w:widowControl w:val="0"/>
              <w:kinsoku/>
              <w:wordWrap/>
              <w:overflowPunct/>
              <w:topLinePunct w:val="0"/>
              <w:autoSpaceDE/>
              <w:autoSpaceDN/>
              <w:bidi w:val="0"/>
              <w:adjustRightInd w:val="0"/>
              <w:snapToGrid w:val="0"/>
              <w:spacing w:line="360" w:lineRule="exact"/>
              <w:jc w:val="center"/>
              <w:rPr>
                <w:rFonts w:hint="eastAsia" w:ascii="宋体" w:hAnsi="宋体" w:eastAsia="宋体" w:cs="宋体"/>
                <w:sz w:val="21"/>
                <w:szCs w:val="21"/>
                <w:highlight w:val="none"/>
              </w:rPr>
            </w:pPr>
          </w:p>
        </w:tc>
        <w:tc>
          <w:tcPr>
            <w:tcW w:w="723" w:type="dxa"/>
            <w:shd w:val="clear" w:color="auto" w:fill="auto"/>
            <w:vAlign w:val="center"/>
          </w:tcPr>
          <w:p w14:paraId="47EA3E05">
            <w:pPr>
              <w:keepNext w:val="0"/>
              <w:keepLines w:val="0"/>
              <w:pageBreakBefore w:val="0"/>
              <w:widowControl w:val="0"/>
              <w:kinsoku/>
              <w:wordWrap/>
              <w:overflowPunct/>
              <w:topLinePunct w:val="0"/>
              <w:autoSpaceDE/>
              <w:autoSpaceDN/>
              <w:bidi w:val="0"/>
              <w:adjustRightInd w:val="0"/>
              <w:snapToGrid w:val="0"/>
              <w:spacing w:line="360" w:lineRule="exact"/>
              <w:jc w:val="center"/>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single"/>
              </w:rPr>
              <w:t>8</w:t>
            </w:r>
            <w:r>
              <w:rPr>
                <w:rFonts w:hint="eastAsia" w:ascii="宋体" w:hAnsi="宋体" w:eastAsia="宋体" w:cs="宋体"/>
                <w:sz w:val="21"/>
                <w:szCs w:val="21"/>
                <w:highlight w:val="none"/>
              </w:rPr>
              <w:t>分</w:t>
            </w:r>
          </w:p>
        </w:tc>
        <w:tc>
          <w:tcPr>
            <w:tcW w:w="3822" w:type="dxa"/>
            <w:shd w:val="clear" w:color="auto" w:fill="auto"/>
            <w:vAlign w:val="center"/>
          </w:tcPr>
          <w:p w14:paraId="077DC583">
            <w:pPr>
              <w:keepNext w:val="0"/>
              <w:keepLines w:val="0"/>
              <w:pageBreakBefore w:val="0"/>
              <w:widowControl w:val="0"/>
              <w:kinsoku/>
              <w:wordWrap/>
              <w:overflowPunct/>
              <w:topLinePunct w:val="0"/>
              <w:autoSpaceDE/>
              <w:autoSpaceDN/>
              <w:bidi w:val="0"/>
              <w:adjustRightInd w:val="0"/>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信用评价A级</w:t>
            </w:r>
          </w:p>
        </w:tc>
      </w:tr>
      <w:tr w14:paraId="1A96D5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vMerge w:val="continue"/>
            <w:shd w:val="clear" w:color="auto" w:fill="auto"/>
            <w:vAlign w:val="center"/>
          </w:tcPr>
          <w:p w14:paraId="46A82359">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p>
        </w:tc>
        <w:tc>
          <w:tcPr>
            <w:tcW w:w="573" w:type="dxa"/>
            <w:vMerge w:val="continue"/>
            <w:shd w:val="clear" w:color="auto" w:fill="auto"/>
            <w:vAlign w:val="center"/>
          </w:tcPr>
          <w:p w14:paraId="143787B8">
            <w:pPr>
              <w:keepNext w:val="0"/>
              <w:keepLines w:val="0"/>
              <w:pageBreakBefore w:val="0"/>
              <w:widowControl w:val="0"/>
              <w:kinsoku/>
              <w:wordWrap/>
              <w:overflowPunct/>
              <w:topLinePunct w:val="0"/>
              <w:autoSpaceDE/>
              <w:autoSpaceDN/>
              <w:bidi w:val="0"/>
              <w:spacing w:line="360" w:lineRule="exact"/>
              <w:jc w:val="center"/>
              <w:rPr>
                <w:rStyle w:val="15"/>
                <w:rFonts w:hint="eastAsia" w:ascii="宋体" w:hAnsi="宋体" w:eastAsia="宋体" w:cs="宋体"/>
                <w:color w:val="auto"/>
                <w:sz w:val="21"/>
                <w:szCs w:val="21"/>
                <w:highlight w:val="none"/>
                <w:shd w:val="clear" w:color="auto" w:fill="auto"/>
              </w:rPr>
            </w:pPr>
          </w:p>
        </w:tc>
        <w:tc>
          <w:tcPr>
            <w:tcW w:w="586" w:type="dxa"/>
            <w:vMerge w:val="continue"/>
            <w:shd w:val="clear" w:color="auto" w:fill="auto"/>
            <w:vAlign w:val="center"/>
          </w:tcPr>
          <w:p w14:paraId="08C704E9">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p>
        </w:tc>
        <w:tc>
          <w:tcPr>
            <w:tcW w:w="1091" w:type="dxa"/>
            <w:vMerge w:val="continue"/>
            <w:shd w:val="clear" w:color="auto" w:fill="auto"/>
            <w:vAlign w:val="center"/>
          </w:tcPr>
          <w:p w14:paraId="136D9966">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u w:val="single"/>
              </w:rPr>
            </w:pPr>
          </w:p>
        </w:tc>
        <w:tc>
          <w:tcPr>
            <w:tcW w:w="1909" w:type="dxa"/>
            <w:vMerge w:val="continue"/>
            <w:shd w:val="clear" w:color="auto" w:fill="auto"/>
            <w:vAlign w:val="center"/>
          </w:tcPr>
          <w:p w14:paraId="6C6AB9BC">
            <w:pPr>
              <w:keepNext w:val="0"/>
              <w:keepLines w:val="0"/>
              <w:pageBreakBefore w:val="0"/>
              <w:widowControl w:val="0"/>
              <w:kinsoku/>
              <w:wordWrap/>
              <w:overflowPunct/>
              <w:topLinePunct w:val="0"/>
              <w:autoSpaceDE/>
              <w:autoSpaceDN/>
              <w:bidi w:val="0"/>
              <w:adjustRightInd w:val="0"/>
              <w:snapToGrid w:val="0"/>
              <w:spacing w:line="360" w:lineRule="exact"/>
              <w:jc w:val="center"/>
              <w:rPr>
                <w:rFonts w:hint="eastAsia" w:ascii="宋体" w:hAnsi="宋体" w:eastAsia="宋体" w:cs="宋体"/>
                <w:sz w:val="21"/>
                <w:szCs w:val="21"/>
                <w:highlight w:val="none"/>
              </w:rPr>
            </w:pPr>
          </w:p>
        </w:tc>
        <w:tc>
          <w:tcPr>
            <w:tcW w:w="723" w:type="dxa"/>
            <w:shd w:val="clear" w:color="auto" w:fill="auto"/>
            <w:vAlign w:val="center"/>
          </w:tcPr>
          <w:p w14:paraId="342F09BF">
            <w:pPr>
              <w:keepNext w:val="0"/>
              <w:keepLines w:val="0"/>
              <w:pageBreakBefore w:val="0"/>
              <w:widowControl w:val="0"/>
              <w:kinsoku/>
              <w:wordWrap/>
              <w:overflowPunct/>
              <w:topLinePunct w:val="0"/>
              <w:autoSpaceDE/>
              <w:autoSpaceDN/>
              <w:bidi w:val="0"/>
              <w:adjustRightInd w:val="0"/>
              <w:snapToGrid w:val="0"/>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u w:val="single"/>
              </w:rPr>
              <w:t>6</w:t>
            </w:r>
            <w:r>
              <w:rPr>
                <w:rFonts w:hint="eastAsia" w:ascii="宋体" w:hAnsi="宋体" w:eastAsia="宋体" w:cs="宋体"/>
                <w:sz w:val="21"/>
                <w:szCs w:val="21"/>
                <w:highlight w:val="none"/>
              </w:rPr>
              <w:t>分</w:t>
            </w:r>
          </w:p>
        </w:tc>
        <w:tc>
          <w:tcPr>
            <w:tcW w:w="3822" w:type="dxa"/>
            <w:shd w:val="clear" w:color="auto" w:fill="auto"/>
            <w:vAlign w:val="center"/>
          </w:tcPr>
          <w:p w14:paraId="326C7055">
            <w:pPr>
              <w:keepNext w:val="0"/>
              <w:keepLines w:val="0"/>
              <w:pageBreakBefore w:val="0"/>
              <w:widowControl w:val="0"/>
              <w:kinsoku/>
              <w:wordWrap/>
              <w:overflowPunct/>
              <w:topLinePunct w:val="0"/>
              <w:autoSpaceDE/>
              <w:autoSpaceDN/>
              <w:bidi w:val="0"/>
              <w:adjustRightInd w:val="0"/>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信用评价B级</w:t>
            </w:r>
          </w:p>
        </w:tc>
      </w:tr>
      <w:tr w14:paraId="5FB8BD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vMerge w:val="continue"/>
            <w:shd w:val="clear" w:color="auto" w:fill="auto"/>
            <w:vAlign w:val="center"/>
          </w:tcPr>
          <w:p w14:paraId="65B8C93B">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p>
        </w:tc>
        <w:tc>
          <w:tcPr>
            <w:tcW w:w="573" w:type="dxa"/>
            <w:vMerge w:val="continue"/>
            <w:shd w:val="clear" w:color="auto" w:fill="auto"/>
            <w:vAlign w:val="center"/>
          </w:tcPr>
          <w:p w14:paraId="30078C94">
            <w:pPr>
              <w:keepNext w:val="0"/>
              <w:keepLines w:val="0"/>
              <w:pageBreakBefore w:val="0"/>
              <w:widowControl w:val="0"/>
              <w:kinsoku/>
              <w:wordWrap/>
              <w:overflowPunct/>
              <w:topLinePunct w:val="0"/>
              <w:autoSpaceDE/>
              <w:autoSpaceDN/>
              <w:bidi w:val="0"/>
              <w:spacing w:line="360" w:lineRule="exact"/>
              <w:jc w:val="center"/>
              <w:rPr>
                <w:rStyle w:val="15"/>
                <w:rFonts w:hint="eastAsia" w:ascii="宋体" w:hAnsi="宋体" w:eastAsia="宋体" w:cs="宋体"/>
                <w:color w:val="auto"/>
                <w:sz w:val="21"/>
                <w:szCs w:val="21"/>
                <w:highlight w:val="none"/>
                <w:shd w:val="clear" w:color="auto" w:fill="auto"/>
              </w:rPr>
            </w:pPr>
          </w:p>
        </w:tc>
        <w:tc>
          <w:tcPr>
            <w:tcW w:w="586" w:type="dxa"/>
            <w:vMerge w:val="continue"/>
            <w:shd w:val="clear" w:color="auto" w:fill="auto"/>
            <w:vAlign w:val="center"/>
          </w:tcPr>
          <w:p w14:paraId="0FE4621E">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p>
        </w:tc>
        <w:tc>
          <w:tcPr>
            <w:tcW w:w="1091" w:type="dxa"/>
            <w:vMerge w:val="continue"/>
            <w:shd w:val="clear" w:color="auto" w:fill="auto"/>
            <w:vAlign w:val="center"/>
          </w:tcPr>
          <w:p w14:paraId="30018C40">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u w:val="single"/>
              </w:rPr>
            </w:pPr>
          </w:p>
        </w:tc>
        <w:tc>
          <w:tcPr>
            <w:tcW w:w="1909" w:type="dxa"/>
            <w:vMerge w:val="continue"/>
            <w:shd w:val="clear" w:color="auto" w:fill="auto"/>
            <w:vAlign w:val="center"/>
          </w:tcPr>
          <w:p w14:paraId="69CDA058">
            <w:pPr>
              <w:keepNext w:val="0"/>
              <w:keepLines w:val="0"/>
              <w:pageBreakBefore w:val="0"/>
              <w:widowControl w:val="0"/>
              <w:kinsoku/>
              <w:wordWrap/>
              <w:overflowPunct/>
              <w:topLinePunct w:val="0"/>
              <w:autoSpaceDE/>
              <w:autoSpaceDN/>
              <w:bidi w:val="0"/>
              <w:adjustRightInd w:val="0"/>
              <w:snapToGrid w:val="0"/>
              <w:spacing w:line="360" w:lineRule="exact"/>
              <w:jc w:val="center"/>
              <w:rPr>
                <w:rFonts w:hint="eastAsia" w:ascii="宋体" w:hAnsi="宋体" w:eastAsia="宋体" w:cs="宋体"/>
                <w:sz w:val="21"/>
                <w:szCs w:val="21"/>
                <w:highlight w:val="none"/>
              </w:rPr>
            </w:pPr>
          </w:p>
        </w:tc>
        <w:tc>
          <w:tcPr>
            <w:tcW w:w="723" w:type="dxa"/>
            <w:shd w:val="clear" w:color="auto" w:fill="auto"/>
            <w:vAlign w:val="center"/>
          </w:tcPr>
          <w:p w14:paraId="392F656D">
            <w:pPr>
              <w:keepNext w:val="0"/>
              <w:keepLines w:val="0"/>
              <w:pageBreakBefore w:val="0"/>
              <w:widowControl w:val="0"/>
              <w:kinsoku/>
              <w:wordWrap/>
              <w:overflowPunct/>
              <w:topLinePunct w:val="0"/>
              <w:autoSpaceDE/>
              <w:autoSpaceDN/>
              <w:bidi w:val="0"/>
              <w:adjustRightInd w:val="0"/>
              <w:snapToGrid w:val="0"/>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u w:val="single"/>
              </w:rPr>
              <w:t>4</w:t>
            </w:r>
            <w:r>
              <w:rPr>
                <w:rFonts w:hint="eastAsia" w:ascii="宋体" w:hAnsi="宋体" w:eastAsia="宋体" w:cs="宋体"/>
                <w:sz w:val="21"/>
                <w:szCs w:val="21"/>
                <w:highlight w:val="none"/>
              </w:rPr>
              <w:t>分</w:t>
            </w:r>
          </w:p>
        </w:tc>
        <w:tc>
          <w:tcPr>
            <w:tcW w:w="3822" w:type="dxa"/>
            <w:shd w:val="clear" w:color="auto" w:fill="auto"/>
            <w:vAlign w:val="center"/>
          </w:tcPr>
          <w:p w14:paraId="07C538E2">
            <w:pPr>
              <w:keepNext w:val="0"/>
              <w:keepLines w:val="0"/>
              <w:pageBreakBefore w:val="0"/>
              <w:widowControl w:val="0"/>
              <w:kinsoku/>
              <w:wordWrap/>
              <w:overflowPunct/>
              <w:topLinePunct w:val="0"/>
              <w:autoSpaceDE/>
              <w:autoSpaceDN/>
              <w:bidi w:val="0"/>
              <w:adjustRightInd w:val="0"/>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信用评价C级</w:t>
            </w:r>
          </w:p>
        </w:tc>
      </w:tr>
      <w:tr w14:paraId="78781D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vMerge w:val="continue"/>
            <w:shd w:val="clear" w:color="auto" w:fill="auto"/>
            <w:vAlign w:val="center"/>
          </w:tcPr>
          <w:p w14:paraId="6179AD74">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p>
        </w:tc>
        <w:tc>
          <w:tcPr>
            <w:tcW w:w="573" w:type="dxa"/>
            <w:vMerge w:val="continue"/>
            <w:shd w:val="clear" w:color="auto" w:fill="auto"/>
            <w:vAlign w:val="center"/>
          </w:tcPr>
          <w:p w14:paraId="50CB56F4">
            <w:pPr>
              <w:keepNext w:val="0"/>
              <w:keepLines w:val="0"/>
              <w:pageBreakBefore w:val="0"/>
              <w:widowControl w:val="0"/>
              <w:kinsoku/>
              <w:wordWrap/>
              <w:overflowPunct/>
              <w:topLinePunct w:val="0"/>
              <w:autoSpaceDE/>
              <w:autoSpaceDN/>
              <w:bidi w:val="0"/>
              <w:spacing w:line="360" w:lineRule="exact"/>
              <w:jc w:val="center"/>
              <w:rPr>
                <w:rStyle w:val="15"/>
                <w:rFonts w:hint="eastAsia" w:ascii="宋体" w:hAnsi="宋体" w:eastAsia="宋体" w:cs="宋体"/>
                <w:color w:val="auto"/>
                <w:sz w:val="21"/>
                <w:szCs w:val="21"/>
                <w:highlight w:val="none"/>
                <w:shd w:val="clear" w:color="auto" w:fill="auto"/>
              </w:rPr>
            </w:pPr>
          </w:p>
        </w:tc>
        <w:tc>
          <w:tcPr>
            <w:tcW w:w="586" w:type="dxa"/>
            <w:vMerge w:val="continue"/>
            <w:shd w:val="clear" w:color="auto" w:fill="auto"/>
            <w:vAlign w:val="center"/>
          </w:tcPr>
          <w:p w14:paraId="593661CC">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p>
        </w:tc>
        <w:tc>
          <w:tcPr>
            <w:tcW w:w="1091" w:type="dxa"/>
            <w:vMerge w:val="continue"/>
            <w:shd w:val="clear" w:color="auto" w:fill="auto"/>
            <w:vAlign w:val="center"/>
          </w:tcPr>
          <w:p w14:paraId="06ED4668">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u w:val="single"/>
              </w:rPr>
            </w:pPr>
          </w:p>
        </w:tc>
        <w:tc>
          <w:tcPr>
            <w:tcW w:w="1909" w:type="dxa"/>
            <w:vMerge w:val="continue"/>
            <w:shd w:val="clear" w:color="auto" w:fill="auto"/>
            <w:vAlign w:val="center"/>
          </w:tcPr>
          <w:p w14:paraId="5F7B7153">
            <w:pPr>
              <w:keepNext w:val="0"/>
              <w:keepLines w:val="0"/>
              <w:pageBreakBefore w:val="0"/>
              <w:widowControl w:val="0"/>
              <w:kinsoku/>
              <w:wordWrap/>
              <w:overflowPunct/>
              <w:topLinePunct w:val="0"/>
              <w:autoSpaceDE/>
              <w:autoSpaceDN/>
              <w:bidi w:val="0"/>
              <w:adjustRightInd w:val="0"/>
              <w:snapToGrid w:val="0"/>
              <w:spacing w:line="360" w:lineRule="exact"/>
              <w:jc w:val="center"/>
              <w:rPr>
                <w:rFonts w:hint="eastAsia" w:ascii="宋体" w:hAnsi="宋体" w:eastAsia="宋体" w:cs="宋体"/>
                <w:sz w:val="21"/>
                <w:szCs w:val="21"/>
                <w:highlight w:val="none"/>
              </w:rPr>
            </w:pPr>
          </w:p>
        </w:tc>
        <w:tc>
          <w:tcPr>
            <w:tcW w:w="723" w:type="dxa"/>
            <w:shd w:val="clear" w:color="auto" w:fill="auto"/>
            <w:vAlign w:val="center"/>
          </w:tcPr>
          <w:p w14:paraId="5BD04D2A">
            <w:pPr>
              <w:keepNext w:val="0"/>
              <w:keepLines w:val="0"/>
              <w:pageBreakBefore w:val="0"/>
              <w:widowControl w:val="0"/>
              <w:kinsoku/>
              <w:wordWrap/>
              <w:overflowPunct/>
              <w:topLinePunct w:val="0"/>
              <w:autoSpaceDE/>
              <w:autoSpaceDN/>
              <w:bidi w:val="0"/>
              <w:adjustRightInd w:val="0"/>
              <w:snapToGrid w:val="0"/>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u w:val="single"/>
              </w:rPr>
              <w:t>0</w:t>
            </w:r>
            <w:r>
              <w:rPr>
                <w:rFonts w:hint="eastAsia" w:ascii="宋体" w:hAnsi="宋体" w:eastAsia="宋体" w:cs="宋体"/>
                <w:sz w:val="21"/>
                <w:szCs w:val="21"/>
                <w:highlight w:val="none"/>
              </w:rPr>
              <w:t>分</w:t>
            </w:r>
          </w:p>
        </w:tc>
        <w:tc>
          <w:tcPr>
            <w:tcW w:w="3822" w:type="dxa"/>
            <w:shd w:val="clear" w:color="auto" w:fill="auto"/>
            <w:vAlign w:val="center"/>
          </w:tcPr>
          <w:p w14:paraId="6D05B43A">
            <w:pPr>
              <w:keepNext w:val="0"/>
              <w:keepLines w:val="0"/>
              <w:pageBreakBefore w:val="0"/>
              <w:widowControl w:val="0"/>
              <w:kinsoku/>
              <w:wordWrap/>
              <w:overflowPunct/>
              <w:topLinePunct w:val="0"/>
              <w:autoSpaceDE/>
              <w:autoSpaceDN/>
              <w:bidi w:val="0"/>
              <w:adjustRightInd w:val="0"/>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信用评价D级（只适用于“全国评价”）</w:t>
            </w:r>
          </w:p>
        </w:tc>
      </w:tr>
      <w:tr w14:paraId="4F1CD6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vMerge w:val="continue"/>
            <w:shd w:val="clear" w:color="auto" w:fill="auto"/>
            <w:vAlign w:val="center"/>
          </w:tcPr>
          <w:p w14:paraId="79653DEC">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p>
        </w:tc>
        <w:tc>
          <w:tcPr>
            <w:tcW w:w="573" w:type="dxa"/>
            <w:vMerge w:val="continue"/>
            <w:shd w:val="clear" w:color="auto" w:fill="auto"/>
            <w:vAlign w:val="center"/>
          </w:tcPr>
          <w:p w14:paraId="5961FF6E">
            <w:pPr>
              <w:keepNext w:val="0"/>
              <w:keepLines w:val="0"/>
              <w:pageBreakBefore w:val="0"/>
              <w:widowControl w:val="0"/>
              <w:kinsoku/>
              <w:wordWrap/>
              <w:overflowPunct/>
              <w:topLinePunct w:val="0"/>
              <w:autoSpaceDE/>
              <w:autoSpaceDN/>
              <w:bidi w:val="0"/>
              <w:spacing w:line="360" w:lineRule="exact"/>
              <w:jc w:val="center"/>
              <w:rPr>
                <w:rStyle w:val="15"/>
                <w:rFonts w:hint="eastAsia" w:ascii="宋体" w:hAnsi="宋体" w:eastAsia="宋体" w:cs="宋体"/>
                <w:color w:val="auto"/>
                <w:sz w:val="21"/>
                <w:szCs w:val="21"/>
                <w:highlight w:val="none"/>
                <w:shd w:val="clear" w:color="auto" w:fill="auto"/>
              </w:rPr>
            </w:pPr>
          </w:p>
        </w:tc>
        <w:tc>
          <w:tcPr>
            <w:tcW w:w="586" w:type="dxa"/>
            <w:vMerge w:val="continue"/>
            <w:shd w:val="clear" w:color="auto" w:fill="auto"/>
            <w:vAlign w:val="center"/>
          </w:tcPr>
          <w:p w14:paraId="756B68DD">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rPr>
            </w:pPr>
          </w:p>
        </w:tc>
        <w:tc>
          <w:tcPr>
            <w:tcW w:w="1091" w:type="dxa"/>
            <w:vMerge w:val="continue"/>
            <w:shd w:val="clear" w:color="auto" w:fill="auto"/>
            <w:vAlign w:val="center"/>
          </w:tcPr>
          <w:p w14:paraId="46E347EC">
            <w:pPr>
              <w:keepNext w:val="0"/>
              <w:keepLines w:val="0"/>
              <w:pageBreakBefore w:val="0"/>
              <w:widowControl w:val="0"/>
              <w:kinsoku/>
              <w:wordWrap/>
              <w:overflowPunct/>
              <w:topLinePunct w:val="0"/>
              <w:autoSpaceDE/>
              <w:autoSpaceDN/>
              <w:bidi w:val="0"/>
              <w:spacing w:line="360" w:lineRule="exact"/>
              <w:jc w:val="center"/>
              <w:rPr>
                <w:rFonts w:hint="eastAsia" w:ascii="宋体" w:hAnsi="宋体" w:eastAsia="宋体" w:cs="宋体"/>
                <w:kern w:val="20"/>
                <w:sz w:val="21"/>
                <w:szCs w:val="21"/>
                <w:highlight w:val="none"/>
                <w:u w:val="single"/>
              </w:rPr>
            </w:pPr>
          </w:p>
        </w:tc>
        <w:tc>
          <w:tcPr>
            <w:tcW w:w="6454" w:type="dxa"/>
            <w:gridSpan w:val="3"/>
            <w:shd w:val="clear" w:color="auto" w:fill="auto"/>
            <w:vAlign w:val="center"/>
          </w:tcPr>
          <w:p w14:paraId="2467334D">
            <w:pPr>
              <w:keepNext w:val="0"/>
              <w:keepLines w:val="0"/>
              <w:pageBreakBefore w:val="0"/>
              <w:widowControl w:val="0"/>
              <w:kinsoku/>
              <w:wordWrap/>
              <w:overflowPunct/>
              <w:topLinePunct w:val="0"/>
              <w:autoSpaceDE/>
              <w:autoSpaceDN/>
              <w:bidi w:val="0"/>
              <w:adjustRightInd w:val="0"/>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投标人的信用评价等级按照以下优先顺序采用：</w:t>
            </w:r>
          </w:p>
          <w:p w14:paraId="3744DBBC">
            <w:pPr>
              <w:keepNext w:val="0"/>
              <w:keepLines w:val="0"/>
              <w:pageBreakBefore w:val="0"/>
              <w:widowControl w:val="0"/>
              <w:kinsoku/>
              <w:wordWrap/>
              <w:overflowPunct/>
              <w:topLinePunct w:val="0"/>
              <w:autoSpaceDE/>
              <w:autoSpaceDN/>
              <w:bidi w:val="0"/>
              <w:adjustRightInd w:val="0"/>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（1）采用其《吉林省公路管理局202</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年普通国省干线公路养护工程设计企业信用评价结果公告》（下称“202</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年吉林省评价”）中的信用等级，如未列入202</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年吉林省评价的，采用其《吉林省公路管理局202</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年普通国省干线公路养护工程设计企业信用评价结果公告》中的信用等级；</w:t>
            </w:r>
          </w:p>
          <w:p w14:paraId="1AA6493C">
            <w:pPr>
              <w:keepNext w:val="0"/>
              <w:keepLines w:val="0"/>
              <w:pageBreakBefore w:val="0"/>
              <w:widowControl w:val="0"/>
              <w:kinsoku/>
              <w:wordWrap/>
              <w:overflowPunct/>
              <w:topLinePunct w:val="0"/>
              <w:autoSpaceDE/>
              <w:autoSpaceDN/>
              <w:bidi w:val="0"/>
              <w:adjustRightInd w:val="0"/>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（2）采用其《交通运输部关于公布202</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年度公路建设市场全国综合信用评价结果的公告》（下称“202</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年度全国评价”）中的设计企业评价等级，如未列入202</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年度全国评价的，采用其《交通运输部关于公布202</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年度公路建设市场全国综合信用评价结果的公告》中的</w:t>
            </w:r>
            <w:r>
              <w:rPr>
                <w:rFonts w:hint="eastAsia" w:ascii="宋体" w:hAnsi="宋体" w:eastAsia="宋体" w:cs="宋体"/>
                <w:sz w:val="21"/>
                <w:szCs w:val="21"/>
                <w:highlight w:val="none"/>
                <w:lang w:val="en-US" w:eastAsia="zh-CN"/>
              </w:rPr>
              <w:t>设计企业</w:t>
            </w:r>
            <w:r>
              <w:rPr>
                <w:rFonts w:hint="eastAsia" w:ascii="宋体" w:hAnsi="宋体" w:eastAsia="宋体" w:cs="宋体"/>
                <w:sz w:val="21"/>
                <w:szCs w:val="21"/>
                <w:highlight w:val="none"/>
              </w:rPr>
              <w:t>评价等级；</w:t>
            </w:r>
          </w:p>
          <w:p w14:paraId="17A0920F">
            <w:pPr>
              <w:keepNext w:val="0"/>
              <w:keepLines w:val="0"/>
              <w:pageBreakBefore w:val="0"/>
              <w:widowControl w:val="0"/>
              <w:kinsoku/>
              <w:wordWrap/>
              <w:overflowPunct/>
              <w:topLinePunct w:val="0"/>
              <w:autoSpaceDE/>
              <w:autoSpaceDN/>
              <w:bidi w:val="0"/>
              <w:adjustRightInd w:val="0"/>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（3）投标人无以上的信用评价时，若未列入交通运输部“全国公路建设市场监督管理系统”中“不良信用记录”的，按A级对待，否则视其严重程度按B级或以下等级对待。</w:t>
            </w:r>
          </w:p>
          <w:p w14:paraId="00CDFADB">
            <w:pPr>
              <w:keepNext w:val="0"/>
              <w:keepLines w:val="0"/>
              <w:pageBreakBefore w:val="0"/>
              <w:widowControl w:val="0"/>
              <w:kinsoku/>
              <w:wordWrap/>
              <w:overflowPunct/>
              <w:topLinePunct w:val="0"/>
              <w:autoSpaceDE/>
              <w:autoSpaceDN/>
              <w:bidi w:val="0"/>
              <w:adjustRightInd w:val="0"/>
              <w:snapToGrid w:val="0"/>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注：以联合体形式投标的，只计算联合体牵头人信用评价等级。</w:t>
            </w:r>
          </w:p>
        </w:tc>
      </w:tr>
      <w:tr w14:paraId="0312E2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9581" w:type="dxa"/>
            <w:gridSpan w:val="7"/>
            <w:shd w:val="clear" w:color="auto" w:fill="auto"/>
            <w:vAlign w:val="center"/>
          </w:tcPr>
          <w:p w14:paraId="39E05418">
            <w:pPr>
              <w:pStyle w:val="14"/>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textAlignment w:val="baseline"/>
              <w:rPr>
                <w:rFonts w:hint="eastAsia" w:ascii="宋体" w:hAnsi="宋体" w:eastAsia="宋体" w:cs="宋体"/>
                <w:kern w:val="20"/>
                <w:sz w:val="21"/>
                <w:szCs w:val="21"/>
                <w:highlight w:val="none"/>
              </w:rPr>
            </w:pPr>
            <w:r>
              <w:rPr>
                <w:rFonts w:hint="eastAsia" w:ascii="宋体" w:hAnsi="宋体" w:eastAsia="宋体" w:cs="宋体"/>
                <w:kern w:val="20"/>
                <w:sz w:val="21"/>
                <w:szCs w:val="21"/>
                <w:highlight w:val="none"/>
              </w:rPr>
              <w:t>需要补充的其他内容：</w:t>
            </w:r>
          </w:p>
          <w:p w14:paraId="46BA4393">
            <w:pPr>
              <w:pStyle w:val="14"/>
              <w:keepNext w:val="0"/>
              <w:keepLines w:val="0"/>
              <w:pageBreakBefore w:val="0"/>
              <w:widowControl w:val="0"/>
              <w:kinsoku/>
              <w:wordWrap/>
              <w:overflowPunct/>
              <w:topLinePunct w:val="0"/>
              <w:autoSpaceDE/>
              <w:autoSpaceDN/>
              <w:bidi w:val="0"/>
              <w:adjustRightInd w:val="0"/>
              <w:snapToGrid w:val="0"/>
              <w:spacing w:line="360" w:lineRule="exact"/>
              <w:textAlignment w:val="baseline"/>
              <w:rPr>
                <w:rFonts w:hint="eastAsia" w:ascii="宋体" w:hAnsi="宋体" w:eastAsia="宋体" w:cs="宋体"/>
                <w:kern w:val="20"/>
                <w:sz w:val="21"/>
                <w:szCs w:val="21"/>
                <w:highlight w:val="none"/>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rPr>
              <w:t>各评分因素</w:t>
            </w:r>
            <w:r>
              <w:rPr>
                <w:rFonts w:hint="eastAsia" w:ascii="宋体" w:hAnsi="宋体" w:eastAsia="宋体" w:cs="宋体"/>
                <w:sz w:val="21"/>
                <w:szCs w:val="21"/>
                <w:lang w:bidi="en-US"/>
              </w:rPr>
              <w:t>（</w:t>
            </w:r>
            <w:r>
              <w:rPr>
                <w:rFonts w:hint="eastAsia" w:ascii="宋体" w:hAnsi="宋体" w:eastAsia="宋体" w:cs="宋体"/>
                <w:sz w:val="21"/>
                <w:szCs w:val="21"/>
              </w:rPr>
              <w:t>评标价和履约信誉评分项除外）得分一般不得低于其权重分值的60%，且各评分因素得分应以评标委员会各成员的打分平均值确定。评标委员会成员总数为7人以上（含7人）时，该平均值以去掉一个最高分和一个最低分后计算。评标委员会成员对某一项评分因素的评分低于权重分值60%的，应在评标报告中做出说明。</w:t>
            </w:r>
          </w:p>
          <w:p w14:paraId="0F2B4FBC">
            <w:pPr>
              <w:pStyle w:val="14"/>
              <w:keepNext w:val="0"/>
              <w:keepLines w:val="0"/>
              <w:pageBreakBefore w:val="0"/>
              <w:widowControl w:val="0"/>
              <w:kinsoku/>
              <w:wordWrap/>
              <w:overflowPunct/>
              <w:topLinePunct w:val="0"/>
              <w:autoSpaceDE/>
              <w:autoSpaceDN/>
              <w:bidi w:val="0"/>
              <w:adjustRightInd w:val="0"/>
              <w:snapToGrid w:val="0"/>
              <w:spacing w:line="360" w:lineRule="exact"/>
              <w:ind w:left="0" w:leftChars="0" w:firstLine="420" w:firstLineChars="200"/>
              <w:textAlignment w:val="baseline"/>
              <w:rPr>
                <w:rFonts w:hint="eastAsia" w:ascii="宋体" w:hAnsi="宋体" w:eastAsia="宋体" w:cs="宋体"/>
                <w:sz w:val="21"/>
                <w:szCs w:val="21"/>
                <w:highlight w:val="none"/>
              </w:rPr>
            </w:pP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2</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rPr>
              <w:t>投标文件的技术建议书</w:t>
            </w:r>
            <w:r>
              <w:rPr>
                <w:rFonts w:hint="eastAsia" w:ascii="宋体" w:hAnsi="宋体" w:eastAsia="宋体" w:cs="宋体"/>
                <w:b w:val="0"/>
                <w:bCs w:val="0"/>
                <w:sz w:val="21"/>
                <w:szCs w:val="21"/>
              </w:rPr>
              <w:t>采用</w:t>
            </w:r>
            <w:r>
              <w:rPr>
                <w:rFonts w:hint="eastAsia" w:ascii="宋体" w:hAnsi="宋体" w:eastAsia="宋体" w:cs="宋体"/>
                <w:sz w:val="21"/>
                <w:szCs w:val="21"/>
              </w:rPr>
              <w:t>“暗标”评</w:t>
            </w:r>
            <w:r>
              <w:rPr>
                <w:rFonts w:hint="eastAsia" w:ascii="宋体" w:hAnsi="宋体" w:eastAsia="宋体" w:cs="宋体"/>
                <w:b w:val="0"/>
                <w:bCs w:val="0"/>
                <w:sz w:val="21"/>
                <w:szCs w:val="21"/>
                <w:highlight w:val="none"/>
              </w:rPr>
              <w:t>审，</w:t>
            </w:r>
            <w:r>
              <w:rPr>
                <w:rFonts w:hint="eastAsia" w:ascii="宋体" w:hAnsi="宋体" w:eastAsia="宋体" w:cs="宋体"/>
                <w:sz w:val="21"/>
                <w:szCs w:val="21"/>
              </w:rPr>
              <w:t>如果某投标人的</w:t>
            </w:r>
            <w:r>
              <w:rPr>
                <w:rFonts w:hint="eastAsia" w:ascii="宋体" w:hAnsi="宋体" w:eastAsia="宋体" w:cs="宋体"/>
                <w:sz w:val="21"/>
                <w:szCs w:val="21"/>
                <w:lang w:val="en-US" w:eastAsia="zh-CN"/>
              </w:rPr>
              <w:t>技术建议书</w:t>
            </w:r>
            <w:r>
              <w:rPr>
                <w:rFonts w:hint="eastAsia" w:ascii="宋体" w:hAnsi="宋体" w:eastAsia="宋体" w:cs="宋体"/>
                <w:sz w:val="21"/>
                <w:szCs w:val="21"/>
              </w:rPr>
              <w:t>没有按照招标文件规定的</w:t>
            </w:r>
            <w:r>
              <w:rPr>
                <w:rFonts w:hint="eastAsia" w:ascii="宋体" w:hAnsi="宋体" w:eastAsia="宋体" w:cs="宋体"/>
                <w:sz w:val="21"/>
                <w:szCs w:val="21"/>
                <w:lang w:val="en-US" w:eastAsia="zh-CN"/>
              </w:rPr>
              <w:t>要求</w:t>
            </w:r>
            <w:r>
              <w:rPr>
                <w:rFonts w:hint="eastAsia" w:ascii="宋体" w:hAnsi="宋体" w:eastAsia="宋体" w:cs="宋体"/>
                <w:sz w:val="21"/>
                <w:szCs w:val="21"/>
              </w:rPr>
              <w:t>编制，</w:t>
            </w:r>
            <w:r>
              <w:rPr>
                <w:rFonts w:hint="eastAsia" w:ascii="宋体" w:hAnsi="宋体" w:eastAsia="宋体" w:cs="宋体"/>
                <w:sz w:val="21"/>
                <w:szCs w:val="21"/>
                <w:lang w:val="en-US" w:eastAsia="zh-CN"/>
              </w:rPr>
              <w:t>但</w:t>
            </w:r>
            <w:r>
              <w:rPr>
                <w:rFonts w:hint="eastAsia" w:ascii="宋体" w:hAnsi="宋体" w:eastAsia="宋体" w:cs="宋体"/>
                <w:b w:val="0"/>
                <w:bCs w:val="0"/>
                <w:sz w:val="21"/>
                <w:szCs w:val="21"/>
                <w:highlight w:val="none"/>
              </w:rPr>
              <w:t>技术建议书</w:t>
            </w:r>
            <w:r>
              <w:rPr>
                <w:rFonts w:hint="eastAsia" w:ascii="宋体" w:hAnsi="宋体" w:eastAsia="宋体" w:cs="宋体"/>
                <w:b w:val="0"/>
                <w:bCs w:val="0"/>
                <w:sz w:val="21"/>
                <w:szCs w:val="21"/>
                <w:highlight w:val="none"/>
                <w:lang w:val="en-US" w:eastAsia="zh-CN"/>
              </w:rPr>
              <w:t>没有</w:t>
            </w:r>
            <w:r>
              <w:rPr>
                <w:rFonts w:hint="eastAsia" w:ascii="宋体" w:hAnsi="宋体" w:eastAsia="宋体" w:cs="宋体"/>
                <w:b w:val="0"/>
                <w:bCs w:val="0"/>
                <w:sz w:val="21"/>
                <w:szCs w:val="21"/>
                <w:highlight w:val="none"/>
              </w:rPr>
              <w:t>出现能识别投标人的内容，</w:t>
            </w:r>
            <w:r>
              <w:rPr>
                <w:rFonts w:hint="eastAsia" w:ascii="宋体" w:hAnsi="宋体" w:eastAsia="宋体" w:cs="宋体"/>
                <w:b w:val="0"/>
                <w:bCs w:val="0"/>
                <w:sz w:val="21"/>
                <w:szCs w:val="21"/>
                <w:highlight w:val="none"/>
                <w:lang w:val="en-US" w:eastAsia="zh-CN"/>
              </w:rPr>
              <w:t>评标委员会可以在相应的评分因素中酌情扣分，最多可扣至0分；</w:t>
            </w:r>
            <w:r>
              <w:rPr>
                <w:rFonts w:hint="eastAsia" w:ascii="宋体" w:hAnsi="宋体" w:eastAsia="宋体" w:cs="宋体"/>
                <w:b w:val="0"/>
                <w:bCs w:val="0"/>
                <w:sz w:val="21"/>
                <w:szCs w:val="21"/>
                <w:highlight w:val="none"/>
              </w:rPr>
              <w:t>如果技术建议书出现能识别投标人的内容，经评标委员会</w:t>
            </w:r>
            <w:r>
              <w:rPr>
                <w:rFonts w:hint="eastAsia" w:ascii="宋体" w:hAnsi="宋体" w:eastAsia="宋体" w:cs="宋体"/>
                <w:b w:val="0"/>
                <w:bCs w:val="0"/>
                <w:sz w:val="21"/>
                <w:szCs w:val="21"/>
                <w:highlight w:val="none"/>
                <w:lang w:val="en-US" w:eastAsia="zh-CN"/>
              </w:rPr>
              <w:t>认定</w:t>
            </w:r>
            <w:r>
              <w:rPr>
                <w:rFonts w:hint="eastAsia" w:ascii="宋体" w:hAnsi="宋体" w:eastAsia="宋体" w:cs="宋体"/>
                <w:b w:val="0"/>
                <w:bCs w:val="0"/>
                <w:sz w:val="21"/>
                <w:szCs w:val="21"/>
                <w:highlight w:val="none"/>
              </w:rPr>
              <w:t>后，评标委员会应在详细评审中</w:t>
            </w:r>
            <w:r>
              <w:rPr>
                <w:rFonts w:hint="eastAsia" w:ascii="宋体" w:hAnsi="宋体" w:eastAsia="宋体" w:cs="宋体"/>
                <w:b w:val="0"/>
                <w:bCs w:val="0"/>
                <w:sz w:val="21"/>
                <w:szCs w:val="21"/>
                <w:highlight w:val="none"/>
                <w:lang w:val="en-US" w:eastAsia="zh-CN"/>
              </w:rPr>
              <w:t>否决其投标</w:t>
            </w:r>
            <w:r>
              <w:rPr>
                <w:rFonts w:hint="eastAsia" w:ascii="宋体" w:hAnsi="宋体" w:eastAsia="宋体" w:cs="宋体"/>
                <w:sz w:val="21"/>
                <w:szCs w:val="21"/>
              </w:rPr>
              <w:t>，并在评标报告中作出详细说明。</w:t>
            </w:r>
            <w:r>
              <w:rPr>
                <w:rFonts w:hint="eastAsia" w:ascii="宋体" w:hAnsi="宋体" w:eastAsia="宋体" w:cs="宋体"/>
                <w:b/>
                <w:bCs/>
                <w:sz w:val="21"/>
                <w:szCs w:val="21"/>
                <w:lang w:val="en-US" w:eastAsia="zh-CN"/>
              </w:rPr>
              <w:t>除能识别投标人情形外</w:t>
            </w:r>
            <w:r>
              <w:rPr>
                <w:rFonts w:hint="eastAsia" w:ascii="宋体" w:hAnsi="宋体" w:eastAsia="宋体" w:cs="宋体"/>
                <w:b/>
                <w:bCs/>
                <w:sz w:val="21"/>
                <w:szCs w:val="21"/>
              </w:rPr>
              <w:t>，不得因暗标格式问题</w:t>
            </w:r>
            <w:r>
              <w:rPr>
                <w:rFonts w:hint="eastAsia" w:ascii="宋体" w:hAnsi="宋体" w:eastAsia="宋体" w:cs="宋体"/>
                <w:b/>
                <w:bCs/>
                <w:sz w:val="21"/>
                <w:szCs w:val="21"/>
                <w:lang w:val="en-US" w:eastAsia="zh-CN"/>
              </w:rPr>
              <w:t>否决其投标</w:t>
            </w:r>
            <w:r>
              <w:rPr>
                <w:rFonts w:hint="eastAsia" w:ascii="宋体" w:hAnsi="宋体" w:eastAsia="宋体" w:cs="宋体"/>
                <w:b/>
                <w:bCs/>
                <w:sz w:val="21"/>
                <w:szCs w:val="21"/>
              </w:rPr>
              <w:t>。</w:t>
            </w:r>
          </w:p>
        </w:tc>
      </w:tr>
    </w:tbl>
    <w:p w14:paraId="18EEB4AA">
      <w:pPr>
        <w:keepLines w:val="0"/>
        <w:pageBreakBefore w:val="0"/>
        <w:kinsoku/>
        <w:wordWrap/>
        <w:overflowPunct/>
        <w:topLinePunct w:val="0"/>
        <w:autoSpaceDE/>
        <w:autoSpaceDN/>
        <w:bidi w:val="0"/>
        <w:spacing w:line="360" w:lineRule="exact"/>
        <w:rPr>
          <w:rFonts w:hint="eastAsia" w:ascii="宋体" w:hAnsi="宋体" w:eastAsia="宋体" w:cs="宋体"/>
          <w:sz w:val="21"/>
          <w:szCs w:val="21"/>
        </w:rPr>
      </w:pPr>
    </w:p>
    <w:p w14:paraId="369A492C">
      <w:pPr>
        <w:keepLines w:val="0"/>
        <w:pageBreakBefore w:val="0"/>
        <w:kinsoku/>
        <w:wordWrap/>
        <w:overflowPunct/>
        <w:topLinePunct w:val="0"/>
        <w:autoSpaceDE/>
        <w:autoSpaceDN/>
        <w:bidi w:val="0"/>
        <w:spacing w:line="360" w:lineRule="exact"/>
        <w:rPr>
          <w:rFonts w:hint="eastAsia" w:ascii="宋体" w:hAnsi="宋体" w:eastAsia="宋体" w:cs="宋体"/>
          <w:b/>
          <w:sz w:val="21"/>
          <w:szCs w:val="21"/>
        </w:rPr>
      </w:pPr>
      <w:r>
        <w:rPr>
          <w:rFonts w:hint="eastAsia" w:ascii="宋体" w:hAnsi="宋体" w:eastAsia="宋体" w:cs="宋体"/>
          <w:b/>
          <w:sz w:val="21"/>
          <w:szCs w:val="21"/>
        </w:rPr>
        <w:t>四、联系方式</w:t>
      </w:r>
    </w:p>
    <w:tbl>
      <w:tblPr>
        <w:tblStyle w:val="6"/>
        <w:tblW w:w="0" w:type="auto"/>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8" w:type="dxa"/>
          <w:bottom w:w="0" w:type="dxa"/>
          <w:right w:w="108" w:type="dxa"/>
        </w:tblCellMar>
      </w:tblPr>
      <w:tblGrid>
        <w:gridCol w:w="9727"/>
      </w:tblGrid>
      <w:tr w14:paraId="12586AD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166" w:hRule="atLeast"/>
        </w:trPr>
        <w:tc>
          <w:tcPr>
            <w:tcW w:w="9727" w:type="dxa"/>
            <w:tcBorders>
              <w:top w:val="single" w:color="FFFFFF" w:sz="4" w:space="0"/>
              <w:left w:val="single" w:color="FFFFFF" w:sz="4" w:space="0"/>
              <w:bottom w:val="single" w:color="FFFFFF" w:sz="4" w:space="0"/>
              <w:right w:val="single" w:color="FFFFFF" w:sz="4" w:space="0"/>
            </w:tcBorders>
          </w:tcPr>
          <w:p w14:paraId="57F5F8D8">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000000"/>
                <w:sz w:val="21"/>
                <w:szCs w:val="21"/>
              </w:rPr>
            </w:pPr>
            <w:r>
              <w:rPr>
                <w:rFonts w:hint="eastAsia" w:ascii="宋体" w:hAnsi="宋体" w:eastAsia="宋体" w:cs="宋体"/>
                <w:color w:val="auto"/>
                <w:sz w:val="21"/>
                <w:szCs w:val="21"/>
                <w:highlight w:val="none"/>
                <w:lang w:val="zh-CN"/>
              </w:rPr>
              <w:t>招 标 人：辽源市公路管理处</w:t>
            </w:r>
          </w:p>
        </w:tc>
      </w:tr>
      <w:tr w14:paraId="63C55B3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166" w:hRule="atLeast"/>
        </w:trPr>
        <w:tc>
          <w:tcPr>
            <w:tcW w:w="9727" w:type="dxa"/>
            <w:tcBorders>
              <w:top w:val="single" w:color="FFFFFF" w:sz="4" w:space="0"/>
              <w:left w:val="single" w:color="FFFFFF" w:sz="4" w:space="0"/>
              <w:bottom w:val="single" w:color="FFFFFF" w:sz="4" w:space="0"/>
              <w:right w:val="single" w:color="FFFFFF" w:sz="4" w:space="0"/>
            </w:tcBorders>
          </w:tcPr>
          <w:p w14:paraId="65074A96">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000000"/>
                <w:sz w:val="21"/>
                <w:szCs w:val="21"/>
              </w:rPr>
            </w:pPr>
            <w:r>
              <w:rPr>
                <w:rFonts w:hint="eastAsia" w:ascii="宋体" w:hAnsi="宋体" w:eastAsia="宋体" w:cs="宋体"/>
                <w:color w:val="auto"/>
                <w:sz w:val="21"/>
                <w:szCs w:val="21"/>
                <w:highlight w:val="none"/>
                <w:lang w:val="zh-CN"/>
              </w:rPr>
              <w:t>地    址：辽源市人民大街2683号</w:t>
            </w:r>
          </w:p>
        </w:tc>
      </w:tr>
      <w:tr w14:paraId="668778D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166" w:hRule="atLeast"/>
        </w:trPr>
        <w:tc>
          <w:tcPr>
            <w:tcW w:w="9727" w:type="dxa"/>
            <w:tcBorders>
              <w:top w:val="single" w:color="FFFFFF" w:sz="4" w:space="0"/>
              <w:left w:val="single" w:color="FFFFFF" w:sz="4" w:space="0"/>
              <w:bottom w:val="single" w:color="FFFFFF" w:sz="4" w:space="0"/>
              <w:right w:val="single" w:color="FFFFFF" w:sz="4" w:space="0"/>
            </w:tcBorders>
          </w:tcPr>
          <w:p w14:paraId="25486CED">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000000"/>
                <w:sz w:val="21"/>
                <w:szCs w:val="21"/>
              </w:rPr>
            </w:pPr>
            <w:r>
              <w:rPr>
                <w:rFonts w:hint="eastAsia" w:ascii="宋体" w:hAnsi="宋体" w:eastAsia="宋体" w:cs="宋体"/>
                <w:color w:val="auto"/>
                <w:sz w:val="21"/>
                <w:szCs w:val="21"/>
                <w:highlight w:val="none"/>
                <w:lang w:val="zh-CN"/>
              </w:rPr>
              <w:t>联 系 人：高枭涵</w:t>
            </w:r>
          </w:p>
        </w:tc>
      </w:tr>
      <w:tr w14:paraId="176FC6A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90" w:hRule="atLeast"/>
        </w:trPr>
        <w:tc>
          <w:tcPr>
            <w:tcW w:w="9727" w:type="dxa"/>
            <w:tcBorders>
              <w:top w:val="single" w:color="FFFFFF" w:sz="4" w:space="0"/>
              <w:left w:val="single" w:color="FFFFFF" w:sz="4" w:space="0"/>
              <w:bottom w:val="single" w:color="FFFFFF" w:sz="4" w:space="0"/>
              <w:right w:val="single" w:color="FFFFFF" w:sz="4" w:space="0"/>
            </w:tcBorders>
          </w:tcPr>
          <w:p w14:paraId="7632D705">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000000"/>
                <w:sz w:val="21"/>
                <w:szCs w:val="21"/>
              </w:rPr>
            </w:pPr>
            <w:r>
              <w:rPr>
                <w:rFonts w:hint="eastAsia" w:ascii="宋体" w:hAnsi="宋体" w:eastAsia="宋体" w:cs="宋体"/>
                <w:color w:val="auto"/>
                <w:sz w:val="21"/>
                <w:szCs w:val="21"/>
                <w:highlight w:val="none"/>
                <w:lang w:val="zh-CN"/>
              </w:rPr>
              <w:t>电    话：0437-5086037</w:t>
            </w:r>
          </w:p>
        </w:tc>
      </w:tr>
    </w:tbl>
    <w:p w14:paraId="351AEC79">
      <w:pPr>
        <w:rPr>
          <w:rFonts w:asciiTheme="minorEastAsia" w:hAnsiTheme="minorEastAsia"/>
          <w:sz w:val="18"/>
        </w:rPr>
      </w:pPr>
    </w:p>
    <w:sectPr>
      <w:footnotePr>
        <w:numFmt w:val="decimalEnclosedCircleChinese"/>
        <w:numRestart w:val="eachPage"/>
      </w:footnote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modern"/>
    <w:pitch w:val="default"/>
    <w:sig w:usb0="A00002FF" w:usb1="28CFFCFA" w:usb2="00000016" w:usb3="00000000" w:csb0="00100001" w:csb1="00000000"/>
  </w:font>
  <w:font w:name="BatangChe">
    <w:panose1 w:val="02030609000101010101"/>
    <w:charset w:val="81"/>
    <w:family w:val="modern"/>
    <w:pitch w:val="default"/>
    <w:sig w:usb0="B00002AF" w:usb1="69D77CFB" w:usb2="00000030" w:usb3="00000000" w:csb0="4008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51274030">
      <w:pPr>
        <w:pStyle w:val="5"/>
      </w:pPr>
      <w:r>
        <w:rPr>
          <w:rStyle w:val="8"/>
        </w:rPr>
        <w:footnoteRef/>
      </w:r>
      <w:r>
        <w:rPr>
          <w:rFonts w:hint="eastAsia"/>
        </w:rPr>
        <w:t>本项规定仅适用于根据《关于发布公路工程从业企业资质名录的通知》（厅公路字</w:t>
      </w:r>
      <w:r>
        <w:t>[2011]114</w:t>
      </w:r>
      <w:r>
        <w:rPr>
          <w:rFonts w:hint="eastAsia"/>
        </w:rPr>
        <w:t>号）要求，招标人应通过名录对投标人资质条件进行审核的公路设计企业。</w:t>
      </w:r>
    </w:p>
  </w:footnote>
  <w:footnote w:id="1">
    <w:p w14:paraId="03C6D14F">
      <w:pPr>
        <w:pStyle w:val="5"/>
        <w:snapToGrid w:val="0"/>
      </w:pPr>
      <w:r>
        <w:rPr>
          <w:rStyle w:val="8"/>
        </w:rPr>
        <w:footnoteRef/>
      </w:r>
      <w:r>
        <w:rPr>
          <w:rFonts w:hint="eastAsia" w:ascii="BatangChe" w:hAnsi="BatangChe"/>
          <w:b/>
        </w:rPr>
        <w:t>“</w:t>
      </w:r>
      <w:r>
        <w:rPr>
          <w:rFonts w:hint="eastAsia" w:ascii="BatangChe" w:hAnsi="BatangChe"/>
          <w:b/>
          <w:spacing w:val="-6"/>
        </w:rPr>
        <w:t>投标人自有人员”</w:t>
      </w:r>
      <w:r>
        <w:rPr>
          <w:rFonts w:hint="eastAsia" w:ascii="BatangChe" w:hAnsi="BatangChe"/>
          <w:spacing w:val="-6"/>
        </w:rPr>
        <w:t>指</w:t>
      </w:r>
      <w:r>
        <w:t>社保缴费证明中</w:t>
      </w:r>
      <w:r>
        <w:rPr>
          <w:rFonts w:hint="eastAsia" w:ascii="宋体" w:hAnsi="宋体"/>
        </w:rPr>
        <w:t>缴费单位与投标人名称一致</w:t>
      </w:r>
      <w:r>
        <w:rPr>
          <w:rFonts w:hint="eastAsia" w:ascii="宋体" w:hAnsi="宋体"/>
          <w:lang w:eastAsia="zh-CN"/>
        </w:rPr>
        <w:t>（</w:t>
      </w:r>
      <w:r>
        <w:rPr>
          <w:rFonts w:hint="eastAsia" w:ascii="宋体" w:hAnsi="宋体"/>
          <w:lang w:val="en-US" w:eastAsia="zh-CN"/>
        </w:rPr>
        <w:t>投标人的上级公司、子公司、人力资源服务机构等其他单位缴纳或个人缴纳社会保险均不予认定，分公司缴纳的社会保险可以予以认定</w:t>
      </w:r>
      <w:r>
        <w:rPr>
          <w:rFonts w:hint="eastAsia" w:ascii="宋体" w:hAnsi="宋体"/>
          <w:lang w:eastAsia="zh-CN"/>
        </w:rPr>
        <w:t>），</w:t>
      </w:r>
      <w:r>
        <w:rPr>
          <w:rFonts w:hint="eastAsia" w:ascii="宋体" w:hAnsi="宋体"/>
          <w:color w:val="000000"/>
          <w:lang w:val="zh-CN"/>
        </w:rPr>
        <w:t>如果投标人属事业法人单位，则应提供拟委任的</w:t>
      </w:r>
      <w:r>
        <w:rPr>
          <w:rFonts w:hint="eastAsia" w:ascii="宋体" w:hAnsi="宋体"/>
          <w:color w:val="000000"/>
          <w:lang w:val="en-US" w:eastAsia="zh-CN"/>
        </w:rPr>
        <w:t>项目负责人</w:t>
      </w:r>
      <w:r>
        <w:rPr>
          <w:rFonts w:hint="eastAsia" w:ascii="宋体" w:hAnsi="宋体"/>
          <w:color w:val="000000"/>
          <w:lang w:val="zh-CN"/>
        </w:rPr>
        <w:t>是投标人单位职工的有效书面证明材料。</w:t>
      </w:r>
    </w:p>
  </w:footnote>
  <w:footnote w:id="2">
    <w:p w14:paraId="4C91D788">
      <w:pPr>
        <w:pStyle w:val="5"/>
        <w:snapToGrid w:val="0"/>
      </w:pPr>
      <w:r>
        <w:rPr>
          <w:rStyle w:val="8"/>
        </w:rPr>
        <w:footnoteRef/>
      </w:r>
      <w:r>
        <w:rPr>
          <w:rFonts w:hint="eastAsia" w:ascii="宋体" w:hAnsi="宋体" w:cs="宋体"/>
          <w:lang w:val="zh-CN"/>
        </w:rPr>
        <w:t>公路工程相关专业职称包括公路工程、桥梁工程、公路与桥梁工程、交通土建、隧道（地下结构）工程、交通工程等专业职称。如职称证上无专业，则以毕业证上的专业为准。</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numFmt w:val="decimalEnclosedCircleChinese"/>
    <w:numRestart w:val="eachPage"/>
    <w:footnote w:id="6"/>
    <w:footnote w:id="7"/>
  </w:footnotePr>
  <w:compat>
    <w:spaceForUL/>
    <w:balanceSingleByteDoubleByteWidth/>
    <w:doNotLeaveBackslashAlone/>
    <w:ulTrailSpace/>
    <w:doNotExpandShiftReturn/>
    <w:adjustLineHeightInTable/>
    <w:useFELayout/>
    <w:compatSetting w:name="compatibilityMode" w:uri="http://schemas.microsoft.com/office/word" w:val="12"/>
  </w:compat>
  <w:rsids>
    <w:rsidRoot w:val="00DE1914"/>
    <w:rsid w:val="00007D0D"/>
    <w:rsid w:val="000C7FFE"/>
    <w:rsid w:val="001F4B00"/>
    <w:rsid w:val="001F767C"/>
    <w:rsid w:val="00250688"/>
    <w:rsid w:val="00316C16"/>
    <w:rsid w:val="003171A3"/>
    <w:rsid w:val="0037455E"/>
    <w:rsid w:val="003E1571"/>
    <w:rsid w:val="00530DB1"/>
    <w:rsid w:val="005C0428"/>
    <w:rsid w:val="00643E44"/>
    <w:rsid w:val="006A39C9"/>
    <w:rsid w:val="006C28DA"/>
    <w:rsid w:val="006D6162"/>
    <w:rsid w:val="0072686E"/>
    <w:rsid w:val="00786838"/>
    <w:rsid w:val="00810ED6"/>
    <w:rsid w:val="008715DB"/>
    <w:rsid w:val="00873F02"/>
    <w:rsid w:val="008E2951"/>
    <w:rsid w:val="009B01BC"/>
    <w:rsid w:val="009D3B6D"/>
    <w:rsid w:val="00A73217"/>
    <w:rsid w:val="00AB197A"/>
    <w:rsid w:val="00B77B1E"/>
    <w:rsid w:val="00BB6447"/>
    <w:rsid w:val="00BE0105"/>
    <w:rsid w:val="00C15CD1"/>
    <w:rsid w:val="00C40C09"/>
    <w:rsid w:val="00CA3A18"/>
    <w:rsid w:val="00D57E3A"/>
    <w:rsid w:val="00DC39DC"/>
    <w:rsid w:val="00DE1914"/>
    <w:rsid w:val="00DF2D8E"/>
    <w:rsid w:val="00E16787"/>
    <w:rsid w:val="00E7408A"/>
    <w:rsid w:val="00EA5385"/>
    <w:rsid w:val="00F641C5"/>
    <w:rsid w:val="00FC5FAE"/>
    <w:rsid w:val="00FD038E"/>
    <w:rsid w:val="00FF554C"/>
    <w:rsid w:val="07C911F2"/>
    <w:rsid w:val="12BE7183"/>
    <w:rsid w:val="18203860"/>
    <w:rsid w:val="1C08154C"/>
    <w:rsid w:val="2A927BA0"/>
    <w:rsid w:val="315468C5"/>
    <w:rsid w:val="38404012"/>
    <w:rsid w:val="39C41070"/>
    <w:rsid w:val="3DB2627F"/>
    <w:rsid w:val="58F2172B"/>
    <w:rsid w:val="5AD5267A"/>
    <w:rsid w:val="5F2137CD"/>
    <w:rsid w:val="6E8121ED"/>
    <w:rsid w:val="77141486"/>
    <w:rsid w:val="7D6A30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widowControl/>
      <w:ind w:firstLine="420" w:firstLineChars="200"/>
      <w:jc w:val="center"/>
    </w:pPr>
    <w:rPr>
      <w:rFonts w:ascii="Times New Roman" w:hAnsi="Times New Roman" w:eastAsia="宋体" w:cs="Times New Roman"/>
      <w:b/>
      <w:kern w:val="0"/>
      <w:sz w:val="44"/>
      <w:szCs w:val="20"/>
    </w:rPr>
  </w:style>
  <w:style w:type="paragraph" w:styleId="3">
    <w:name w:val="footer"/>
    <w:basedOn w:val="1"/>
    <w:link w:val="19"/>
    <w:unhideWhenUsed/>
    <w:qFormat/>
    <w:uiPriority w:val="99"/>
    <w:pPr>
      <w:tabs>
        <w:tab w:val="center" w:pos="4153"/>
        <w:tab w:val="right" w:pos="8306"/>
      </w:tabs>
      <w:snapToGrid w:val="0"/>
      <w:jc w:val="left"/>
    </w:pPr>
    <w:rPr>
      <w:sz w:val="18"/>
      <w:szCs w:val="18"/>
    </w:rPr>
  </w:style>
  <w:style w:type="paragraph" w:styleId="4">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1"/>
    <w:unhideWhenUsed/>
    <w:qFormat/>
    <w:uiPriority w:val="99"/>
    <w:pPr>
      <w:snapToGrid w:val="0"/>
      <w:jc w:val="left"/>
    </w:pPr>
    <w:rPr>
      <w:rFonts w:ascii="Times New Roman" w:hAnsi="Times New Roman" w:eastAsia="宋体" w:cs="Times New Roman"/>
      <w:kern w:val="0"/>
      <w:sz w:val="18"/>
      <w:szCs w:val="18"/>
    </w:rPr>
  </w:style>
  <w:style w:type="character" w:styleId="8">
    <w:name w:val="footnote reference"/>
    <w:qFormat/>
    <w:uiPriority w:val="0"/>
    <w:rPr>
      <w:vertAlign w:val="superscript"/>
    </w:rPr>
  </w:style>
  <w:style w:type="character" w:customStyle="1" w:styleId="9">
    <w:name w:val="其他_"/>
    <w:link w:val="10"/>
    <w:qFormat/>
    <w:uiPriority w:val="0"/>
    <w:rPr>
      <w:rFonts w:ascii="宋体" w:hAnsi="宋体" w:cs="宋体"/>
      <w:shd w:val="clear" w:color="auto" w:fill="FFFFFF"/>
      <w:lang w:val="zh-CN" w:bidi="zh-CN"/>
    </w:rPr>
  </w:style>
  <w:style w:type="paragraph" w:customStyle="1" w:styleId="10">
    <w:name w:val="其他"/>
    <w:basedOn w:val="1"/>
    <w:link w:val="9"/>
    <w:qFormat/>
    <w:uiPriority w:val="0"/>
    <w:pPr>
      <w:shd w:val="clear" w:color="auto" w:fill="FFFFFF"/>
      <w:spacing w:line="430" w:lineRule="auto"/>
      <w:ind w:firstLine="400"/>
      <w:jc w:val="distribute"/>
    </w:pPr>
    <w:rPr>
      <w:rFonts w:ascii="宋体" w:hAnsi="宋体" w:cs="宋体"/>
      <w:lang w:val="zh-CN" w:bidi="zh-CN"/>
    </w:rPr>
  </w:style>
  <w:style w:type="character" w:customStyle="1" w:styleId="11">
    <w:name w:val="脚注文本 字符"/>
    <w:basedOn w:val="7"/>
    <w:link w:val="5"/>
    <w:qFormat/>
    <w:uiPriority w:val="99"/>
    <w:rPr>
      <w:rFonts w:ascii="Times New Roman" w:hAnsi="Times New Roman" w:eastAsia="宋体" w:cs="Times New Roman"/>
      <w:kern w:val="0"/>
      <w:sz w:val="18"/>
      <w:szCs w:val="18"/>
    </w:rPr>
  </w:style>
  <w:style w:type="character" w:customStyle="1" w:styleId="12">
    <w:name w:val="正文文本 (2)_"/>
    <w:link w:val="13"/>
    <w:qFormat/>
    <w:uiPriority w:val="0"/>
    <w:rPr>
      <w:rFonts w:ascii="宋体" w:hAnsi="宋体" w:cs="宋体"/>
      <w:sz w:val="22"/>
      <w:shd w:val="clear" w:color="auto" w:fill="FFFFFF"/>
    </w:rPr>
  </w:style>
  <w:style w:type="paragraph" w:customStyle="1" w:styleId="13">
    <w:name w:val="正文文本 (2)"/>
    <w:basedOn w:val="1"/>
    <w:link w:val="12"/>
    <w:qFormat/>
    <w:uiPriority w:val="0"/>
    <w:pPr>
      <w:shd w:val="clear" w:color="auto" w:fill="FFFFFF"/>
      <w:spacing w:before="300" w:line="439" w:lineRule="exact"/>
      <w:jc w:val="distribute"/>
    </w:pPr>
    <w:rPr>
      <w:rFonts w:ascii="宋体" w:hAnsi="宋体" w:cs="宋体"/>
      <w:sz w:val="22"/>
    </w:rPr>
  </w:style>
  <w:style w:type="paragraph" w:styleId="14">
    <w:name w:val="List Paragraph"/>
    <w:basedOn w:val="1"/>
    <w:qFormat/>
    <w:uiPriority w:val="34"/>
    <w:pPr>
      <w:ind w:firstLine="420" w:firstLineChars="200"/>
    </w:pPr>
    <w:rPr>
      <w:rFonts w:ascii="Times New Roman" w:hAnsi="Times New Roman" w:eastAsia="宋体" w:cs="Times New Roman"/>
    </w:rPr>
  </w:style>
  <w:style w:type="character" w:customStyle="1" w:styleId="15">
    <w:name w:val="正文文本 (2) + 9.5 pt"/>
    <w:qFormat/>
    <w:uiPriority w:val="0"/>
    <w:rPr>
      <w:rFonts w:ascii="MingLiU" w:hAnsi="MingLiU" w:eastAsia="MingLiU" w:cs="MingLiU"/>
      <w:color w:val="000000"/>
      <w:spacing w:val="0"/>
      <w:w w:val="100"/>
      <w:position w:val="0"/>
      <w:sz w:val="19"/>
      <w:szCs w:val="19"/>
      <w:shd w:val="clear" w:color="auto" w:fill="FFFFFF"/>
      <w:lang w:val="zh-TW" w:eastAsia="zh-TW" w:bidi="zh-TW"/>
    </w:rPr>
  </w:style>
  <w:style w:type="character" w:customStyle="1" w:styleId="16">
    <w:name w:val="正文文本 (2) + 10 pt"/>
    <w:qFormat/>
    <w:uiPriority w:val="0"/>
    <w:rPr>
      <w:rFonts w:ascii="MingLiU" w:hAnsi="MingLiU" w:eastAsia="MingLiU" w:cs="MingLiU"/>
      <w:b/>
      <w:bCs/>
      <w:color w:val="000000"/>
      <w:spacing w:val="0"/>
      <w:w w:val="100"/>
      <w:position w:val="0"/>
      <w:sz w:val="20"/>
      <w:szCs w:val="20"/>
      <w:u w:val="none"/>
      <w:lang w:val="zh-TW" w:eastAsia="zh-TW" w:bidi="zh-TW"/>
    </w:rPr>
  </w:style>
  <w:style w:type="character" w:customStyle="1" w:styleId="17">
    <w:name w:val="正文文本 (2) + 9 pt"/>
    <w:qFormat/>
    <w:uiPriority w:val="0"/>
    <w:rPr>
      <w:rFonts w:ascii="MingLiU" w:hAnsi="MingLiU" w:eastAsia="MingLiU" w:cs="MingLiU"/>
      <w:color w:val="000000"/>
      <w:spacing w:val="0"/>
      <w:w w:val="100"/>
      <w:position w:val="0"/>
      <w:sz w:val="18"/>
      <w:szCs w:val="18"/>
      <w:u w:val="none"/>
      <w:shd w:val="clear" w:color="auto" w:fill="FFFFFF"/>
      <w:lang w:val="en-US" w:eastAsia="en-US" w:bidi="en-US"/>
    </w:rPr>
  </w:style>
  <w:style w:type="character" w:customStyle="1" w:styleId="18">
    <w:name w:val="页眉 字符"/>
    <w:basedOn w:val="7"/>
    <w:link w:val="4"/>
    <w:qFormat/>
    <w:uiPriority w:val="99"/>
    <w:rPr>
      <w:sz w:val="18"/>
      <w:szCs w:val="18"/>
    </w:rPr>
  </w:style>
  <w:style w:type="character" w:customStyle="1" w:styleId="19">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D1415-EB3F-4E4B-8E9A-7202B2D1D16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5206</Words>
  <Characters>5505</Characters>
  <Lines>42</Lines>
  <Paragraphs>12</Paragraphs>
  <TotalTime>1</TotalTime>
  <ScaleCrop>false</ScaleCrop>
  <LinksUpToDate>false</LinksUpToDate>
  <CharactersWithSpaces>5526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2021-08-02T04:08:00Z</dcterms:created>
  <dc:creator>微软用户</dc:creator>
  <cp:lastModifiedBy>丁聪</cp:lastModifiedBy>
  <dcterms:modified xsi:type="dcterms:W3CDTF">2026-08-13T06:48:47Z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eyJoZGlkIjoiYzA1Y2IwMGUwOTFkODdiMzk0YjlkMmEyYTgwYWJjNzEiLCJ1c2VySWQiOiIyNDUwODQ0ODUifQ==</vt:lpwstr>
  </property>
  <property fmtid="{D5CDD505-2E9C-101B-9397-08002B2CF9AE}" pid="3" name="KSOProductBuildVer">
    <vt:lpwstr>2052-12.1.0.28043</vt:lpwstr>
  </property>
  <property fmtid="{D5CDD505-2E9C-101B-9397-08002B2CF9AE}" pid="4" name="ICV">
    <vt:lpwstr>D3FFF19BAB014F3AB6904F72D2573AD4_12</vt:lpwstr>
  </property>
</Properties>
</file>