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1CA4A">
      <w:pPr>
        <w:keepLines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bookmarkStart w:id="0" w:name="_Hlk141166984"/>
      <w:r>
        <w:rPr>
          <w:rFonts w:hint="eastAsia" w:ascii="宋体" w:hAnsi="宋体" w:eastAsia="宋体" w:cs="宋体"/>
          <w:b/>
          <w:sz w:val="21"/>
          <w:szCs w:val="21"/>
          <w:lang w:val="en-US" w:eastAsia="zh-CN"/>
        </w:rPr>
        <w:t>梅河口市普通国省干线公路现代养护试点项目技术咨询</w:t>
      </w:r>
      <w:r>
        <w:rPr>
          <w:rFonts w:hint="eastAsia" w:ascii="宋体" w:hAnsi="宋体" w:eastAsia="宋体" w:cs="宋体"/>
          <w:b/>
          <w:sz w:val="21"/>
          <w:szCs w:val="21"/>
          <w:lang w:eastAsia="zh-CN"/>
        </w:rPr>
        <w:t>招标</w:t>
      </w:r>
      <w:bookmarkEnd w:id="0"/>
      <w:r>
        <w:rPr>
          <w:rFonts w:hint="eastAsia" w:ascii="宋体" w:hAnsi="宋体" w:eastAsia="宋体" w:cs="宋体"/>
          <w:b/>
          <w:sz w:val="21"/>
          <w:szCs w:val="21"/>
        </w:rPr>
        <w:t>文件公开内容</w:t>
      </w:r>
    </w:p>
    <w:p w14:paraId="5BFA3234">
      <w:pPr>
        <w:keepLines w:val="0"/>
        <w:tabs>
          <w:tab w:val="center" w:pos="4819"/>
        </w:tabs>
        <w:kinsoku/>
        <w:wordWrap/>
        <w:overflowPunct/>
        <w:topLinePunct w:val="0"/>
        <w:autoSpaceDE/>
        <w:autoSpaceDN/>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一、项目概况与招标范围</w:t>
      </w:r>
      <w:r>
        <w:rPr>
          <w:rFonts w:hint="eastAsia" w:ascii="宋体" w:hAnsi="宋体" w:eastAsia="宋体" w:cs="宋体"/>
          <w:b/>
          <w:sz w:val="21"/>
          <w:szCs w:val="21"/>
        </w:rPr>
        <w:tab/>
      </w:r>
    </w:p>
    <w:p w14:paraId="2864CD02">
      <w:pPr>
        <w:keepLines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详见招标公告</w:t>
      </w:r>
    </w:p>
    <w:p w14:paraId="3E199095">
      <w:pPr>
        <w:keepLines w:val="0"/>
        <w:kinsoku/>
        <w:wordWrap/>
        <w:overflowPunct/>
        <w:topLinePunct w:val="0"/>
        <w:autoSpaceDE/>
        <w:autoSpaceDN/>
        <w:bidi w:val="0"/>
        <w:spacing w:line="360" w:lineRule="exact"/>
        <w:textAlignment w:val="auto"/>
        <w:rPr>
          <w:rFonts w:hint="eastAsia" w:ascii="宋体" w:hAnsi="宋体" w:eastAsia="宋体" w:cs="宋体"/>
          <w:b/>
          <w:sz w:val="21"/>
          <w:szCs w:val="21"/>
        </w:rPr>
      </w:pPr>
      <w:r>
        <w:rPr>
          <w:rFonts w:hint="eastAsia" w:ascii="宋体" w:hAnsi="宋体" w:eastAsia="宋体" w:cs="宋体"/>
          <w:b/>
          <w:sz w:val="21"/>
          <w:szCs w:val="21"/>
        </w:rPr>
        <w:t>二、投标人资格要求</w:t>
      </w:r>
    </w:p>
    <w:p w14:paraId="75CC6936">
      <w:pPr>
        <w:keepLines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    投标人须知前附表（投标人资格要求部分）</w:t>
      </w:r>
    </w:p>
    <w:tbl>
      <w:tblPr>
        <w:tblStyle w:val="11"/>
        <w:tblW w:w="9475" w:type="dxa"/>
        <w:jc w:val="center"/>
        <w:tblLayout w:type="fixed"/>
        <w:tblCellMar>
          <w:top w:w="0" w:type="dxa"/>
          <w:left w:w="28" w:type="dxa"/>
          <w:bottom w:w="0" w:type="dxa"/>
          <w:right w:w="28" w:type="dxa"/>
        </w:tblCellMar>
      </w:tblPr>
      <w:tblGrid>
        <w:gridCol w:w="953"/>
        <w:gridCol w:w="2006"/>
        <w:gridCol w:w="6516"/>
      </w:tblGrid>
      <w:tr w14:paraId="50334ED8">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3DED2897">
            <w:pPr>
              <w:keepLines w:val="0"/>
              <w:kinsoku/>
              <w:wordWrap/>
              <w:overflowPunct/>
              <w:topLinePunct w:val="0"/>
              <w:autoSpaceDE/>
              <w:autoSpaceDN/>
              <w:bidi w:val="0"/>
              <w:adjustRightInd w:val="0"/>
              <w:snapToGrid w:val="0"/>
              <w:spacing w:before="100" w:beforeAutospacing="1" w:after="100" w:afterAutospacing="1"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条款号</w:t>
            </w:r>
          </w:p>
        </w:tc>
        <w:tc>
          <w:tcPr>
            <w:tcW w:w="2006" w:type="dxa"/>
            <w:tcBorders>
              <w:top w:val="single" w:color="000000" w:sz="4" w:space="0"/>
              <w:left w:val="single" w:color="000000" w:sz="4" w:space="0"/>
              <w:bottom w:val="single" w:color="000000" w:sz="4" w:space="0"/>
              <w:right w:val="single" w:color="000000" w:sz="4" w:space="0"/>
            </w:tcBorders>
            <w:vAlign w:val="center"/>
          </w:tcPr>
          <w:p w14:paraId="4E3AF8F4">
            <w:pPr>
              <w:keepLines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条款名称</w:t>
            </w:r>
          </w:p>
        </w:tc>
        <w:tc>
          <w:tcPr>
            <w:tcW w:w="6516" w:type="dxa"/>
            <w:tcBorders>
              <w:top w:val="single" w:color="000000" w:sz="4" w:space="0"/>
              <w:left w:val="single" w:color="000000" w:sz="4" w:space="0"/>
              <w:bottom w:val="single" w:color="000000" w:sz="4" w:space="0"/>
              <w:right w:val="single" w:color="auto" w:sz="12" w:space="0"/>
            </w:tcBorders>
            <w:vAlign w:val="center"/>
          </w:tcPr>
          <w:p w14:paraId="476D8926">
            <w:pPr>
              <w:keepLines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编列内容</w:t>
            </w:r>
          </w:p>
        </w:tc>
      </w:tr>
      <w:tr w14:paraId="2CA833FA">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5B649EB7">
            <w:pPr>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1.4.1</w:t>
            </w:r>
          </w:p>
        </w:tc>
        <w:tc>
          <w:tcPr>
            <w:tcW w:w="2006" w:type="dxa"/>
            <w:tcBorders>
              <w:top w:val="single" w:color="000000" w:sz="4" w:space="0"/>
              <w:left w:val="single" w:color="000000" w:sz="4" w:space="0"/>
              <w:bottom w:val="single" w:color="000000" w:sz="4" w:space="0"/>
              <w:right w:val="single" w:color="000000" w:sz="4" w:space="0"/>
            </w:tcBorders>
            <w:vAlign w:val="center"/>
          </w:tcPr>
          <w:p w14:paraId="70DABD2D">
            <w:pPr>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投标人资质条件、</w:t>
            </w:r>
          </w:p>
          <w:p w14:paraId="3603CF64">
            <w:pPr>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能力和信誉</w:t>
            </w:r>
          </w:p>
        </w:tc>
        <w:tc>
          <w:tcPr>
            <w:tcW w:w="6516" w:type="dxa"/>
            <w:tcBorders>
              <w:top w:val="single" w:color="000000" w:sz="4" w:space="0"/>
              <w:left w:val="single" w:color="000000" w:sz="4" w:space="0"/>
              <w:bottom w:val="single" w:color="000000" w:sz="4" w:space="0"/>
              <w:right w:val="single" w:color="auto" w:sz="12" w:space="0"/>
            </w:tcBorders>
            <w:vAlign w:val="center"/>
          </w:tcPr>
          <w:p w14:paraId="52087DFC">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资质</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投标人应通过“全国投资项目在线审批监管平台”（www.tzxm.gov.cn）备案并列入公示名录，备案的咨询专业应包括“公路”专业、服务范围应包括“规划咨询”“项目咨询”或“全过程工程咨询”三者之一。</w:t>
            </w:r>
          </w:p>
          <w:p w14:paraId="6DC5DB29">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业绩要求：</w:t>
            </w:r>
            <w:r>
              <w:rPr>
                <w:rFonts w:hint="eastAsia" w:ascii="宋体" w:hAnsi="宋体" w:eastAsia="宋体" w:cs="宋体"/>
                <w:sz w:val="21"/>
                <w:szCs w:val="21"/>
                <w:highlight w:val="none"/>
                <w:lang w:val="en-US" w:eastAsia="zh-CN"/>
              </w:rPr>
              <w:t>无</w:t>
            </w:r>
          </w:p>
          <w:p w14:paraId="10E28B9A">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r>
              <w:rPr>
                <w:rFonts w:hint="eastAsia" w:ascii="宋体" w:hAnsi="宋体" w:eastAsia="宋体" w:cs="宋体"/>
                <w:sz w:val="21"/>
                <w:szCs w:val="21"/>
                <w:highlight w:val="none"/>
                <w:lang w:val="en-US" w:eastAsia="zh-CN"/>
              </w:rPr>
              <w:t>无</w:t>
            </w:r>
          </w:p>
          <w:p w14:paraId="156360F9">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项目负责人</w:t>
            </w:r>
            <w:r>
              <w:rPr>
                <w:rFonts w:hint="eastAsia" w:ascii="宋体" w:hAnsi="宋体" w:eastAsia="宋体" w:cs="宋体"/>
                <w:sz w:val="21"/>
                <w:szCs w:val="21"/>
                <w:highlight w:val="none"/>
              </w:rPr>
              <w:t>资格：</w:t>
            </w:r>
            <w:r>
              <w:rPr>
                <w:rFonts w:hint="eastAsia" w:ascii="宋体" w:hAnsi="宋体" w:eastAsia="宋体" w:cs="宋体"/>
                <w:sz w:val="21"/>
                <w:szCs w:val="21"/>
                <w:highlight w:val="none"/>
                <w:lang w:val="en-US" w:eastAsia="zh-CN"/>
              </w:rPr>
              <w:t>具有公路工程相关专业高级职称</w:t>
            </w:r>
          </w:p>
          <w:p w14:paraId="50F79A6D">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其他要求：无</w:t>
            </w:r>
          </w:p>
        </w:tc>
      </w:tr>
      <w:tr w14:paraId="62D62B33">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BDEBA49">
            <w:pPr>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1.4.2</w:t>
            </w:r>
          </w:p>
        </w:tc>
        <w:tc>
          <w:tcPr>
            <w:tcW w:w="2006" w:type="dxa"/>
            <w:tcBorders>
              <w:top w:val="single" w:color="000000" w:sz="4" w:space="0"/>
              <w:left w:val="single" w:color="000000" w:sz="4" w:space="0"/>
              <w:bottom w:val="single" w:color="000000" w:sz="4" w:space="0"/>
              <w:right w:val="single" w:color="000000" w:sz="4" w:space="0"/>
            </w:tcBorders>
            <w:vAlign w:val="center"/>
          </w:tcPr>
          <w:p w14:paraId="3A9D72C3">
            <w:pPr>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是否接受联合体投标</w:t>
            </w:r>
          </w:p>
        </w:tc>
        <w:tc>
          <w:tcPr>
            <w:tcW w:w="6516" w:type="dxa"/>
            <w:tcBorders>
              <w:top w:val="single" w:color="000000" w:sz="4" w:space="0"/>
              <w:left w:val="single" w:color="000000" w:sz="4" w:space="0"/>
              <w:bottom w:val="single" w:color="000000" w:sz="4" w:space="0"/>
              <w:right w:val="single" w:color="auto" w:sz="12" w:space="0"/>
            </w:tcBorders>
            <w:vAlign w:val="center"/>
          </w:tcPr>
          <w:p w14:paraId="39031FAE">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lang w:val="zh-CN"/>
              </w:rPr>
              <w:fldChar w:fldCharType="begin"/>
            </w:r>
            <w:r>
              <w:rPr>
                <w:rFonts w:hint="eastAsia" w:ascii="宋体" w:hAnsi="宋体" w:eastAsia="宋体" w:cs="宋体"/>
                <w:sz w:val="21"/>
                <w:szCs w:val="21"/>
                <w:lang w:val="zh-CN"/>
              </w:rPr>
              <w:instrText xml:space="preserve"> eq \o\ac(</w:instrText>
            </w:r>
            <w:r>
              <w:rPr>
                <w:rFonts w:hint="eastAsia" w:ascii="宋体" w:hAnsi="宋体" w:eastAsia="宋体" w:cs="宋体"/>
                <w:position w:val="-4"/>
                <w:sz w:val="31"/>
                <w:szCs w:val="21"/>
                <w:lang w:val="zh-CN"/>
              </w:rPr>
              <w:instrText xml:space="preserve">□</w:instrText>
            </w:r>
            <w:r>
              <w:rPr>
                <w:rFonts w:hint="eastAsia" w:ascii="宋体" w:hAnsi="宋体" w:eastAsia="宋体" w:cs="宋体"/>
                <w:position w:val="0"/>
                <w:sz w:val="21"/>
                <w:szCs w:val="21"/>
                <w:lang w:val="zh-CN"/>
              </w:rPr>
              <w:instrText xml:space="preserve">,√)</w:instrText>
            </w:r>
            <w:r>
              <w:rPr>
                <w:rFonts w:hint="eastAsia" w:ascii="宋体" w:hAnsi="宋体" w:eastAsia="宋体" w:cs="宋体"/>
                <w:sz w:val="21"/>
                <w:szCs w:val="21"/>
                <w:lang w:val="zh-CN"/>
              </w:rPr>
              <w:fldChar w:fldCharType="end"/>
            </w:r>
            <w:r>
              <w:rPr>
                <w:rFonts w:hint="eastAsia" w:ascii="宋体" w:hAnsi="宋体" w:eastAsia="宋体" w:cs="宋体"/>
                <w:sz w:val="21"/>
                <w:szCs w:val="21"/>
              </w:rPr>
              <w:t>不接受</w:t>
            </w:r>
          </w:p>
          <w:p w14:paraId="0187D97D">
            <w:pPr>
              <w:keepLines w:val="0"/>
              <w:pageBreakBefore w:val="0"/>
              <w:widowControl/>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eastAsia="zh-CN"/>
              </w:rPr>
              <w:t>□</w:t>
            </w:r>
            <w:r>
              <w:rPr>
                <w:rFonts w:hint="eastAsia" w:ascii="宋体" w:hAnsi="宋体" w:eastAsia="宋体" w:cs="宋体"/>
                <w:sz w:val="21"/>
                <w:szCs w:val="21"/>
              </w:rPr>
              <w:t>接受，联合体投标的，应满足下列要求：见第一章招标公告</w:t>
            </w:r>
          </w:p>
        </w:tc>
      </w:tr>
      <w:tr w14:paraId="29727569">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4D443B6A">
            <w:pPr>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1.4.3</w:t>
            </w:r>
          </w:p>
        </w:tc>
        <w:tc>
          <w:tcPr>
            <w:tcW w:w="2006" w:type="dxa"/>
            <w:tcBorders>
              <w:top w:val="single" w:color="000000" w:sz="4" w:space="0"/>
              <w:left w:val="single" w:color="000000" w:sz="4" w:space="0"/>
              <w:bottom w:val="single" w:color="000000" w:sz="4" w:space="0"/>
              <w:right w:val="single" w:color="000000" w:sz="4" w:space="0"/>
            </w:tcBorders>
            <w:vAlign w:val="center"/>
          </w:tcPr>
          <w:p w14:paraId="0F6994D7">
            <w:pPr>
              <w:pStyle w:val="15"/>
              <w:keepNext/>
              <w:keepLines w:val="0"/>
              <w:pageBreakBefore w:val="0"/>
              <w:shd w:val="clear" w:color="auto" w:fill="auto"/>
              <w:kinsoku/>
              <w:wordWrap/>
              <w:overflowPunct/>
              <w:topLinePunct w:val="0"/>
              <w:autoSpaceDE/>
              <w:autoSpaceDN/>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6CFB28BE">
            <w:pPr>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其他关联情形</w:t>
            </w:r>
          </w:p>
        </w:tc>
        <w:tc>
          <w:tcPr>
            <w:tcW w:w="6516" w:type="dxa"/>
            <w:tcBorders>
              <w:top w:val="single" w:color="000000" w:sz="4" w:space="0"/>
              <w:left w:val="single" w:color="000000" w:sz="4" w:space="0"/>
              <w:bottom w:val="single" w:color="000000" w:sz="4" w:space="0"/>
              <w:right w:val="single" w:color="auto" w:sz="12" w:space="0"/>
            </w:tcBorders>
            <w:vAlign w:val="center"/>
          </w:tcPr>
          <w:p w14:paraId="5676DFBF">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r w14:paraId="3EB1FBDB">
        <w:tblPrEx>
          <w:tblCellMar>
            <w:top w:w="0" w:type="dxa"/>
            <w:left w:w="28" w:type="dxa"/>
            <w:bottom w:w="0" w:type="dxa"/>
            <w:right w:w="28" w:type="dxa"/>
          </w:tblCellMar>
        </w:tblPrEx>
        <w:trPr>
          <w:trHeight w:val="567" w:hRule="atLeast"/>
          <w:jc w:val="center"/>
        </w:trPr>
        <w:tc>
          <w:tcPr>
            <w:tcW w:w="953" w:type="dxa"/>
            <w:tcBorders>
              <w:top w:val="single" w:color="000000" w:sz="4" w:space="0"/>
              <w:left w:val="single" w:color="auto" w:sz="12" w:space="0"/>
              <w:bottom w:val="single" w:color="000000" w:sz="4" w:space="0"/>
              <w:right w:val="single" w:color="000000" w:sz="4" w:space="0"/>
            </w:tcBorders>
            <w:vAlign w:val="center"/>
          </w:tcPr>
          <w:p w14:paraId="270EFA83">
            <w:pPr>
              <w:keepLines w:val="0"/>
              <w:pageBreakBefore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1.4.4</w:t>
            </w:r>
          </w:p>
        </w:tc>
        <w:tc>
          <w:tcPr>
            <w:tcW w:w="2006" w:type="dxa"/>
            <w:tcBorders>
              <w:top w:val="single" w:color="000000" w:sz="4" w:space="0"/>
              <w:left w:val="single" w:color="000000" w:sz="4" w:space="0"/>
              <w:bottom w:val="single" w:color="000000" w:sz="4" w:space="0"/>
              <w:right w:val="single" w:color="000000" w:sz="4" w:space="0"/>
            </w:tcBorders>
            <w:vAlign w:val="center"/>
          </w:tcPr>
          <w:p w14:paraId="2AC68919">
            <w:pPr>
              <w:pStyle w:val="15"/>
              <w:keepNext/>
              <w:keepLines w:val="0"/>
              <w:pageBreakBefore w:val="0"/>
              <w:shd w:val="clear" w:color="auto" w:fill="auto"/>
              <w:kinsoku/>
              <w:wordWrap/>
              <w:overflowPunct/>
              <w:topLinePunct w:val="0"/>
              <w:autoSpaceDE/>
              <w:autoSpaceDN/>
              <w:bidi w:val="0"/>
              <w:spacing w:line="360" w:lineRule="exact"/>
              <w:ind w:firstLine="0"/>
              <w:jc w:val="center"/>
              <w:textAlignment w:val="auto"/>
              <w:rPr>
                <w:rFonts w:hint="eastAsia" w:ascii="宋体" w:hAnsi="宋体" w:eastAsia="宋体" w:cs="宋体"/>
                <w:kern w:val="2"/>
                <w:sz w:val="21"/>
                <w:szCs w:val="21"/>
                <w:lang w:val="en-US" w:bidi="ar-SA"/>
              </w:rPr>
            </w:pPr>
            <w:r>
              <w:rPr>
                <w:rFonts w:hint="eastAsia" w:ascii="宋体" w:hAnsi="宋体" w:eastAsia="宋体" w:cs="宋体"/>
                <w:kern w:val="2"/>
                <w:sz w:val="21"/>
                <w:szCs w:val="21"/>
                <w:lang w:val="en-US" w:bidi="ar-SA"/>
              </w:rPr>
              <w:t>投标人不得存在的</w:t>
            </w:r>
          </w:p>
          <w:p w14:paraId="22486B51">
            <w:pPr>
              <w:pStyle w:val="15"/>
              <w:keepNext/>
              <w:keepLines w:val="0"/>
              <w:pageBreakBefore w:val="0"/>
              <w:shd w:val="clear" w:color="auto" w:fill="auto"/>
              <w:kinsoku/>
              <w:wordWrap/>
              <w:overflowPunct/>
              <w:topLinePunct w:val="0"/>
              <w:autoSpaceDE/>
              <w:autoSpaceDN/>
              <w:bidi w:val="0"/>
              <w:spacing w:line="360" w:lineRule="exact"/>
              <w:ind w:firstLine="0" w:firstLineChars="0"/>
              <w:jc w:val="center"/>
              <w:textAlignment w:val="auto"/>
              <w:rPr>
                <w:rFonts w:hint="eastAsia" w:ascii="宋体" w:hAnsi="宋体" w:eastAsia="宋体" w:cs="宋体"/>
                <w:sz w:val="21"/>
                <w:szCs w:val="21"/>
                <w:lang w:val="en-US" w:bidi="ar-SA"/>
              </w:rPr>
            </w:pPr>
            <w:r>
              <w:rPr>
                <w:rFonts w:hint="eastAsia" w:ascii="宋体" w:hAnsi="宋体" w:eastAsia="宋体" w:cs="宋体"/>
                <w:kern w:val="2"/>
                <w:sz w:val="21"/>
                <w:szCs w:val="21"/>
                <w:lang w:val="en-US" w:bidi="ar-SA"/>
              </w:rPr>
              <w:t>其他不良状况或不良信用记录</w:t>
            </w:r>
          </w:p>
        </w:tc>
        <w:tc>
          <w:tcPr>
            <w:tcW w:w="6516" w:type="dxa"/>
            <w:tcBorders>
              <w:top w:val="single" w:color="000000" w:sz="4" w:space="0"/>
              <w:left w:val="single" w:color="000000" w:sz="4" w:space="0"/>
              <w:bottom w:val="single" w:color="000000" w:sz="4" w:space="0"/>
              <w:right w:val="single" w:color="auto" w:sz="12" w:space="0"/>
            </w:tcBorders>
            <w:vAlign w:val="center"/>
          </w:tcPr>
          <w:p w14:paraId="3CA5C637">
            <w:pPr>
              <w:keepLines w:val="0"/>
              <w:pageBreakBefore w:val="0"/>
              <w:kinsoku/>
              <w:wordWrap/>
              <w:overflowPunct/>
              <w:topLinePunct w:val="0"/>
              <w:autoSpaceDE/>
              <w:autoSpaceDN/>
              <w:bidi w:val="0"/>
              <w:spacing w:line="360" w:lineRule="exact"/>
              <w:textAlignment w:val="auto"/>
              <w:rPr>
                <w:rFonts w:hint="eastAsia" w:ascii="宋体" w:hAnsi="宋体" w:eastAsia="宋体" w:cs="宋体"/>
                <w:sz w:val="21"/>
                <w:szCs w:val="21"/>
              </w:rPr>
            </w:pPr>
            <w:r>
              <w:rPr>
                <w:rFonts w:hint="eastAsia" w:ascii="宋体" w:hAnsi="宋体" w:eastAsia="宋体" w:cs="宋体"/>
                <w:kern w:val="0"/>
                <w:sz w:val="21"/>
                <w:szCs w:val="21"/>
                <w:lang w:val="zh-CN"/>
              </w:rPr>
              <w:t>/</w:t>
            </w:r>
          </w:p>
        </w:tc>
      </w:tr>
    </w:tbl>
    <w:p w14:paraId="1AF6A874">
      <w:pPr>
        <w:keepLines w:val="0"/>
        <w:kinsoku/>
        <w:wordWrap/>
        <w:overflowPunct/>
        <w:topLinePunct w:val="0"/>
        <w:autoSpaceDE/>
        <w:autoSpaceDN/>
        <w:bidi w:val="0"/>
        <w:spacing w:line="360" w:lineRule="exact"/>
        <w:textAlignment w:val="auto"/>
        <w:rPr>
          <w:rFonts w:hint="eastAsia" w:ascii="宋体" w:hAnsi="宋体" w:eastAsia="宋体" w:cs="宋体"/>
          <w:b w:val="0"/>
          <w:bCs w:val="0"/>
          <w:color w:val="auto"/>
          <w:sz w:val="21"/>
          <w:szCs w:val="21"/>
          <w:highlight w:val="none"/>
        </w:rPr>
      </w:pPr>
      <w:bookmarkStart w:id="1" w:name="_Toc110596237"/>
      <w:bookmarkStart w:id="2" w:name="_Toc346800722"/>
      <w:bookmarkStart w:id="3" w:name="_Hlk141167126"/>
      <w:r>
        <w:rPr>
          <w:rFonts w:hint="eastAsia" w:ascii="宋体" w:hAnsi="宋体" w:eastAsia="宋体" w:cs="宋体"/>
          <w:b w:val="0"/>
          <w:bCs w:val="0"/>
          <w:color w:val="auto"/>
          <w:sz w:val="21"/>
          <w:szCs w:val="21"/>
          <w:highlight w:val="none"/>
        </w:rPr>
        <w:t>1.4投标人资格要求</w:t>
      </w:r>
    </w:p>
    <w:p w14:paraId="32AAB0D3">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1.4.1投标人应具备承担本标段</w:t>
      </w:r>
      <w:r>
        <w:rPr>
          <w:rFonts w:hint="eastAsia" w:ascii="宋体" w:hAnsi="宋体" w:eastAsia="宋体" w:cs="宋体"/>
          <w:color w:val="auto"/>
          <w:sz w:val="21"/>
          <w:szCs w:val="21"/>
          <w:highlight w:val="none"/>
          <w:lang w:val="en-US" w:eastAsia="zh-CN"/>
        </w:rPr>
        <w:t>技术咨询</w:t>
      </w:r>
      <w:r>
        <w:rPr>
          <w:rFonts w:hint="eastAsia" w:ascii="宋体" w:hAnsi="宋体" w:eastAsia="宋体" w:cs="宋体"/>
          <w:color w:val="auto"/>
          <w:sz w:val="21"/>
          <w:szCs w:val="21"/>
          <w:highlight w:val="none"/>
        </w:rPr>
        <w:t>的资质条件、能力和信誉。</w:t>
      </w:r>
    </w:p>
    <w:p w14:paraId="18861E09">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(l）资质要求：见投标人须知前附表；</w:t>
      </w:r>
    </w:p>
    <w:p w14:paraId="0FD9081F">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(2）业绩要求：见投标人须知前附表；</w:t>
      </w:r>
    </w:p>
    <w:p w14:paraId="338E9E57">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(3）信誉要求：见投标人须知前附表；</w:t>
      </w:r>
    </w:p>
    <w:p w14:paraId="51748F7E">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项目负责人</w:t>
      </w:r>
      <w:r>
        <w:rPr>
          <w:rFonts w:hint="eastAsia" w:ascii="宋体" w:hAnsi="宋体" w:eastAsia="宋体" w:cs="宋体"/>
          <w:color w:val="auto"/>
          <w:sz w:val="21"/>
          <w:szCs w:val="21"/>
          <w:highlight w:val="none"/>
        </w:rPr>
        <w:t>资格：见投标人须知前附表</w:t>
      </w:r>
      <w:r>
        <w:rPr>
          <w:rFonts w:hint="eastAsia" w:ascii="宋体" w:hAnsi="宋体" w:eastAsia="宋体" w:cs="宋体"/>
          <w:color w:val="auto"/>
          <w:sz w:val="21"/>
          <w:szCs w:val="21"/>
          <w:highlight w:val="none"/>
          <w:lang w:eastAsia="zh-CN"/>
        </w:rPr>
        <w:t>；</w:t>
      </w:r>
    </w:p>
    <w:p w14:paraId="24616BE9">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(5）其他要求：见投标人须知前附表。</w:t>
      </w:r>
    </w:p>
    <w:p w14:paraId="29F09E93">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需要提交的相关证明材料见本章第3.5款的规定。</w:t>
      </w:r>
    </w:p>
    <w:p w14:paraId="0A6ED4DD">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1.4.2投标人须知前附表规定接受联合体投标的，联合体除应符合本章第1.4.1项和投标人须知前附表的要求外，还应遵守以下规定：</w:t>
      </w:r>
    </w:p>
    <w:p w14:paraId="481B55D3">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(1）联合体各方应按招标文件提供的格式签订联合体协议书，明确联合体牵头人和各方权利义务，并承诺就中标项目向招标人承担连带责任；</w:t>
      </w:r>
    </w:p>
    <w:p w14:paraId="6CE64D48">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(2）由同一专业的单位组成的联合体，按照资质等级较低的单位确定资质等级；</w:t>
      </w:r>
    </w:p>
    <w:p w14:paraId="343941CC">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(3）联合体各方不得再以自己名义单独或参加其他联合体在同一标段中投标；</w:t>
      </w:r>
    </w:p>
    <w:p w14:paraId="37C77156">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692E73A">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（5）尽管委任了联合体牵头人，但联合体各成员在投标、签订合同与履行合同过程中，仍负有连带的和各自的法律责任。</w:t>
      </w:r>
    </w:p>
    <w:p w14:paraId="50DF6C55">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1.4.3投标人（包括联合体各成员）不得与本标段相关单位存在下列关联</w:t>
      </w:r>
      <w:r>
        <w:rPr>
          <w:rFonts w:hint="eastAsia" w:ascii="宋体" w:hAnsi="宋体" w:eastAsia="宋体" w:cs="宋体"/>
          <w:color w:val="auto"/>
          <w:sz w:val="21"/>
          <w:szCs w:val="21"/>
          <w:highlight w:val="none"/>
          <w:lang w:val="en-US" w:eastAsia="zh-CN"/>
        </w:rPr>
        <w:t>情形</w:t>
      </w:r>
      <w:r>
        <w:rPr>
          <w:rFonts w:hint="eastAsia" w:ascii="宋体" w:hAnsi="宋体" w:eastAsia="宋体" w:cs="宋体"/>
          <w:color w:val="auto"/>
          <w:sz w:val="21"/>
          <w:szCs w:val="21"/>
          <w:highlight w:val="none"/>
        </w:rPr>
        <w:t>：</w:t>
      </w:r>
    </w:p>
    <w:p w14:paraId="6B847BAB">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(l）为招标人不具有独立法人资格的附属机构（单位）；</w:t>
      </w:r>
    </w:p>
    <w:p w14:paraId="5E90A53B">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(2）与招标人存在利害关系且可能影响招标公正性；</w:t>
      </w:r>
    </w:p>
    <w:p w14:paraId="26F41770">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（3）与本标段的其他投标人同为一个单位负责人；</w:t>
      </w:r>
    </w:p>
    <w:p w14:paraId="5CB22D45">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（4）与本标段的其他投标人存在控股、管理关系；</w:t>
      </w:r>
    </w:p>
    <w:p w14:paraId="1C085E7D">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（5）为本标段的代建人；</w:t>
      </w:r>
    </w:p>
    <w:p w14:paraId="6C513BBE">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（6）为本标段的招标代理机构；</w:t>
      </w:r>
    </w:p>
    <w:p w14:paraId="26DF6D12">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（7）与本标段的代建人或招标代理机构同为一个法定代表人；</w:t>
      </w:r>
    </w:p>
    <w:p w14:paraId="787E9ACD">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（8）与本标段的代建人或招标代理机构存在控股或参股关系；</w:t>
      </w:r>
    </w:p>
    <w:p w14:paraId="48AB2719">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（9）与本标段对应工程的施工承包人以及建筑材料、建筑构配件和设备供应商有隶属关系或其他利害关系；</w:t>
      </w:r>
    </w:p>
    <w:p w14:paraId="37FF48A5">
      <w:pPr>
        <w:keepLines w:val="0"/>
        <w:kinsoku/>
        <w:wordWrap/>
        <w:overflowPunct/>
        <w:topLinePunct w:val="0"/>
        <w:autoSpaceDE/>
        <w:autoSpaceDN/>
        <w:bidi w:val="0"/>
        <w:spacing w:line="3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（10）法律法规或投标人须知前附表规定的其他情形。</w:t>
      </w:r>
    </w:p>
    <w:p w14:paraId="0F6EFDD0">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1.4.4投标人（包括联合体各成员）不得存在下列不良状况或不良信用记录：</w:t>
      </w:r>
    </w:p>
    <w:p w14:paraId="5D232CB3">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（1）被省级及以上交通运输主管部门取消招标项目所在地的投标资格且处于有效期内；</w:t>
      </w:r>
    </w:p>
    <w:p w14:paraId="1ED7AA1E">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（2）被责令停业，暂扣或吊销执照，或吊销资质证书；</w:t>
      </w:r>
    </w:p>
    <w:p w14:paraId="2124B309">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（3）进入清算程序，或被宣告破产，或其他丧失履约能力的情形；</w:t>
      </w:r>
    </w:p>
    <w:p w14:paraId="257E063F">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（4）在国家企业信用信息公示系统（http://www.gsxt.gov.cn/）中被列入严重违法失信企业名单；</w:t>
      </w:r>
    </w:p>
    <w:p w14:paraId="68C53D30">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（5）在“信用中国”网站（http://www.creditchina.gov.cn/）中被列入失信被执行人名单；</w:t>
      </w:r>
    </w:p>
    <w:p w14:paraId="2DDCA2D2">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（6）投标人或其法定代表人、拟委任的</w:t>
      </w:r>
      <w:r>
        <w:rPr>
          <w:rFonts w:hint="eastAsia" w:ascii="宋体" w:hAnsi="宋体" w:eastAsia="宋体" w:cs="宋体"/>
          <w:color w:val="auto"/>
          <w:sz w:val="21"/>
          <w:szCs w:val="21"/>
          <w:highlight w:val="none"/>
          <w:lang w:val="en-US" w:eastAsia="zh-CN"/>
        </w:rPr>
        <w:t>项目负责人</w:t>
      </w:r>
      <w:r>
        <w:rPr>
          <w:rFonts w:hint="eastAsia" w:ascii="宋体" w:hAnsi="宋体" w:eastAsia="宋体" w:cs="宋体"/>
          <w:color w:val="auto"/>
          <w:sz w:val="21"/>
          <w:szCs w:val="21"/>
          <w:highlight w:val="none"/>
        </w:rPr>
        <w:t>在近三年内有行贿犯罪行为的；</w:t>
      </w:r>
    </w:p>
    <w:p w14:paraId="36B83890">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（7）法律法规或投标人须知前附表规定的其他情形。</w:t>
      </w:r>
    </w:p>
    <w:bookmarkEnd w:id="1"/>
    <w:bookmarkEnd w:id="2"/>
    <w:bookmarkEnd w:id="3"/>
    <w:p w14:paraId="3943F173">
      <w:pPr>
        <w:keepNext w:val="0"/>
        <w:keepLines w:val="0"/>
        <w:pageBreakBefore/>
        <w:widowControl w:val="0"/>
        <w:kinsoku/>
        <w:wordWrap/>
        <w:overflowPunct/>
        <w:topLinePunct w:val="0"/>
        <w:autoSpaceDE/>
        <w:autoSpaceDN/>
        <w:bidi w:val="0"/>
        <w:adjustRightInd w:val="0"/>
        <w:snapToGrid w:val="0"/>
        <w:spacing w:beforeLines="100" w:afterLines="100" w:line="360" w:lineRule="exact"/>
        <w:jc w:val="center"/>
        <w:textAlignment w:val="auto"/>
        <w:outlineLvl w:val="1"/>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评标办法（综合评估法）</w:t>
      </w:r>
    </w:p>
    <w:p w14:paraId="214FE532">
      <w:pPr>
        <w:keepLines w:val="0"/>
        <w:kinsoku/>
        <w:wordWrap/>
        <w:overflowPunct/>
        <w:topLinePunct w:val="0"/>
        <w:autoSpaceDE/>
        <w:autoSpaceDN/>
        <w:bidi w:val="0"/>
        <w:spacing w:line="360" w:lineRule="exact"/>
        <w:textAlignment w:val="auto"/>
        <w:outlineLvl w:val="1"/>
        <w:rPr>
          <w:rFonts w:hint="eastAsia" w:ascii="宋体" w:hAnsi="宋体" w:eastAsia="宋体" w:cs="宋体"/>
          <w:b/>
          <w:sz w:val="21"/>
          <w:szCs w:val="21"/>
        </w:rPr>
      </w:pPr>
      <w:bookmarkStart w:id="4" w:name="_Toc26820"/>
      <w:bookmarkStart w:id="5" w:name="_Toc17605"/>
      <w:r>
        <w:rPr>
          <w:rFonts w:hint="eastAsia" w:ascii="宋体" w:hAnsi="宋体" w:eastAsia="宋体" w:cs="宋体"/>
          <w:b/>
          <w:sz w:val="21"/>
          <w:szCs w:val="21"/>
        </w:rPr>
        <w:t>评标办法前附表</w:t>
      </w:r>
      <w:bookmarkEnd w:id="4"/>
      <w:bookmarkEnd w:id="5"/>
    </w:p>
    <w:tbl>
      <w:tblPr>
        <w:tblStyle w:val="11"/>
        <w:tblW w:w="95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27"/>
        <w:gridCol w:w="7076"/>
      </w:tblGrid>
      <w:tr w14:paraId="11F3B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2486" w:type="dxa"/>
            <w:gridSpan w:val="2"/>
            <w:shd w:val="clear" w:color="auto" w:fill="auto"/>
            <w:vAlign w:val="center"/>
          </w:tcPr>
          <w:p w14:paraId="137B4C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sz w:val="21"/>
                <w:szCs w:val="21"/>
              </w:rPr>
            </w:pPr>
            <w:r>
              <w:rPr>
                <w:rStyle w:val="33"/>
                <w:rFonts w:hint="eastAsia" w:ascii="宋体" w:hAnsi="宋体" w:eastAsia="宋体" w:cs="宋体"/>
                <w:b/>
                <w:sz w:val="21"/>
                <w:szCs w:val="21"/>
              </w:rPr>
              <w:t>条款号</w:t>
            </w:r>
          </w:p>
        </w:tc>
        <w:tc>
          <w:tcPr>
            <w:tcW w:w="7076" w:type="dxa"/>
            <w:shd w:val="clear" w:color="auto" w:fill="auto"/>
            <w:vAlign w:val="center"/>
          </w:tcPr>
          <w:p w14:paraId="50F9BAE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sz w:val="21"/>
                <w:szCs w:val="21"/>
              </w:rPr>
            </w:pPr>
            <w:r>
              <w:rPr>
                <w:rStyle w:val="33"/>
                <w:rFonts w:hint="eastAsia" w:ascii="宋体" w:hAnsi="宋体" w:eastAsia="宋体" w:cs="宋体"/>
                <w:b/>
                <w:sz w:val="21"/>
                <w:szCs w:val="21"/>
              </w:rPr>
              <w:t>评审因素与评审标准</w:t>
            </w:r>
          </w:p>
        </w:tc>
      </w:tr>
      <w:tr w14:paraId="5E66F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0E54628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527" w:type="dxa"/>
            <w:shd w:val="clear" w:color="auto" w:fill="auto"/>
            <w:vAlign w:val="center"/>
          </w:tcPr>
          <w:p w14:paraId="63AA0C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评标方法</w:t>
            </w:r>
          </w:p>
        </w:tc>
        <w:tc>
          <w:tcPr>
            <w:tcW w:w="7076" w:type="dxa"/>
            <w:shd w:val="clear" w:color="auto" w:fill="auto"/>
          </w:tcPr>
          <w:p w14:paraId="1ECD5D1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Style w:val="33"/>
                <w:rFonts w:hint="eastAsia" w:ascii="宋体" w:hAnsi="宋体" w:eastAsia="宋体" w:cs="宋体"/>
                <w:sz w:val="21"/>
                <w:szCs w:val="21"/>
                <w:lang w:eastAsia="zh-CN"/>
              </w:rPr>
              <w:t>综合评分相等时，评标委员会依次按照以下优先顺序推荐中标候选人：</w:t>
            </w:r>
          </w:p>
          <w:p w14:paraId="37E8BBC4">
            <w:pPr>
              <w:keepNext w:val="0"/>
              <w:keepLines w:val="0"/>
              <w:pageBreakBefore w:val="0"/>
              <w:widowControl w:val="0"/>
              <w:tabs>
                <w:tab w:val="left" w:pos="1070"/>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Style w:val="33"/>
                <w:rFonts w:hint="eastAsia" w:ascii="宋体" w:hAnsi="宋体" w:eastAsia="宋体" w:cs="宋体"/>
                <w:sz w:val="21"/>
                <w:szCs w:val="21"/>
                <w:lang w:eastAsia="zh-CN"/>
              </w:rPr>
              <w:t>评标价低的投标人优先；</w:t>
            </w:r>
          </w:p>
          <w:p w14:paraId="4917CCE5">
            <w:pPr>
              <w:keepNext w:val="0"/>
              <w:keepLines w:val="0"/>
              <w:pageBreakBefore w:val="0"/>
              <w:widowControl w:val="0"/>
              <w:tabs>
                <w:tab w:val="left" w:pos="1078"/>
              </w:tabs>
              <w:kinsoku/>
              <w:wordWrap/>
              <w:overflowPunct/>
              <w:topLinePunct w:val="0"/>
              <w:autoSpaceDE/>
              <w:autoSpaceDN/>
              <w:bidi w:val="0"/>
              <w:adjustRightInd/>
              <w:snapToGrid/>
              <w:spacing w:line="360" w:lineRule="exact"/>
              <w:ind w:left="420"/>
              <w:textAlignment w:val="auto"/>
              <w:rPr>
                <w:rStyle w:val="33"/>
                <w:rFonts w:hint="eastAsia" w:ascii="宋体" w:hAnsi="宋体" w:eastAsia="宋体" w:cs="宋体"/>
                <w:sz w:val="21"/>
                <w:szCs w:val="21"/>
                <w:lang w:eastAsia="zh-CN"/>
              </w:rPr>
            </w:pPr>
            <w:r>
              <w:rPr>
                <w:rFonts w:hint="eastAsia" w:ascii="宋体" w:hAnsi="宋体" w:eastAsia="宋体" w:cs="宋体"/>
                <w:sz w:val="21"/>
                <w:szCs w:val="21"/>
              </w:rPr>
              <w:t>（2）</w:t>
            </w:r>
            <w:r>
              <w:rPr>
                <w:rStyle w:val="33"/>
                <w:rFonts w:hint="eastAsia" w:ascii="宋体" w:hAnsi="宋体" w:eastAsia="宋体" w:cs="宋体"/>
                <w:sz w:val="21"/>
                <w:szCs w:val="21"/>
                <w:lang w:eastAsia="zh-CN"/>
              </w:rPr>
              <w:t>人员得分较高的投标人优先；</w:t>
            </w:r>
          </w:p>
          <w:p w14:paraId="6A8695CC">
            <w:pPr>
              <w:keepNext w:val="0"/>
              <w:keepLines w:val="0"/>
              <w:pageBreakBefore w:val="0"/>
              <w:widowControl w:val="0"/>
              <w:tabs>
                <w:tab w:val="left" w:pos="1078"/>
              </w:tabs>
              <w:kinsoku/>
              <w:wordWrap/>
              <w:overflowPunct/>
              <w:topLinePunct w:val="0"/>
              <w:autoSpaceDE/>
              <w:autoSpaceDN/>
              <w:bidi w:val="0"/>
              <w:adjustRightInd/>
              <w:snapToGrid/>
              <w:spacing w:line="360" w:lineRule="exact"/>
              <w:ind w:left="420"/>
              <w:textAlignment w:val="auto"/>
              <w:rPr>
                <w:rFonts w:hint="eastAsia" w:ascii="宋体" w:hAnsi="宋体" w:eastAsia="宋体" w:cs="宋体"/>
                <w:sz w:val="21"/>
                <w:szCs w:val="21"/>
              </w:rPr>
            </w:pPr>
            <w:r>
              <w:rPr>
                <w:rFonts w:hint="eastAsia" w:ascii="宋体" w:hAnsi="宋体" w:eastAsia="宋体" w:cs="宋体"/>
                <w:sz w:val="21"/>
                <w:szCs w:val="21"/>
              </w:rPr>
              <w:t>（3）评标委员会投票表决。</w:t>
            </w:r>
          </w:p>
        </w:tc>
      </w:tr>
      <w:tr w14:paraId="20EF1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Merge w:val="restart"/>
            <w:shd w:val="clear" w:color="auto" w:fill="auto"/>
            <w:vAlign w:val="center"/>
          </w:tcPr>
          <w:p w14:paraId="30405756">
            <w:pPr>
              <w:pStyle w:val="18"/>
              <w:keepNext w:val="0"/>
              <w:keepLines w:val="0"/>
              <w:pageBreakBefore w:val="0"/>
              <w:widowControl w:val="0"/>
              <w:shd w:val="clear" w:color="auto" w:fill="auto"/>
              <w:kinsoku/>
              <w:wordWrap/>
              <w:overflowPunct/>
              <w:topLinePunct w:val="0"/>
              <w:autoSpaceDE/>
              <w:autoSpaceDN/>
              <w:bidi w:val="0"/>
              <w:adjustRightInd/>
              <w:snapToGrid/>
              <w:spacing w:before="0" w:line="360" w:lineRule="exact"/>
              <w:jc w:val="center"/>
              <w:textAlignment w:val="auto"/>
              <w:rPr>
                <w:rStyle w:val="33"/>
                <w:rFonts w:hint="eastAsia" w:ascii="宋体" w:hAnsi="宋体" w:eastAsia="宋体" w:cs="宋体"/>
                <w:sz w:val="21"/>
                <w:szCs w:val="21"/>
                <w:lang w:eastAsia="zh-CN"/>
              </w:rPr>
            </w:pPr>
            <w:r>
              <w:rPr>
                <w:rStyle w:val="33"/>
                <w:rFonts w:hint="eastAsia" w:ascii="宋体" w:hAnsi="宋体" w:eastAsia="宋体" w:cs="宋体"/>
                <w:sz w:val="21"/>
                <w:szCs w:val="21"/>
              </w:rPr>
              <w:t>2.1.2</w:t>
            </w:r>
          </w:p>
          <w:p w14:paraId="53D56853">
            <w:pPr>
              <w:pStyle w:val="18"/>
              <w:keepNext w:val="0"/>
              <w:keepLines w:val="0"/>
              <w:pageBreakBefore w:val="0"/>
              <w:widowControl w:val="0"/>
              <w:shd w:val="clear" w:color="auto" w:fill="auto"/>
              <w:kinsoku/>
              <w:wordWrap/>
              <w:overflowPunct/>
              <w:topLinePunct w:val="0"/>
              <w:autoSpaceDE/>
              <w:autoSpaceDN/>
              <w:bidi w:val="0"/>
              <w:adjustRightInd/>
              <w:snapToGrid/>
              <w:spacing w:before="0" w:line="360" w:lineRule="exact"/>
              <w:jc w:val="center"/>
              <w:textAlignment w:val="auto"/>
              <w:rPr>
                <w:rFonts w:hint="eastAsia" w:ascii="宋体" w:hAnsi="宋体" w:eastAsia="宋体" w:cs="宋体"/>
                <w:color w:val="000000"/>
                <w:sz w:val="21"/>
                <w:szCs w:val="21"/>
                <w:shd w:val="clear" w:color="auto" w:fill="FFFFFF"/>
                <w:lang w:bidi="en-US"/>
              </w:rPr>
            </w:pPr>
            <w:r>
              <w:rPr>
                <w:rStyle w:val="33"/>
                <w:rFonts w:hint="eastAsia" w:ascii="宋体" w:hAnsi="宋体" w:eastAsia="宋体" w:cs="宋体"/>
                <w:sz w:val="21"/>
                <w:szCs w:val="21"/>
              </w:rPr>
              <w:t>2.1.</w:t>
            </w:r>
            <w:r>
              <w:rPr>
                <w:rStyle w:val="33"/>
                <w:rFonts w:hint="eastAsia" w:ascii="宋体" w:hAnsi="宋体" w:eastAsia="宋体" w:cs="宋体"/>
                <w:sz w:val="21"/>
                <w:szCs w:val="21"/>
                <w:lang w:eastAsia="zh-CN"/>
              </w:rPr>
              <w:t>3</w:t>
            </w:r>
          </w:p>
        </w:tc>
        <w:tc>
          <w:tcPr>
            <w:tcW w:w="1527" w:type="dxa"/>
            <w:shd w:val="clear" w:color="auto" w:fill="auto"/>
            <w:vAlign w:val="center"/>
          </w:tcPr>
          <w:p w14:paraId="55C13C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第一信封</w:t>
            </w:r>
          </w:p>
          <w:p w14:paraId="463290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形式评审与响应性评审标准</w:t>
            </w:r>
          </w:p>
        </w:tc>
        <w:tc>
          <w:tcPr>
            <w:tcW w:w="7076" w:type="dxa"/>
            <w:shd w:val="clear" w:color="auto" w:fill="auto"/>
          </w:tcPr>
          <w:p w14:paraId="695AA27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lang w:bidi="zh-TW"/>
              </w:rPr>
            </w:pPr>
            <w:r>
              <w:rPr>
                <w:rFonts w:hint="eastAsia" w:ascii="宋体" w:hAnsi="宋体" w:eastAsia="宋体" w:cs="宋体"/>
                <w:b/>
                <w:bCs/>
                <w:sz w:val="21"/>
                <w:szCs w:val="21"/>
                <w:lang w:bidi="zh-TW"/>
              </w:rPr>
              <w:t>第一个信封（商务及技术文件）评审标准：</w:t>
            </w:r>
          </w:p>
          <w:p w14:paraId="31FC7A59">
            <w:pPr>
              <w:keepNext w:val="0"/>
              <w:keepLines w:val="0"/>
              <w:pageBreakBefore w:val="0"/>
              <w:widowControl w:val="0"/>
              <w:tabs>
                <w:tab w:val="left" w:pos="1029"/>
                <w:tab w:val="left" w:pos="1194"/>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（1）投标文件按照招标文件规定的格式、内容填写，字迹清晰可辨：</w:t>
            </w:r>
          </w:p>
          <w:p w14:paraId="372813F6">
            <w:pPr>
              <w:keepNext w:val="0"/>
              <w:keepLines w:val="0"/>
              <w:pageBreakBefore w:val="0"/>
              <w:widowControl w:val="0"/>
              <w:tabs>
                <w:tab w:val="left" w:pos="1029"/>
                <w:tab w:val="left" w:pos="1194"/>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a.投标函按招标文件规定填报了项目名称、标段号、补遗书编号（如有)、服务期限、工程质量要求及安全目标；</w:t>
            </w:r>
          </w:p>
          <w:p w14:paraId="5006E35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b.投标文件组成齐全完整，内容均按规定填写。</w:t>
            </w:r>
          </w:p>
          <w:p w14:paraId="0282B6BF">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（2）投标文件上法定代表人或其委托代理人的签字、投标人的单位章盖章齐全，符合招标文件规定。</w:t>
            </w:r>
          </w:p>
          <w:p w14:paraId="0BA265CE">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（3）投标人按照招标文件的规定提供了投标保证金：</w:t>
            </w:r>
          </w:p>
          <w:p w14:paraId="50A1764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a</w:t>
            </w:r>
            <w:r>
              <w:rPr>
                <w:rFonts w:hint="eastAsia" w:ascii="宋体" w:hAnsi="宋体" w:eastAsia="宋体" w:cs="宋体"/>
                <w:b/>
                <w:bCs/>
                <w:sz w:val="21"/>
                <w:szCs w:val="21"/>
                <w:lang w:bidi="en-US"/>
              </w:rPr>
              <w:t>.</w:t>
            </w:r>
            <w:r>
              <w:rPr>
                <w:rFonts w:hint="eastAsia" w:ascii="宋体" w:hAnsi="宋体" w:eastAsia="宋体" w:cs="宋体"/>
                <w:sz w:val="21"/>
                <w:szCs w:val="21"/>
                <w:lang w:bidi="zh-TW"/>
              </w:rPr>
              <w:t>投标保证金金额符合招标文件规定的金额，且投标保证金有效期不少于投标有效期；</w:t>
            </w:r>
          </w:p>
          <w:p w14:paraId="0EA3AFB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b</w:t>
            </w:r>
            <w:r>
              <w:rPr>
                <w:rFonts w:hint="eastAsia" w:ascii="宋体" w:hAnsi="宋体" w:eastAsia="宋体" w:cs="宋体"/>
                <w:b/>
                <w:bCs/>
                <w:sz w:val="21"/>
                <w:szCs w:val="21"/>
                <w:lang w:bidi="en-US"/>
              </w:rPr>
              <w:t>.</w:t>
            </w:r>
            <w:r>
              <w:rPr>
                <w:rFonts w:hint="eastAsia" w:ascii="宋体" w:hAnsi="宋体" w:eastAsia="宋体" w:cs="宋体"/>
                <w:sz w:val="21"/>
                <w:szCs w:val="21"/>
                <w:lang w:bidi="zh-TW"/>
              </w:rPr>
              <w:t>若投标保证金采用现金或支票形式提交，投标人应在递交投标文件截止时间之前，将投标保证金由投标人的基本账户转入招标人指定账户；</w:t>
            </w:r>
          </w:p>
          <w:p w14:paraId="17F846F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c</w:t>
            </w:r>
            <w:r>
              <w:rPr>
                <w:rFonts w:hint="eastAsia" w:ascii="宋体" w:hAnsi="宋体" w:eastAsia="宋体" w:cs="宋体"/>
                <w:b/>
                <w:bCs/>
                <w:sz w:val="21"/>
                <w:szCs w:val="21"/>
                <w:lang w:bidi="en-US"/>
              </w:rPr>
              <w:t>.</w:t>
            </w:r>
            <w:r>
              <w:rPr>
                <w:rFonts w:hint="eastAsia" w:ascii="宋体" w:hAnsi="宋体" w:eastAsia="宋体" w:cs="宋体"/>
                <w:sz w:val="21"/>
                <w:szCs w:val="21"/>
                <w:lang w:bidi="zh-TW"/>
              </w:rPr>
              <w:t>若投标保证金采用保函形式提交，</w:t>
            </w:r>
            <w:r>
              <w:rPr>
                <w:rFonts w:hint="eastAsia" w:ascii="宋体" w:hAnsi="宋体" w:eastAsia="宋体" w:cs="宋体"/>
                <w:bCs/>
                <w:sz w:val="21"/>
                <w:szCs w:val="21"/>
              </w:rPr>
              <w:t>应满足</w:t>
            </w:r>
            <w:r>
              <w:rPr>
                <w:rFonts w:hint="eastAsia" w:ascii="宋体" w:hAnsi="宋体" w:eastAsia="宋体" w:cs="宋体"/>
                <w:bCs/>
                <w:sz w:val="21"/>
                <w:szCs w:val="21"/>
                <w:lang w:val="en-US" w:eastAsia="zh-CN"/>
              </w:rPr>
              <w:t>招标文件</w:t>
            </w:r>
            <w:r>
              <w:rPr>
                <w:rFonts w:hint="eastAsia" w:ascii="宋体" w:hAnsi="宋体" w:eastAsia="宋体" w:cs="宋体"/>
                <w:bCs/>
                <w:sz w:val="21"/>
                <w:szCs w:val="21"/>
              </w:rPr>
              <w:t>相关要求</w:t>
            </w:r>
            <w:r>
              <w:rPr>
                <w:rFonts w:hint="eastAsia" w:ascii="宋体" w:hAnsi="宋体" w:eastAsia="宋体" w:cs="宋体"/>
                <w:bCs/>
                <w:sz w:val="21"/>
                <w:szCs w:val="21"/>
                <w:lang w:val="zh-CN"/>
              </w:rPr>
              <w:t>。</w:t>
            </w:r>
          </w:p>
          <w:p w14:paraId="58B26EB8">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（4）投标人法定代表人授权委托代理人签署投标文件的，须提交授权委托书，且授权人和被授权人均在授权委托书上签名。</w:t>
            </w:r>
          </w:p>
          <w:p w14:paraId="25BC50DF">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（5）投标人法定代表人亲自签署投标文件的，提供了法定代表人身份证明，且法定代表人在法定代表人身份证明上签名。</w:t>
            </w:r>
          </w:p>
          <w:p w14:paraId="4E0F4B05">
            <w:pPr>
              <w:keepNext w:val="0"/>
              <w:keepLines w:val="0"/>
              <w:pageBreakBefore w:val="0"/>
              <w:widowControl w:val="0"/>
              <w:tabs>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（6）投标人</w:t>
            </w:r>
            <w:r>
              <w:rPr>
                <w:rFonts w:hint="eastAsia" w:ascii="宋体" w:hAnsi="宋体" w:eastAsia="宋体" w:cs="宋体"/>
                <w:sz w:val="21"/>
                <w:szCs w:val="21"/>
                <w:lang w:val="en-US" w:eastAsia="zh-CN" w:bidi="zh-TW"/>
              </w:rPr>
              <w:t>未</w:t>
            </w:r>
            <w:r>
              <w:rPr>
                <w:rFonts w:hint="eastAsia" w:ascii="宋体" w:hAnsi="宋体" w:eastAsia="宋体" w:cs="宋体"/>
                <w:sz w:val="21"/>
                <w:szCs w:val="21"/>
                <w:lang w:bidi="zh-TW"/>
              </w:rPr>
              <w:t>以联合体形式投标。</w:t>
            </w:r>
          </w:p>
          <w:p w14:paraId="6141738E">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（7）同一投标人未提交两个以上不同的投标文件，但招标文件要求提交备选投标的除外。</w:t>
            </w:r>
          </w:p>
          <w:p w14:paraId="2C3D30C9">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（8）投标文件中未出现有关投标报价的内容。</w:t>
            </w:r>
          </w:p>
          <w:p w14:paraId="3DEC0ACA">
            <w:pPr>
              <w:keepNext w:val="0"/>
              <w:keepLines w:val="0"/>
              <w:pageBreakBefore w:val="0"/>
              <w:widowControl w:val="0"/>
              <w:tabs>
                <w:tab w:val="left" w:pos="984"/>
                <w:tab w:val="left" w:pos="1168"/>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highlight w:val="none"/>
                <w:lang w:bidi="zh-TW"/>
              </w:rPr>
            </w:pPr>
            <w:r>
              <w:rPr>
                <w:rFonts w:hint="eastAsia" w:ascii="宋体" w:hAnsi="宋体" w:eastAsia="宋体" w:cs="宋体"/>
                <w:sz w:val="21"/>
                <w:szCs w:val="21"/>
                <w:highlight w:val="none"/>
                <w:lang w:bidi="zh-TW"/>
              </w:rPr>
              <w:t>（9）投标文件载明的招标项目完成期限</w:t>
            </w:r>
            <w:r>
              <w:rPr>
                <w:rFonts w:hint="eastAsia" w:ascii="宋体" w:hAnsi="宋体" w:eastAsia="宋体" w:cs="宋体"/>
                <w:sz w:val="21"/>
                <w:szCs w:val="21"/>
                <w:highlight w:val="none"/>
                <w:lang w:val="en-US" w:eastAsia="zh-CN" w:bidi="zh-TW"/>
              </w:rPr>
              <w:t>符合</w:t>
            </w:r>
            <w:r>
              <w:rPr>
                <w:rFonts w:hint="eastAsia" w:ascii="宋体" w:hAnsi="宋体" w:eastAsia="宋体" w:cs="宋体"/>
                <w:sz w:val="21"/>
                <w:szCs w:val="21"/>
                <w:highlight w:val="none"/>
                <w:lang w:bidi="zh-TW"/>
              </w:rPr>
              <w:t>招标文件规定。</w:t>
            </w:r>
          </w:p>
          <w:p w14:paraId="0C2FF89B">
            <w:pPr>
              <w:keepNext w:val="0"/>
              <w:keepLines w:val="0"/>
              <w:pageBreakBefore w:val="0"/>
              <w:widowControl w:val="0"/>
              <w:tabs>
                <w:tab w:val="left" w:pos="1168"/>
                <w:tab w:val="left" w:pos="1310"/>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（10）投标文件对招标文件的实质性要求和条件作出响应。</w:t>
            </w:r>
          </w:p>
          <w:p w14:paraId="17B57253">
            <w:pPr>
              <w:keepNext w:val="0"/>
              <w:keepLines w:val="0"/>
              <w:pageBreakBefore w:val="0"/>
              <w:widowControl w:val="0"/>
              <w:tabs>
                <w:tab w:val="left" w:pos="1168"/>
                <w:tab w:val="left" w:pos="1310"/>
              </w:tabs>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bidi="zh-TW"/>
              </w:rPr>
              <w:t>（11）权</w:t>
            </w:r>
            <w:r>
              <w:rPr>
                <w:rFonts w:hint="eastAsia" w:ascii="宋体" w:hAnsi="宋体" w:eastAsia="宋体" w:cs="宋体"/>
                <w:sz w:val="21"/>
                <w:szCs w:val="21"/>
              </w:rPr>
              <w:t>利义务符合招标文件规定：</w:t>
            </w:r>
          </w:p>
          <w:p w14:paraId="78D53FAA">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a.投标人应接受招标文件规定的风险划分原则，未提出新的风险划分办法；</w:t>
            </w:r>
          </w:p>
          <w:p w14:paraId="2310D4B7">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b.投标人未增加委托人的责任范围，或减少投标人义务；</w:t>
            </w:r>
          </w:p>
          <w:p w14:paraId="2278715F">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c.投标人未提出不同的支付办法；</w:t>
            </w:r>
          </w:p>
          <w:p w14:paraId="6BA7BC0D">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d.投标人对合同纠纷、事故处理办法未提出异议；</w:t>
            </w:r>
          </w:p>
          <w:p w14:paraId="094A636B">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e.投标人在投标活动中无欺诈行为；</w:t>
            </w:r>
          </w:p>
          <w:p w14:paraId="3C4FADCF">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f.投标人未对合同条款有重要保留。</w:t>
            </w:r>
          </w:p>
        </w:tc>
      </w:tr>
      <w:tr w14:paraId="369B83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Merge w:val="continue"/>
            <w:shd w:val="clear" w:color="auto" w:fill="auto"/>
            <w:vAlign w:val="center"/>
          </w:tcPr>
          <w:p w14:paraId="594A2C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p>
        </w:tc>
        <w:tc>
          <w:tcPr>
            <w:tcW w:w="1527" w:type="dxa"/>
            <w:shd w:val="clear" w:color="auto" w:fill="auto"/>
            <w:vAlign w:val="center"/>
          </w:tcPr>
          <w:p w14:paraId="3DFC9D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zh-TW"/>
              </w:rPr>
              <w:t>第二信封</w:t>
            </w:r>
          </w:p>
          <w:p w14:paraId="139809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bidi="zh-TW"/>
              </w:rPr>
              <w:t>形式评审与响应性评审标准</w:t>
            </w:r>
          </w:p>
        </w:tc>
        <w:tc>
          <w:tcPr>
            <w:tcW w:w="7076" w:type="dxa"/>
            <w:shd w:val="clear" w:color="auto" w:fill="auto"/>
          </w:tcPr>
          <w:p w14:paraId="4C6D28DF">
            <w:pPr>
              <w:keepNext w:val="0"/>
              <w:keepLines w:val="0"/>
              <w:pageBreakBefore w:val="0"/>
              <w:widowControl w:val="0"/>
              <w:kinsoku/>
              <w:wordWrap/>
              <w:overflowPunct/>
              <w:topLinePunct w:val="0"/>
              <w:autoSpaceDE/>
              <w:autoSpaceDN/>
              <w:bidi w:val="0"/>
              <w:adjustRightInd/>
              <w:snapToGrid/>
              <w:spacing w:line="360" w:lineRule="exact"/>
              <w:ind w:firstLine="413" w:firstLineChars="196"/>
              <w:textAlignment w:val="auto"/>
              <w:rPr>
                <w:rFonts w:hint="eastAsia" w:ascii="宋体" w:hAnsi="宋体" w:eastAsia="宋体" w:cs="宋体"/>
                <w:b/>
                <w:sz w:val="21"/>
                <w:szCs w:val="21"/>
                <w:lang w:bidi="zh-TW"/>
              </w:rPr>
            </w:pPr>
            <w:r>
              <w:rPr>
                <w:rFonts w:hint="eastAsia" w:ascii="宋体" w:hAnsi="宋体" w:eastAsia="宋体" w:cs="宋体"/>
                <w:b/>
                <w:sz w:val="21"/>
                <w:szCs w:val="21"/>
                <w:lang w:bidi="en-US"/>
              </w:rPr>
              <w:t>第二个信封（报价文件）评审标准：</w:t>
            </w:r>
          </w:p>
          <w:p w14:paraId="1A2C2DA2">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（1）投标文件按照招标文件规定的格式、内容填写，字迹清晰可辨，内容齐全完整：</w:t>
            </w:r>
          </w:p>
          <w:p w14:paraId="32DDBAAB">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a.投标函按招标文件规定填报了项目名称、标段号、补遗书编号（如有）、投标价（包括大写金额和小写金额）；</w:t>
            </w:r>
          </w:p>
          <w:p w14:paraId="3F782CF6">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b.已标价报价清单说明文字与招标文件规定一致，未进行实质性修改和删减；</w:t>
            </w:r>
          </w:p>
          <w:p w14:paraId="670E9290">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c.投标文件组成齐全完整，内容均按规定填写。</w:t>
            </w:r>
          </w:p>
          <w:p w14:paraId="00D53A2F">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（2）投标文件上法定代表人或其委托代理人的签字、投标人的单位章盖章齐全，符合招标文件规定。</w:t>
            </w:r>
          </w:p>
          <w:p w14:paraId="1890D366">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（3）投标报价未超过招标文件设定的最高投标限价。</w:t>
            </w:r>
          </w:p>
          <w:p w14:paraId="2541281A">
            <w:pPr>
              <w:keepNext w:val="0"/>
              <w:keepLines w:val="0"/>
              <w:pageBreakBefore w:val="0"/>
              <w:widowControl w:val="0"/>
              <w:kinsoku/>
              <w:wordWrap/>
              <w:overflowPunct/>
              <w:topLinePunct w:val="0"/>
              <w:autoSpaceDE/>
              <w:autoSpaceDN/>
              <w:bidi w:val="0"/>
              <w:adjustRightInd/>
              <w:snapToGrid/>
              <w:spacing w:line="360" w:lineRule="exact"/>
              <w:ind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（4）投标报价的大写金额能够确定具体数值。</w:t>
            </w:r>
          </w:p>
          <w:p w14:paraId="56642F80">
            <w:pPr>
              <w:keepNext w:val="0"/>
              <w:keepLines w:val="0"/>
              <w:pageBreakBefore w:val="0"/>
              <w:widowControl w:val="0"/>
              <w:tabs>
                <w:tab w:val="left" w:pos="756"/>
                <w:tab w:val="left" w:pos="1131"/>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lang w:bidi="zh-TW"/>
              </w:rPr>
            </w:pPr>
            <w:r>
              <w:rPr>
                <w:rFonts w:hint="eastAsia" w:ascii="宋体" w:hAnsi="宋体" w:eastAsia="宋体" w:cs="宋体"/>
                <w:sz w:val="21"/>
                <w:szCs w:val="21"/>
              </w:rPr>
              <w:t>（5）同一投标人未提交两个以上不同的投标报价，但招标文件要求提交备选投标的除外。</w:t>
            </w:r>
          </w:p>
        </w:tc>
      </w:tr>
      <w:tr w14:paraId="44DA6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73C941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3"/>
                <w:rFonts w:hint="eastAsia" w:ascii="宋体" w:hAnsi="宋体" w:eastAsia="宋体" w:cs="宋体"/>
                <w:sz w:val="21"/>
                <w:szCs w:val="21"/>
              </w:rPr>
              <w:t>2.1.2</w:t>
            </w:r>
          </w:p>
        </w:tc>
        <w:tc>
          <w:tcPr>
            <w:tcW w:w="1527" w:type="dxa"/>
            <w:shd w:val="clear" w:color="auto" w:fill="auto"/>
            <w:vAlign w:val="center"/>
          </w:tcPr>
          <w:p w14:paraId="6FF993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资格</w:t>
            </w:r>
          </w:p>
          <w:p w14:paraId="4A984C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en-US"/>
              </w:rPr>
            </w:pPr>
            <w:r>
              <w:rPr>
                <w:rFonts w:hint="eastAsia" w:ascii="宋体" w:hAnsi="宋体" w:eastAsia="宋体" w:cs="宋体"/>
                <w:sz w:val="21"/>
                <w:szCs w:val="21"/>
              </w:rPr>
              <w:t>评审标准</w:t>
            </w:r>
          </w:p>
        </w:tc>
        <w:tc>
          <w:tcPr>
            <w:tcW w:w="7076" w:type="dxa"/>
            <w:shd w:val="clear" w:color="auto" w:fill="auto"/>
          </w:tcPr>
          <w:p w14:paraId="71E47F62">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（1）投标人具备有效的营业执照、资质证书和基本账户开户证明材料。</w:t>
            </w:r>
          </w:p>
          <w:p w14:paraId="5F4159D8">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（2）投标人的资质等级符合招标文件规定。</w:t>
            </w:r>
          </w:p>
          <w:p w14:paraId="0BA35B2C">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（3）投标人的类似项目业绩符合招标文件规定。</w:t>
            </w:r>
          </w:p>
          <w:p w14:paraId="7B80E6C9">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（4）投标人的信誉符合招标文件规定。</w:t>
            </w:r>
          </w:p>
          <w:p w14:paraId="6251C156">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（5）投标人的</w:t>
            </w:r>
            <w:r>
              <w:rPr>
                <w:rFonts w:hint="eastAsia" w:ascii="宋体" w:hAnsi="宋体" w:eastAsia="宋体" w:cs="宋体"/>
                <w:sz w:val="21"/>
                <w:szCs w:val="21"/>
                <w:lang w:val="en-US" w:eastAsia="zh-CN"/>
              </w:rPr>
              <w:t>项目负责人</w:t>
            </w:r>
            <w:r>
              <w:rPr>
                <w:rFonts w:hint="eastAsia" w:ascii="宋体" w:hAnsi="宋体" w:eastAsia="宋体" w:cs="宋体"/>
                <w:sz w:val="21"/>
                <w:szCs w:val="21"/>
              </w:rPr>
              <w:t>资格、在岗情况符合招标文件规定。</w:t>
            </w:r>
          </w:p>
          <w:p w14:paraId="16D5A30E">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（6）投标人不存在第二章“投标人须知”第1.4.3项或第1.4.4项规定的任何一种情形。</w:t>
            </w:r>
          </w:p>
          <w:p w14:paraId="25BFF7A2">
            <w:pPr>
              <w:keepNext w:val="0"/>
              <w:keepLines w:val="0"/>
              <w:pageBreakBefore w:val="0"/>
              <w:widowControl w:val="0"/>
              <w:kinsoku/>
              <w:wordWrap/>
              <w:overflowPunct/>
              <w:topLinePunct w:val="0"/>
              <w:autoSpaceDE/>
              <w:autoSpaceDN/>
              <w:bidi w:val="0"/>
              <w:adjustRightInd/>
              <w:snapToGrid/>
              <w:spacing w:line="360" w:lineRule="exact"/>
              <w:ind w:left="113" w:right="113"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（7）投标人符合第二章“投标人须知”第1.4.5项规定。</w:t>
            </w:r>
            <w:r>
              <w:rPr>
                <w:rFonts w:hint="eastAsia" w:ascii="宋体" w:hAnsi="宋体" w:eastAsia="宋体" w:cs="宋体"/>
                <w:sz w:val="21"/>
                <w:szCs w:val="21"/>
                <w:vertAlign w:val="superscript"/>
              </w:rPr>
              <w:footnoteReference w:id="0"/>
            </w:r>
          </w:p>
        </w:tc>
      </w:tr>
      <w:tr w14:paraId="4F941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00115A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4"/>
                <w:rFonts w:hint="eastAsia" w:ascii="宋体" w:hAnsi="宋体" w:eastAsia="宋体" w:cs="宋体"/>
                <w:sz w:val="21"/>
                <w:szCs w:val="21"/>
              </w:rPr>
              <w:t>2</w:t>
            </w:r>
            <w:r>
              <w:rPr>
                <w:rStyle w:val="35"/>
                <w:rFonts w:hint="eastAsia" w:ascii="宋体" w:hAnsi="宋体" w:eastAsia="宋体" w:cs="宋体"/>
                <w:sz w:val="21"/>
                <w:szCs w:val="21"/>
              </w:rPr>
              <w:t>.</w:t>
            </w:r>
            <w:r>
              <w:rPr>
                <w:rStyle w:val="34"/>
                <w:rFonts w:hint="eastAsia" w:ascii="宋体" w:hAnsi="宋体" w:eastAsia="宋体" w:cs="宋体"/>
                <w:sz w:val="21"/>
                <w:szCs w:val="21"/>
              </w:rPr>
              <w:t>2.1</w:t>
            </w:r>
          </w:p>
        </w:tc>
        <w:tc>
          <w:tcPr>
            <w:tcW w:w="1527" w:type="dxa"/>
            <w:shd w:val="clear" w:color="auto" w:fill="auto"/>
            <w:vAlign w:val="center"/>
          </w:tcPr>
          <w:p w14:paraId="490C35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en-US"/>
              </w:rPr>
            </w:pPr>
            <w:r>
              <w:rPr>
                <w:rFonts w:hint="eastAsia" w:ascii="宋体" w:hAnsi="宋体" w:eastAsia="宋体" w:cs="宋体"/>
                <w:sz w:val="21"/>
                <w:szCs w:val="21"/>
                <w:lang w:bidi="en-US"/>
              </w:rPr>
              <w:t>分值构成</w:t>
            </w:r>
          </w:p>
          <w:p w14:paraId="45EF8C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bidi="zh-TW"/>
              </w:rPr>
            </w:pPr>
            <w:r>
              <w:rPr>
                <w:rFonts w:hint="eastAsia" w:ascii="宋体" w:hAnsi="宋体" w:eastAsia="宋体" w:cs="宋体"/>
                <w:sz w:val="21"/>
                <w:szCs w:val="21"/>
                <w:lang w:bidi="en-US"/>
              </w:rPr>
              <w:t>(总100分）</w:t>
            </w:r>
          </w:p>
        </w:tc>
        <w:tc>
          <w:tcPr>
            <w:tcW w:w="7076" w:type="dxa"/>
            <w:shd w:val="clear" w:color="auto" w:fill="auto"/>
          </w:tcPr>
          <w:p w14:paraId="2D907DE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sz w:val="21"/>
                <w:szCs w:val="21"/>
                <w:lang w:bidi="zh-TW"/>
              </w:rPr>
            </w:pPr>
            <w:r>
              <w:rPr>
                <w:rFonts w:hint="eastAsia" w:ascii="宋体" w:hAnsi="宋体" w:eastAsia="宋体" w:cs="宋体"/>
                <w:b/>
                <w:sz w:val="21"/>
                <w:szCs w:val="21"/>
                <w:lang w:bidi="en-US"/>
              </w:rPr>
              <w:t>第一个信封（商务及技术文件）评分分值构成：</w:t>
            </w:r>
          </w:p>
          <w:p w14:paraId="2BD60BA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u w:val="none"/>
                <w:lang w:bidi="en-US"/>
              </w:rPr>
            </w:pPr>
            <w:r>
              <w:rPr>
                <w:rFonts w:hint="eastAsia" w:ascii="宋体" w:hAnsi="宋体" w:eastAsia="宋体" w:cs="宋体"/>
                <w:sz w:val="21"/>
                <w:szCs w:val="21"/>
                <w:highlight w:val="none"/>
                <w:lang w:val="en-US" w:eastAsia="zh-CN" w:bidi="en-US"/>
              </w:rPr>
              <w:t>服务方案</w:t>
            </w:r>
            <w:r>
              <w:rPr>
                <w:rFonts w:hint="eastAsia" w:ascii="宋体" w:hAnsi="宋体" w:eastAsia="宋体" w:cs="宋体"/>
                <w:sz w:val="21"/>
                <w:szCs w:val="21"/>
                <w:highlight w:val="none"/>
                <w:lang w:bidi="en-US"/>
              </w:rPr>
              <w:t>：</w:t>
            </w:r>
            <w:r>
              <w:rPr>
                <w:rFonts w:hint="eastAsia" w:ascii="宋体" w:hAnsi="宋体" w:eastAsia="宋体" w:cs="宋体"/>
                <w:sz w:val="21"/>
                <w:szCs w:val="21"/>
                <w:highlight w:val="none"/>
                <w:u w:val="none"/>
                <w:lang w:val="en-US" w:eastAsia="zh-CN" w:bidi="en-US"/>
              </w:rPr>
              <w:t>35</w:t>
            </w:r>
            <w:r>
              <w:rPr>
                <w:rFonts w:hint="eastAsia" w:ascii="宋体" w:hAnsi="宋体" w:eastAsia="宋体" w:cs="宋体"/>
                <w:sz w:val="21"/>
                <w:szCs w:val="21"/>
                <w:highlight w:val="none"/>
                <w:u w:val="none"/>
                <w:lang w:bidi="en-US"/>
              </w:rPr>
              <w:t>分</w:t>
            </w:r>
          </w:p>
          <w:p w14:paraId="105262F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u w:val="none"/>
                <w:lang w:bidi="en-US"/>
              </w:rPr>
            </w:pPr>
            <w:r>
              <w:rPr>
                <w:rFonts w:hint="eastAsia" w:ascii="宋体" w:hAnsi="宋体" w:eastAsia="宋体" w:cs="宋体"/>
                <w:sz w:val="21"/>
                <w:szCs w:val="21"/>
                <w:highlight w:val="none"/>
                <w:u w:val="none"/>
                <w:lang w:bidi="en-US"/>
              </w:rPr>
              <w:t>主要人员：25分</w:t>
            </w:r>
          </w:p>
          <w:p w14:paraId="39FF02A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u w:val="none"/>
                <w:lang w:bidi="en-US"/>
              </w:rPr>
            </w:pPr>
            <w:r>
              <w:rPr>
                <w:rFonts w:hint="eastAsia" w:ascii="宋体" w:hAnsi="宋体" w:eastAsia="宋体" w:cs="宋体"/>
                <w:sz w:val="21"/>
                <w:szCs w:val="21"/>
                <w:highlight w:val="none"/>
                <w:u w:val="none"/>
                <w:lang w:bidi="en-US"/>
              </w:rPr>
              <w:t>业绩：2</w:t>
            </w:r>
            <w:r>
              <w:rPr>
                <w:rFonts w:hint="eastAsia" w:ascii="宋体" w:hAnsi="宋体" w:eastAsia="宋体" w:cs="宋体"/>
                <w:sz w:val="21"/>
                <w:szCs w:val="21"/>
                <w:highlight w:val="none"/>
                <w:u w:val="none"/>
                <w:lang w:val="en-US" w:eastAsia="zh-CN" w:bidi="en-US"/>
              </w:rPr>
              <w:t>5</w:t>
            </w:r>
            <w:r>
              <w:rPr>
                <w:rFonts w:hint="eastAsia" w:ascii="宋体" w:hAnsi="宋体" w:eastAsia="宋体" w:cs="宋体"/>
                <w:sz w:val="21"/>
                <w:szCs w:val="21"/>
                <w:highlight w:val="none"/>
                <w:u w:val="none"/>
                <w:lang w:bidi="en-US"/>
              </w:rPr>
              <w:t>分</w:t>
            </w:r>
          </w:p>
          <w:p w14:paraId="53DA332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highlight w:val="none"/>
                <w:u w:val="none"/>
                <w:lang w:bidi="en-US"/>
              </w:rPr>
            </w:pPr>
            <w:r>
              <w:rPr>
                <w:rFonts w:hint="eastAsia" w:ascii="宋体" w:hAnsi="宋体" w:eastAsia="宋体" w:cs="宋体"/>
                <w:sz w:val="21"/>
                <w:szCs w:val="21"/>
                <w:highlight w:val="none"/>
                <w:u w:val="none"/>
                <w:lang w:val="en-US" w:eastAsia="zh-CN" w:bidi="en-US"/>
              </w:rPr>
              <w:t>技术能力</w:t>
            </w:r>
            <w:r>
              <w:rPr>
                <w:rFonts w:hint="eastAsia" w:ascii="宋体" w:hAnsi="宋体" w:eastAsia="宋体" w:cs="宋体"/>
                <w:sz w:val="21"/>
                <w:szCs w:val="21"/>
                <w:highlight w:val="none"/>
                <w:u w:val="none"/>
                <w:lang w:bidi="en-US"/>
              </w:rPr>
              <w:t>：</w:t>
            </w:r>
            <w:r>
              <w:rPr>
                <w:rFonts w:hint="eastAsia" w:ascii="宋体" w:hAnsi="宋体" w:eastAsia="宋体" w:cs="宋体"/>
                <w:sz w:val="21"/>
                <w:szCs w:val="21"/>
                <w:highlight w:val="none"/>
                <w:u w:val="none"/>
                <w:lang w:val="en-US" w:eastAsia="zh-CN" w:bidi="en-US"/>
              </w:rPr>
              <w:t>5</w:t>
            </w:r>
            <w:r>
              <w:rPr>
                <w:rFonts w:hint="eastAsia" w:ascii="宋体" w:hAnsi="宋体" w:eastAsia="宋体" w:cs="宋体"/>
                <w:sz w:val="21"/>
                <w:szCs w:val="21"/>
                <w:highlight w:val="none"/>
                <w:u w:val="none"/>
                <w:lang w:bidi="en-US"/>
              </w:rPr>
              <w:t>分</w:t>
            </w:r>
          </w:p>
          <w:p w14:paraId="0891A302">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sz w:val="21"/>
                <w:szCs w:val="21"/>
                <w:u w:val="none"/>
                <w:lang w:bidi="en-US"/>
              </w:rPr>
            </w:pPr>
            <w:r>
              <w:rPr>
                <w:rFonts w:hint="eastAsia" w:ascii="宋体" w:hAnsi="宋体" w:eastAsia="宋体" w:cs="宋体"/>
                <w:b/>
                <w:sz w:val="21"/>
                <w:szCs w:val="21"/>
                <w:u w:val="none"/>
                <w:lang w:bidi="en-US"/>
              </w:rPr>
              <w:t>第二个信封（报价文件）评分分值构成：</w:t>
            </w:r>
          </w:p>
          <w:p w14:paraId="0B761D8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u w:val="none"/>
                <w:lang w:bidi="en-US"/>
              </w:rPr>
              <w:t>评标价：10分</w:t>
            </w:r>
          </w:p>
        </w:tc>
      </w:tr>
      <w:tr w14:paraId="4E4E25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9" w:type="dxa"/>
            <w:shd w:val="clear" w:color="auto" w:fill="auto"/>
            <w:vAlign w:val="center"/>
          </w:tcPr>
          <w:p w14:paraId="7373B1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4"/>
                <w:rFonts w:hint="eastAsia" w:ascii="宋体" w:hAnsi="宋体" w:eastAsia="宋体" w:cs="宋体"/>
                <w:sz w:val="21"/>
                <w:szCs w:val="21"/>
              </w:rPr>
              <w:t>2</w:t>
            </w:r>
            <w:r>
              <w:rPr>
                <w:rStyle w:val="35"/>
                <w:rFonts w:hint="eastAsia" w:ascii="宋体" w:hAnsi="宋体" w:eastAsia="宋体" w:cs="宋体"/>
                <w:sz w:val="21"/>
                <w:szCs w:val="21"/>
              </w:rPr>
              <w:t>.</w:t>
            </w:r>
            <w:r>
              <w:rPr>
                <w:rStyle w:val="34"/>
                <w:rFonts w:hint="eastAsia" w:ascii="宋体" w:hAnsi="宋体" w:eastAsia="宋体" w:cs="宋体"/>
                <w:sz w:val="21"/>
                <w:szCs w:val="21"/>
              </w:rPr>
              <w:t>2.2</w:t>
            </w:r>
          </w:p>
        </w:tc>
        <w:tc>
          <w:tcPr>
            <w:tcW w:w="1527" w:type="dxa"/>
            <w:shd w:val="clear" w:color="auto" w:fill="auto"/>
            <w:vAlign w:val="center"/>
          </w:tcPr>
          <w:p w14:paraId="6740AE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评标基准价计算方法</w:t>
            </w:r>
          </w:p>
        </w:tc>
        <w:tc>
          <w:tcPr>
            <w:tcW w:w="7076" w:type="dxa"/>
            <w:shd w:val="clear" w:color="auto" w:fill="auto"/>
          </w:tcPr>
          <w:p w14:paraId="081F3381">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评标基准价的计算：</w:t>
            </w:r>
          </w:p>
          <w:p w14:paraId="4469B2DC">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在开标现场，招标人将当场计算并宣布评标基准价。</w:t>
            </w:r>
          </w:p>
          <w:p w14:paraId="3F967C69">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（1）评标价的确定：</w:t>
            </w:r>
          </w:p>
          <w:p w14:paraId="3B3BB6C7">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评标价=投标函文字报价</w:t>
            </w:r>
          </w:p>
          <w:p w14:paraId="1FAAB14C">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315" w:firstLineChars="150"/>
              <w:textAlignment w:val="auto"/>
              <w:rPr>
                <w:rFonts w:hint="eastAsia" w:ascii="宋体" w:hAnsi="宋体" w:eastAsia="宋体" w:cs="宋体"/>
                <w:sz w:val="21"/>
                <w:szCs w:val="21"/>
              </w:rPr>
            </w:pPr>
            <w:r>
              <w:rPr>
                <w:rFonts w:hint="eastAsia" w:ascii="宋体" w:hAnsi="宋体" w:eastAsia="宋体" w:cs="宋体"/>
                <w:sz w:val="21"/>
                <w:szCs w:val="21"/>
              </w:rPr>
              <w:t>（2）评标价平均值的计算：</w:t>
            </w:r>
          </w:p>
          <w:p w14:paraId="562DA2D9">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除按第二章“投标人须知”第5.2.4项规定开标现场被宣布为不参与评标基准价计算的投标报价之外，所有投标人的评标价去掉一个最高值和一个最低值后的算术平均值即为评标价平均值</w:t>
            </w:r>
            <w:r>
              <w:rPr>
                <w:rFonts w:hint="eastAsia" w:ascii="宋体" w:hAnsi="宋体" w:eastAsia="宋体" w:cs="宋体"/>
                <w:bCs/>
                <w:sz w:val="21"/>
                <w:szCs w:val="21"/>
              </w:rPr>
              <w:t>（如果参与评标价平均值计算的有效投标人少于5家时，则计算评标价平均值时不去掉最高值和最低值），评标价平均值的计算保留整数，小数点后第1位“四舍五入”。</w:t>
            </w:r>
          </w:p>
          <w:p w14:paraId="2B880911">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（3）评标基准价的确定：</w:t>
            </w:r>
          </w:p>
          <w:p w14:paraId="273AF41A">
            <w:pPr>
              <w:keepNext w:val="0"/>
              <w:keepLines w:val="0"/>
              <w:pageBreakBefore w:val="0"/>
              <w:widowControl w:val="0"/>
              <w:kinsoku/>
              <w:wordWrap/>
              <w:overflowPunct/>
              <w:topLinePunct w:val="0"/>
              <w:autoSpaceDE/>
              <w:autoSpaceDN/>
              <w:bidi w:val="0"/>
              <w:adjustRightInd/>
              <w:snapToGrid/>
              <w:spacing w:line="360" w:lineRule="exact"/>
              <w:ind w:left="113" w:leftChars="54" w:right="113"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将评标价平均值直接作为评标基准价。</w:t>
            </w:r>
          </w:p>
          <w:p w14:paraId="2667F72A">
            <w:pPr>
              <w:keepNext w:val="0"/>
              <w:keepLines w:val="0"/>
              <w:pageBreakBefore w:val="0"/>
              <w:widowControl w:val="0"/>
              <w:kinsoku/>
              <w:wordWrap/>
              <w:overflowPunct/>
              <w:topLinePunct w:val="0"/>
              <w:autoSpaceDE/>
              <w:autoSpaceDN/>
              <w:bidi w:val="0"/>
              <w:adjustRightInd/>
              <w:snapToGrid/>
              <w:spacing w:line="360" w:lineRule="exact"/>
              <w:ind w:firstLine="455" w:firstLineChars="217"/>
              <w:textAlignment w:val="auto"/>
              <w:rPr>
                <w:rFonts w:hint="eastAsia" w:ascii="宋体" w:hAnsi="宋体" w:eastAsia="宋体" w:cs="宋体"/>
                <w:sz w:val="21"/>
                <w:szCs w:val="21"/>
              </w:rPr>
            </w:pPr>
            <w:r>
              <w:rPr>
                <w:rFonts w:hint="eastAsia" w:ascii="宋体" w:hAnsi="宋体" w:eastAsia="宋体" w:cs="宋体"/>
                <w:sz w:val="21"/>
                <w:szCs w:val="21"/>
              </w:rPr>
              <w:t>在评标过程中，评标委员会应对计算的评标基准价进行复核，存在计算错误的应予以修正并在评标报告中作出说明。除此之外，评标基准价在整个评标期间保持不变，不随任何因素发生变化。</w:t>
            </w:r>
          </w:p>
        </w:tc>
      </w:tr>
      <w:tr w14:paraId="378468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shd w:val="clear" w:color="auto" w:fill="auto"/>
            <w:vAlign w:val="center"/>
          </w:tcPr>
          <w:p w14:paraId="728437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rPr>
            </w:pPr>
            <w:r>
              <w:rPr>
                <w:rStyle w:val="34"/>
                <w:rFonts w:hint="eastAsia" w:ascii="宋体" w:hAnsi="宋体" w:eastAsia="宋体" w:cs="宋体"/>
                <w:sz w:val="21"/>
                <w:szCs w:val="21"/>
                <w:lang w:eastAsia="zh-CN" w:bidi="ar-SA"/>
              </w:rPr>
              <w:t>2.2.3</w:t>
            </w:r>
          </w:p>
        </w:tc>
        <w:tc>
          <w:tcPr>
            <w:tcW w:w="1527" w:type="dxa"/>
            <w:shd w:val="clear" w:color="auto" w:fill="auto"/>
            <w:vAlign w:val="center"/>
          </w:tcPr>
          <w:p w14:paraId="6B97905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评标价的偏差率计算公式</w:t>
            </w:r>
          </w:p>
        </w:tc>
        <w:tc>
          <w:tcPr>
            <w:tcW w:w="7076" w:type="dxa"/>
            <w:shd w:val="clear" w:color="auto" w:fill="auto"/>
          </w:tcPr>
          <w:p w14:paraId="1F8B512C">
            <w:pPr>
              <w:keepNext w:val="0"/>
              <w:keepLines w:val="0"/>
              <w:pageBreakBefore w:val="0"/>
              <w:widowControl w:val="0"/>
              <w:kinsoku/>
              <w:wordWrap/>
              <w:overflowPunct/>
              <w:topLinePunct w:val="0"/>
              <w:autoSpaceDE/>
              <w:autoSpaceDN/>
              <w:bidi w:val="0"/>
              <w:adjustRightInd/>
              <w:snapToGrid/>
              <w:spacing w:line="360" w:lineRule="exact"/>
              <w:ind w:left="50"/>
              <w:textAlignment w:val="auto"/>
              <w:rPr>
                <w:rFonts w:hint="eastAsia" w:ascii="宋体" w:hAnsi="宋体" w:eastAsia="宋体" w:cs="宋体"/>
                <w:sz w:val="21"/>
                <w:szCs w:val="21"/>
              </w:rPr>
            </w:pPr>
            <w:r>
              <w:rPr>
                <w:rFonts w:hint="eastAsia" w:ascii="宋体" w:hAnsi="宋体" w:eastAsia="宋体" w:cs="宋体"/>
                <w:sz w:val="21"/>
                <w:szCs w:val="21"/>
              </w:rPr>
              <w:t>偏差率=100%×</w:t>
            </w:r>
            <w:r>
              <w:rPr>
                <w:rFonts w:hint="eastAsia" w:ascii="宋体" w:hAnsi="宋体" w:eastAsia="宋体" w:cs="宋体"/>
                <w:sz w:val="21"/>
                <w:szCs w:val="21"/>
                <w:lang w:eastAsia="zh-CN"/>
              </w:rPr>
              <w:t>（投标人评标价</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评标基准价）</w:t>
            </w:r>
            <w:r>
              <w:rPr>
                <w:rFonts w:hint="eastAsia" w:ascii="宋体" w:hAnsi="宋体" w:eastAsia="宋体" w:cs="宋体"/>
                <w:sz w:val="21"/>
                <w:szCs w:val="21"/>
              </w:rPr>
              <w:t>/评标基准价</w:t>
            </w:r>
          </w:p>
          <w:p w14:paraId="0BC89E13">
            <w:pPr>
              <w:keepNext w:val="0"/>
              <w:keepLines w:val="0"/>
              <w:pageBreakBefore w:val="0"/>
              <w:widowControl w:val="0"/>
              <w:kinsoku/>
              <w:wordWrap/>
              <w:overflowPunct/>
              <w:topLinePunct w:val="0"/>
              <w:autoSpaceDE/>
              <w:autoSpaceDN/>
              <w:bidi w:val="0"/>
              <w:adjustRightInd/>
              <w:snapToGrid/>
              <w:spacing w:line="360" w:lineRule="exact"/>
              <w:ind w:left="50"/>
              <w:textAlignment w:val="auto"/>
              <w:rPr>
                <w:rFonts w:hint="eastAsia" w:ascii="宋体" w:hAnsi="宋体" w:eastAsia="宋体" w:cs="宋体"/>
                <w:sz w:val="21"/>
                <w:szCs w:val="21"/>
              </w:rPr>
            </w:pPr>
            <w:r>
              <w:rPr>
                <w:rFonts w:hint="eastAsia" w:ascii="宋体" w:hAnsi="宋体" w:eastAsia="宋体" w:cs="宋体"/>
                <w:sz w:val="21"/>
                <w:szCs w:val="21"/>
              </w:rPr>
              <w:t>偏差率保留2位小数</w:t>
            </w:r>
          </w:p>
        </w:tc>
      </w:tr>
    </w:tbl>
    <w:p w14:paraId="4CEE2DF3">
      <w:pPr>
        <w:keepLines w:val="0"/>
        <w:kinsoku/>
        <w:wordWrap/>
        <w:overflowPunct/>
        <w:topLinePunct w:val="0"/>
        <w:autoSpaceDE/>
        <w:autoSpaceDN/>
        <w:bidi w:val="0"/>
        <w:spacing w:line="360" w:lineRule="exact"/>
        <w:jc w:val="right"/>
        <w:textAlignment w:val="auto"/>
        <w:rPr>
          <w:rFonts w:hint="eastAsia" w:ascii="宋体" w:hAnsi="宋体" w:eastAsia="宋体" w:cs="宋体"/>
          <w:sz w:val="21"/>
          <w:szCs w:val="21"/>
        </w:rPr>
      </w:pPr>
    </w:p>
    <w:p w14:paraId="7A9D65DC">
      <w:pPr>
        <w:keepLines w:val="0"/>
        <w:kinsoku/>
        <w:wordWrap/>
        <w:overflowPunct/>
        <w:topLinePunct w:val="0"/>
        <w:autoSpaceDE/>
        <w:autoSpaceDN/>
        <w:bidi w:val="0"/>
        <w:spacing w:line="360" w:lineRule="exact"/>
        <w:jc w:val="right"/>
        <w:textAlignment w:val="auto"/>
        <w:rPr>
          <w:rFonts w:hint="eastAsia" w:ascii="宋体" w:hAnsi="宋体" w:eastAsia="宋体" w:cs="宋体"/>
          <w:sz w:val="21"/>
          <w:szCs w:val="21"/>
        </w:rPr>
      </w:pPr>
      <w:r>
        <w:rPr>
          <w:rFonts w:hint="eastAsia" w:ascii="宋体" w:hAnsi="宋体" w:eastAsia="宋体" w:cs="宋体"/>
          <w:sz w:val="21"/>
          <w:szCs w:val="21"/>
        </w:rPr>
        <w:t>续上表</w:t>
      </w:r>
    </w:p>
    <w:tbl>
      <w:tblPr>
        <w:tblStyle w:val="11"/>
        <w:tblW w:w="96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749"/>
        <w:gridCol w:w="676"/>
        <w:gridCol w:w="1110"/>
        <w:gridCol w:w="1905"/>
        <w:gridCol w:w="945"/>
        <w:gridCol w:w="3152"/>
      </w:tblGrid>
      <w:tr w14:paraId="0C8C10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454" w:type="dxa"/>
            <w:gridSpan w:val="6"/>
            <w:shd w:val="clear" w:color="auto" w:fill="auto"/>
            <w:vAlign w:val="center"/>
          </w:tcPr>
          <w:p w14:paraId="2BCB53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评分因素与权重分值</w:t>
            </w:r>
            <w:r>
              <w:rPr>
                <w:rStyle w:val="13"/>
                <w:rFonts w:hint="eastAsia" w:ascii="宋体" w:hAnsi="宋体" w:eastAsia="宋体" w:cs="宋体"/>
                <w:color w:val="auto"/>
                <w:sz w:val="21"/>
                <w:szCs w:val="21"/>
                <w:highlight w:val="none"/>
              </w:rPr>
              <w:footnoteReference w:id="1"/>
            </w:r>
          </w:p>
        </w:tc>
        <w:tc>
          <w:tcPr>
            <w:tcW w:w="3152" w:type="dxa"/>
            <w:vMerge w:val="restart"/>
            <w:shd w:val="clear" w:color="auto" w:fill="auto"/>
            <w:vAlign w:val="center"/>
          </w:tcPr>
          <w:p w14:paraId="4A3E80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14:paraId="4EA74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69" w:type="dxa"/>
            <w:shd w:val="clear" w:color="auto" w:fill="auto"/>
            <w:vAlign w:val="center"/>
          </w:tcPr>
          <w:p w14:paraId="7CCDC1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425" w:type="dxa"/>
            <w:gridSpan w:val="2"/>
            <w:shd w:val="clear" w:color="auto" w:fill="auto"/>
            <w:vAlign w:val="center"/>
          </w:tcPr>
          <w:p w14:paraId="052B7D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tc>
        <w:tc>
          <w:tcPr>
            <w:tcW w:w="1110" w:type="dxa"/>
            <w:shd w:val="clear" w:color="auto" w:fill="auto"/>
            <w:vAlign w:val="center"/>
          </w:tcPr>
          <w:p w14:paraId="16CDE5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评分因素权重分值</w:t>
            </w:r>
          </w:p>
        </w:tc>
        <w:tc>
          <w:tcPr>
            <w:tcW w:w="1905" w:type="dxa"/>
            <w:shd w:val="clear" w:color="auto" w:fill="auto"/>
            <w:vAlign w:val="center"/>
          </w:tcPr>
          <w:p w14:paraId="1CACA8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各评分因素细分项</w:t>
            </w:r>
          </w:p>
        </w:tc>
        <w:tc>
          <w:tcPr>
            <w:tcW w:w="945" w:type="dxa"/>
            <w:shd w:val="clear" w:color="auto" w:fill="auto"/>
            <w:vAlign w:val="center"/>
          </w:tcPr>
          <w:p w14:paraId="2CB3CA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3152" w:type="dxa"/>
            <w:vMerge w:val="continue"/>
            <w:shd w:val="clear" w:color="auto" w:fill="auto"/>
          </w:tcPr>
          <w:p w14:paraId="1990434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p>
        </w:tc>
      </w:tr>
      <w:tr w14:paraId="4C430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0B4287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2.2.4（1）</w:t>
            </w:r>
          </w:p>
        </w:tc>
        <w:tc>
          <w:tcPr>
            <w:tcW w:w="1425" w:type="dxa"/>
            <w:gridSpan w:val="2"/>
            <w:vMerge w:val="restart"/>
            <w:shd w:val="clear" w:color="auto" w:fill="auto"/>
            <w:vAlign w:val="center"/>
          </w:tcPr>
          <w:p w14:paraId="05127E2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服务方案</w:t>
            </w:r>
          </w:p>
        </w:tc>
        <w:tc>
          <w:tcPr>
            <w:tcW w:w="1110" w:type="dxa"/>
            <w:vMerge w:val="restart"/>
            <w:shd w:val="clear" w:color="auto" w:fill="auto"/>
            <w:vAlign w:val="center"/>
          </w:tcPr>
          <w:p w14:paraId="55440C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en-US" w:eastAsia="zh-CN"/>
              </w:rPr>
              <w:t>35</w:t>
            </w:r>
            <w:r>
              <w:rPr>
                <w:rFonts w:hint="eastAsia" w:ascii="宋体" w:hAnsi="宋体" w:eastAsia="宋体" w:cs="宋体"/>
                <w:color w:val="auto"/>
                <w:sz w:val="21"/>
                <w:szCs w:val="21"/>
                <w:highlight w:val="none"/>
                <w:u w:val="none"/>
              </w:rPr>
              <w:t>分</w:t>
            </w:r>
          </w:p>
        </w:tc>
        <w:tc>
          <w:tcPr>
            <w:tcW w:w="1905" w:type="dxa"/>
            <w:shd w:val="clear" w:color="auto" w:fill="auto"/>
            <w:vAlign w:val="center"/>
          </w:tcPr>
          <w:p w14:paraId="4F2F66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bidi="en-US"/>
              </w:rPr>
            </w:pPr>
            <w:r>
              <w:rPr>
                <w:rFonts w:hint="eastAsia" w:ascii="宋体" w:hAnsi="宋体" w:eastAsia="宋体" w:cs="宋体"/>
                <w:color w:val="auto"/>
                <w:sz w:val="21"/>
                <w:szCs w:val="21"/>
                <w:highlight w:val="none"/>
                <w:u w:val="none"/>
                <w:lang w:bidi="en-US"/>
              </w:rPr>
              <w:t>对</w:t>
            </w:r>
            <w:r>
              <w:rPr>
                <w:rFonts w:hint="eastAsia" w:ascii="宋体" w:hAnsi="宋体" w:eastAsia="宋体" w:cs="宋体"/>
                <w:color w:val="auto"/>
                <w:sz w:val="21"/>
                <w:szCs w:val="21"/>
                <w:highlight w:val="none"/>
                <w:u w:val="none"/>
                <w:lang w:eastAsia="zh-CN" w:bidi="en-US"/>
              </w:rPr>
              <w:t>招标</w:t>
            </w:r>
            <w:r>
              <w:rPr>
                <w:rFonts w:hint="eastAsia" w:ascii="宋体" w:hAnsi="宋体" w:eastAsia="宋体" w:cs="宋体"/>
                <w:color w:val="auto"/>
                <w:sz w:val="21"/>
                <w:szCs w:val="21"/>
                <w:highlight w:val="none"/>
                <w:u w:val="none"/>
                <w:lang w:bidi="en-US"/>
              </w:rPr>
              <w:t>项目的总体理解和认识</w:t>
            </w:r>
          </w:p>
        </w:tc>
        <w:tc>
          <w:tcPr>
            <w:tcW w:w="945" w:type="dxa"/>
            <w:shd w:val="clear" w:color="auto" w:fill="auto"/>
            <w:vAlign w:val="center"/>
          </w:tcPr>
          <w:p w14:paraId="79E596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5分</w:t>
            </w:r>
          </w:p>
        </w:tc>
        <w:tc>
          <w:tcPr>
            <w:tcW w:w="3152" w:type="dxa"/>
            <w:shd w:val="clear" w:color="auto" w:fill="auto"/>
            <w:vAlign w:val="center"/>
          </w:tcPr>
          <w:p w14:paraId="430F976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对项目的理解和认识基本正确得3分，理解深刻、认识全面，酌情加分，最高加2分。</w:t>
            </w:r>
          </w:p>
        </w:tc>
      </w:tr>
      <w:tr w14:paraId="13DCD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2AD61B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52A146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7EC27A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shd w:val="clear" w:color="auto" w:fill="auto"/>
            <w:vAlign w:val="center"/>
          </w:tcPr>
          <w:p w14:paraId="358B29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bidi="en-US"/>
              </w:rPr>
            </w:pPr>
            <w:r>
              <w:rPr>
                <w:rFonts w:hint="eastAsia" w:ascii="宋体" w:hAnsi="宋体" w:eastAsia="宋体" w:cs="宋体"/>
                <w:color w:val="auto"/>
                <w:sz w:val="21"/>
                <w:szCs w:val="21"/>
                <w:highlight w:val="none"/>
                <w:u w:val="none"/>
                <w:lang w:val="en-US" w:eastAsia="zh-CN" w:bidi="en-US"/>
              </w:rPr>
              <w:t>规划编制、</w:t>
            </w:r>
            <w:r>
              <w:rPr>
                <w:rFonts w:hint="eastAsia" w:ascii="宋体" w:hAnsi="宋体" w:eastAsia="宋体" w:cs="宋体"/>
                <w:color w:val="auto"/>
                <w:sz w:val="21"/>
                <w:szCs w:val="21"/>
                <w:highlight w:val="none"/>
                <w:u w:val="none"/>
                <w:lang w:bidi="en-US"/>
              </w:rPr>
              <w:t>试点项目申报、验收等技术咨询服务</w:t>
            </w:r>
            <w:r>
              <w:rPr>
                <w:rFonts w:hint="eastAsia" w:ascii="宋体" w:hAnsi="宋体" w:eastAsia="宋体" w:cs="宋体"/>
                <w:color w:val="auto"/>
                <w:sz w:val="21"/>
                <w:szCs w:val="21"/>
                <w:highlight w:val="none"/>
                <w:u w:val="none"/>
                <w:lang w:val="en-US" w:eastAsia="zh-CN" w:bidi="en-US"/>
              </w:rPr>
              <w:t>方案</w:t>
            </w:r>
          </w:p>
        </w:tc>
        <w:tc>
          <w:tcPr>
            <w:tcW w:w="945" w:type="dxa"/>
            <w:shd w:val="clear" w:color="auto" w:fill="auto"/>
            <w:vAlign w:val="center"/>
          </w:tcPr>
          <w:p w14:paraId="520BC1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10分</w:t>
            </w:r>
          </w:p>
        </w:tc>
        <w:tc>
          <w:tcPr>
            <w:tcW w:w="3152" w:type="dxa"/>
            <w:shd w:val="clear" w:color="auto" w:fill="auto"/>
            <w:vAlign w:val="center"/>
          </w:tcPr>
          <w:p w14:paraId="5A21FDA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基本合理得</w:t>
            </w:r>
            <w:r>
              <w:rPr>
                <w:rFonts w:hint="eastAsia" w:ascii="宋体" w:hAnsi="宋体" w:eastAsia="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rPr>
              <w:t>分，方案内容全面、科学合理、可操作性强，酌情加分，最高加</w:t>
            </w:r>
            <w:r>
              <w:rPr>
                <w:rFonts w:hint="eastAsia" w:ascii="宋体" w:hAnsi="宋体" w:eastAsia="宋体" w:cs="宋体"/>
                <w:color w:val="auto"/>
                <w:sz w:val="21"/>
                <w:szCs w:val="21"/>
                <w:highlight w:val="none"/>
                <w:u w:val="none"/>
                <w:lang w:val="en-US" w:eastAsia="zh-CN"/>
              </w:rPr>
              <w:t>4</w:t>
            </w:r>
            <w:r>
              <w:rPr>
                <w:rFonts w:hint="eastAsia" w:ascii="宋体" w:hAnsi="宋体" w:eastAsia="宋体" w:cs="宋体"/>
                <w:color w:val="auto"/>
                <w:sz w:val="21"/>
                <w:szCs w:val="21"/>
                <w:highlight w:val="none"/>
                <w:u w:val="none"/>
              </w:rPr>
              <w:t>分。</w:t>
            </w:r>
          </w:p>
        </w:tc>
      </w:tr>
      <w:tr w14:paraId="25743D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5D5974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42658C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643C86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shd w:val="clear" w:color="auto" w:fill="auto"/>
            <w:vAlign w:val="center"/>
          </w:tcPr>
          <w:p w14:paraId="0FD849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bidi="en-US"/>
              </w:rPr>
            </w:pPr>
            <w:r>
              <w:rPr>
                <w:rFonts w:hint="eastAsia" w:ascii="宋体" w:hAnsi="宋体" w:eastAsia="宋体" w:cs="宋体"/>
                <w:color w:val="auto"/>
                <w:sz w:val="21"/>
                <w:szCs w:val="21"/>
                <w:highlight w:val="none"/>
                <w:u w:val="none"/>
                <w:lang w:bidi="en-US"/>
              </w:rPr>
              <w:t>养护工程项目智慧管理技术咨询</w:t>
            </w:r>
            <w:r>
              <w:rPr>
                <w:rFonts w:hint="eastAsia" w:ascii="宋体" w:hAnsi="宋体" w:eastAsia="宋体" w:cs="宋体"/>
                <w:color w:val="auto"/>
                <w:sz w:val="21"/>
                <w:szCs w:val="21"/>
                <w:highlight w:val="none"/>
                <w:u w:val="none"/>
                <w:lang w:val="en-US" w:eastAsia="zh-CN" w:bidi="en-US"/>
              </w:rPr>
              <w:t>服务方案</w:t>
            </w:r>
          </w:p>
        </w:tc>
        <w:tc>
          <w:tcPr>
            <w:tcW w:w="945" w:type="dxa"/>
            <w:shd w:val="clear" w:color="auto" w:fill="auto"/>
            <w:vAlign w:val="center"/>
          </w:tcPr>
          <w:p w14:paraId="0358EA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10分</w:t>
            </w:r>
          </w:p>
        </w:tc>
        <w:tc>
          <w:tcPr>
            <w:tcW w:w="3152" w:type="dxa"/>
            <w:shd w:val="clear" w:color="auto" w:fill="auto"/>
            <w:vAlign w:val="center"/>
          </w:tcPr>
          <w:p w14:paraId="28D17D6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基本合理得</w:t>
            </w:r>
            <w:r>
              <w:rPr>
                <w:rFonts w:hint="eastAsia" w:ascii="宋体" w:hAnsi="宋体" w:eastAsia="宋体" w:cs="宋体"/>
                <w:color w:val="auto"/>
                <w:sz w:val="21"/>
                <w:szCs w:val="21"/>
                <w:highlight w:val="none"/>
                <w:u w:val="none"/>
                <w:lang w:val="en-US" w:eastAsia="zh-CN"/>
              </w:rPr>
              <w:t>6</w:t>
            </w:r>
            <w:r>
              <w:rPr>
                <w:rFonts w:hint="eastAsia" w:ascii="宋体" w:hAnsi="宋体" w:eastAsia="宋体" w:cs="宋体"/>
                <w:color w:val="auto"/>
                <w:sz w:val="21"/>
                <w:szCs w:val="21"/>
                <w:highlight w:val="none"/>
                <w:u w:val="none"/>
              </w:rPr>
              <w:t>分，方案内容全面、科学合理、可操作性强，酌情加分，最高加</w:t>
            </w:r>
            <w:r>
              <w:rPr>
                <w:rFonts w:hint="eastAsia" w:ascii="宋体" w:hAnsi="宋体" w:eastAsia="宋体" w:cs="宋体"/>
                <w:color w:val="auto"/>
                <w:sz w:val="21"/>
                <w:szCs w:val="21"/>
                <w:highlight w:val="none"/>
                <w:u w:val="none"/>
                <w:lang w:val="en-US" w:eastAsia="zh-CN"/>
              </w:rPr>
              <w:t>4</w:t>
            </w:r>
            <w:r>
              <w:rPr>
                <w:rFonts w:hint="eastAsia" w:ascii="宋体" w:hAnsi="宋体" w:eastAsia="宋体" w:cs="宋体"/>
                <w:color w:val="auto"/>
                <w:sz w:val="21"/>
                <w:szCs w:val="21"/>
                <w:highlight w:val="none"/>
                <w:u w:val="none"/>
              </w:rPr>
              <w:t>分。</w:t>
            </w:r>
          </w:p>
        </w:tc>
      </w:tr>
      <w:tr w14:paraId="7EB251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051EEE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4C6977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76F9E3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shd w:val="clear" w:color="auto" w:fill="auto"/>
            <w:vAlign w:val="center"/>
          </w:tcPr>
          <w:p w14:paraId="55E74C10">
            <w:pPr>
              <w:keepLines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u w:val="none"/>
                <w:lang w:bidi="en-US"/>
              </w:rPr>
            </w:pPr>
            <w:r>
              <w:rPr>
                <w:rFonts w:hint="eastAsia" w:ascii="宋体" w:hAnsi="宋体" w:eastAsia="宋体" w:cs="宋体"/>
                <w:sz w:val="21"/>
                <w:szCs w:val="21"/>
                <w:highlight w:val="none"/>
                <w:lang w:bidi="en-US"/>
              </w:rPr>
              <w:t>质量保证方案、进度保证方案、安全保证方案</w:t>
            </w:r>
          </w:p>
        </w:tc>
        <w:tc>
          <w:tcPr>
            <w:tcW w:w="945" w:type="dxa"/>
            <w:shd w:val="clear" w:color="auto" w:fill="auto"/>
            <w:vAlign w:val="center"/>
          </w:tcPr>
          <w:p w14:paraId="040BBF9D">
            <w:pPr>
              <w:keepLines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sz w:val="21"/>
                <w:szCs w:val="21"/>
                <w:highlight w:val="none"/>
              </w:rPr>
              <w:t>5</w:t>
            </w:r>
            <w:r>
              <w:rPr>
                <w:rFonts w:hint="eastAsia" w:ascii="宋体" w:hAnsi="宋体" w:eastAsia="宋体" w:cs="宋体"/>
                <w:color w:val="auto"/>
                <w:sz w:val="21"/>
                <w:szCs w:val="21"/>
                <w:highlight w:val="none"/>
                <w:u w:val="none"/>
                <w:lang w:val="en-US" w:eastAsia="zh-CN"/>
              </w:rPr>
              <w:t>分</w:t>
            </w:r>
          </w:p>
        </w:tc>
        <w:tc>
          <w:tcPr>
            <w:tcW w:w="3152" w:type="dxa"/>
            <w:shd w:val="clear" w:color="auto" w:fill="auto"/>
            <w:vAlign w:val="center"/>
          </w:tcPr>
          <w:p w14:paraId="38778A95">
            <w:pPr>
              <w:keepLines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u w:val="none"/>
              </w:rPr>
            </w:pPr>
            <w:r>
              <w:rPr>
                <w:rFonts w:hint="eastAsia" w:ascii="宋体" w:hAnsi="宋体" w:eastAsia="宋体" w:cs="宋体"/>
                <w:sz w:val="21"/>
                <w:szCs w:val="21"/>
                <w:highlight w:val="none"/>
              </w:rPr>
              <w:t>基本合理得3分，方案内容全面、科学合理、可操作性强，酌情加分，最高加2分。</w:t>
            </w:r>
          </w:p>
        </w:tc>
      </w:tr>
      <w:tr w14:paraId="736B1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1359D0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4EC92C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1A05A3A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shd w:val="clear" w:color="auto" w:fill="auto"/>
            <w:vAlign w:val="center"/>
          </w:tcPr>
          <w:p w14:paraId="3570A3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bidi="en-US"/>
              </w:rPr>
            </w:pPr>
            <w:r>
              <w:rPr>
                <w:rFonts w:hint="eastAsia" w:ascii="宋体" w:hAnsi="宋体" w:eastAsia="宋体" w:cs="宋体"/>
                <w:color w:val="auto"/>
                <w:sz w:val="21"/>
                <w:szCs w:val="21"/>
                <w:highlight w:val="none"/>
                <w:u w:val="none"/>
                <w:lang w:bidi="en-US"/>
              </w:rPr>
              <w:t>后续服务的安排及保证方案</w:t>
            </w:r>
          </w:p>
        </w:tc>
        <w:tc>
          <w:tcPr>
            <w:tcW w:w="945" w:type="dxa"/>
            <w:shd w:val="clear" w:color="auto" w:fill="auto"/>
            <w:vAlign w:val="center"/>
          </w:tcPr>
          <w:p w14:paraId="2DC56F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5分</w:t>
            </w:r>
            <w:bookmarkStart w:id="6" w:name="_GoBack"/>
            <w:bookmarkEnd w:id="6"/>
          </w:p>
        </w:tc>
        <w:tc>
          <w:tcPr>
            <w:tcW w:w="3152" w:type="dxa"/>
            <w:shd w:val="clear" w:color="auto" w:fill="auto"/>
            <w:vAlign w:val="center"/>
          </w:tcPr>
          <w:p w14:paraId="2C0B463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基本合理得3分，方案内容全面、科学合理、可操作性强，酌情加分，最高加2分。</w:t>
            </w:r>
          </w:p>
        </w:tc>
      </w:tr>
      <w:tr w14:paraId="0E7D34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03158AA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2.2.4（2）</w:t>
            </w:r>
          </w:p>
        </w:tc>
        <w:tc>
          <w:tcPr>
            <w:tcW w:w="1425" w:type="dxa"/>
            <w:gridSpan w:val="2"/>
            <w:vMerge w:val="restart"/>
            <w:shd w:val="clear" w:color="auto" w:fill="auto"/>
            <w:vAlign w:val="center"/>
          </w:tcPr>
          <w:p w14:paraId="63C2DE6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主要人员</w:t>
            </w:r>
          </w:p>
        </w:tc>
        <w:tc>
          <w:tcPr>
            <w:tcW w:w="1110" w:type="dxa"/>
            <w:vMerge w:val="restart"/>
            <w:shd w:val="clear" w:color="auto" w:fill="auto"/>
            <w:vAlign w:val="center"/>
          </w:tcPr>
          <w:p w14:paraId="15D11E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25分</w:t>
            </w:r>
          </w:p>
        </w:tc>
        <w:tc>
          <w:tcPr>
            <w:tcW w:w="1905" w:type="dxa"/>
            <w:vMerge w:val="restart"/>
            <w:shd w:val="clear" w:color="auto" w:fill="auto"/>
            <w:vAlign w:val="center"/>
          </w:tcPr>
          <w:p w14:paraId="0BDBB6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en-US" w:eastAsia="zh-CN" w:bidi="en-US"/>
              </w:rPr>
              <w:t>项目负责人</w:t>
            </w:r>
            <w:r>
              <w:rPr>
                <w:rFonts w:hint="eastAsia" w:ascii="宋体" w:hAnsi="宋体" w:eastAsia="宋体" w:cs="宋体"/>
                <w:color w:val="auto"/>
                <w:sz w:val="21"/>
                <w:szCs w:val="21"/>
                <w:highlight w:val="none"/>
                <w:u w:val="none"/>
                <w:lang w:bidi="en-US"/>
              </w:rPr>
              <w:br w:type="textWrapping"/>
            </w:r>
            <w:r>
              <w:rPr>
                <w:rFonts w:hint="eastAsia" w:ascii="宋体" w:hAnsi="宋体" w:eastAsia="宋体" w:cs="宋体"/>
                <w:color w:val="auto"/>
                <w:sz w:val="21"/>
                <w:szCs w:val="21"/>
                <w:highlight w:val="none"/>
                <w:u w:val="none"/>
                <w:lang w:bidi="en-US"/>
              </w:rPr>
              <w:t>任职资格与业绩</w:t>
            </w:r>
          </w:p>
        </w:tc>
        <w:tc>
          <w:tcPr>
            <w:tcW w:w="945" w:type="dxa"/>
            <w:shd w:val="clear" w:color="auto" w:fill="auto"/>
            <w:vAlign w:val="center"/>
          </w:tcPr>
          <w:p w14:paraId="020D49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15分</w:t>
            </w:r>
          </w:p>
        </w:tc>
        <w:tc>
          <w:tcPr>
            <w:tcW w:w="3152" w:type="dxa"/>
            <w:shd w:val="clear" w:color="auto" w:fill="auto"/>
            <w:vAlign w:val="center"/>
          </w:tcPr>
          <w:p w14:paraId="3FE8C07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满足资格审查最低要求得15分</w:t>
            </w:r>
          </w:p>
        </w:tc>
      </w:tr>
      <w:tr w14:paraId="79154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6D46BD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425" w:type="dxa"/>
            <w:gridSpan w:val="2"/>
            <w:vMerge w:val="continue"/>
            <w:shd w:val="clear" w:color="auto" w:fill="auto"/>
            <w:vAlign w:val="center"/>
          </w:tcPr>
          <w:p w14:paraId="32C4BD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0CD2DF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vMerge w:val="continue"/>
            <w:shd w:val="clear" w:color="auto" w:fill="auto"/>
          </w:tcPr>
          <w:p w14:paraId="0FAD45F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none"/>
                <w:lang w:bidi="en-US"/>
              </w:rPr>
            </w:pPr>
          </w:p>
        </w:tc>
        <w:tc>
          <w:tcPr>
            <w:tcW w:w="945" w:type="dxa"/>
            <w:shd w:val="clear" w:color="auto" w:fill="auto"/>
            <w:vAlign w:val="center"/>
          </w:tcPr>
          <w:p w14:paraId="42E056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10分</w:t>
            </w:r>
          </w:p>
        </w:tc>
        <w:tc>
          <w:tcPr>
            <w:tcW w:w="3152" w:type="dxa"/>
            <w:shd w:val="clear" w:color="auto" w:fill="auto"/>
            <w:vAlign w:val="center"/>
          </w:tcPr>
          <w:p w14:paraId="5542D03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每提供1项</w:t>
            </w:r>
            <w:r>
              <w:rPr>
                <w:rFonts w:hint="eastAsia" w:ascii="宋体" w:hAnsi="宋体" w:eastAsia="宋体" w:cs="宋体"/>
                <w:color w:val="auto"/>
                <w:sz w:val="21"/>
                <w:szCs w:val="21"/>
                <w:highlight w:val="none"/>
                <w:u w:val="none"/>
                <w:lang w:val="en-US" w:eastAsia="zh-CN"/>
              </w:rPr>
              <w:t>类似项目业绩</w:t>
            </w:r>
            <w:r>
              <w:rPr>
                <w:rFonts w:hint="eastAsia" w:ascii="宋体" w:hAnsi="宋体" w:eastAsia="宋体" w:cs="宋体"/>
                <w:color w:val="auto"/>
                <w:sz w:val="21"/>
                <w:szCs w:val="21"/>
                <w:highlight w:val="none"/>
                <w:u w:val="none"/>
              </w:rPr>
              <w:t>的</w:t>
            </w:r>
            <w:r>
              <w:rPr>
                <w:rFonts w:hint="eastAsia" w:ascii="宋体" w:hAnsi="宋体" w:eastAsia="宋体" w:cs="宋体"/>
                <w:color w:val="auto"/>
                <w:sz w:val="21"/>
                <w:szCs w:val="21"/>
                <w:highlight w:val="none"/>
                <w:u w:val="none"/>
                <w:lang w:val="en-US" w:eastAsia="zh-CN"/>
              </w:rPr>
              <w:t>项目负责人</w:t>
            </w:r>
            <w:r>
              <w:rPr>
                <w:rFonts w:hint="eastAsia" w:ascii="宋体" w:hAnsi="宋体" w:eastAsia="宋体" w:cs="宋体"/>
                <w:color w:val="auto"/>
                <w:sz w:val="21"/>
                <w:szCs w:val="21"/>
                <w:highlight w:val="none"/>
                <w:u w:val="none"/>
              </w:rPr>
              <w:t>任职经历加5分，最多加10分。</w:t>
            </w:r>
          </w:p>
          <w:p w14:paraId="0EA49EC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1"/>
                <w:szCs w:val="21"/>
                <w:highlight w:val="none"/>
                <w:u w:val="none"/>
                <w:lang w:val="en-US"/>
              </w:rPr>
            </w:pPr>
            <w:r>
              <w:rPr>
                <w:rFonts w:hint="eastAsia" w:ascii="宋体" w:hAnsi="宋体" w:eastAsia="宋体" w:cs="宋体"/>
                <w:color w:val="auto"/>
                <w:sz w:val="21"/>
                <w:szCs w:val="21"/>
                <w:highlight w:val="none"/>
                <w:u w:val="none"/>
                <w:lang w:val="en-US" w:eastAsia="zh-CN"/>
              </w:rPr>
              <w:t>注：类似项目业绩是指公路养护相关项目规划咨询或服务相关的业绩。</w:t>
            </w:r>
          </w:p>
        </w:tc>
      </w:tr>
      <w:tr w14:paraId="67DFB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shd w:val="clear" w:color="auto" w:fill="auto"/>
            <w:vAlign w:val="center"/>
          </w:tcPr>
          <w:p w14:paraId="41D5DE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2.2.4（3）</w:t>
            </w:r>
          </w:p>
        </w:tc>
        <w:tc>
          <w:tcPr>
            <w:tcW w:w="1425" w:type="dxa"/>
            <w:gridSpan w:val="2"/>
            <w:shd w:val="clear" w:color="auto" w:fill="auto"/>
            <w:vAlign w:val="center"/>
          </w:tcPr>
          <w:p w14:paraId="1B8993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w:t>
            </w:r>
          </w:p>
        </w:tc>
        <w:tc>
          <w:tcPr>
            <w:tcW w:w="1110" w:type="dxa"/>
            <w:shd w:val="clear" w:color="auto" w:fill="auto"/>
            <w:vAlign w:val="center"/>
          </w:tcPr>
          <w:p w14:paraId="5931A5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10分</w:t>
            </w:r>
          </w:p>
        </w:tc>
        <w:tc>
          <w:tcPr>
            <w:tcW w:w="6002" w:type="dxa"/>
            <w:gridSpan w:val="3"/>
            <w:shd w:val="clear" w:color="auto" w:fill="auto"/>
          </w:tcPr>
          <w:p w14:paraId="630D3C74">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评标价得分计算公式示例：</w:t>
            </w:r>
          </w:p>
          <w:p w14:paraId="2357DC1B">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（1）如果投标人的评标价&gt;评标基准价，则评标价得分＝F－偏差率×100×E1；</w:t>
            </w:r>
          </w:p>
          <w:p w14:paraId="6C24BC06">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（2）如果投标人的评标价≤评标基准价，则评标价得分＝F＋偏差率×100×E2。</w:t>
            </w:r>
          </w:p>
          <w:p w14:paraId="3160F527">
            <w:pPr>
              <w:keepNext w:val="0"/>
              <w:keepLines w:val="0"/>
              <w:pageBreakBefore w:val="0"/>
              <w:widowControl w:val="0"/>
              <w:kinsoku/>
              <w:wordWrap/>
              <w:overflowPunct/>
              <w:topLinePunct w:val="0"/>
              <w:autoSpaceDE/>
              <w:autoSpaceDN/>
              <w:bidi w:val="0"/>
              <w:adjustRightInd/>
              <w:snapToGrid/>
              <w:spacing w:line="360" w:lineRule="exact"/>
              <w:ind w:right="113"/>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式中：F=10，E1=0.2，E2=0.1。</w:t>
            </w:r>
          </w:p>
          <w:p w14:paraId="227374C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其中：F是评标价所占的权重分值，E1是评标价每高于评标基准价一个百分点的扣分值，E2是评标价每低于评标基准价一个百分点的扣分值。评标价得分保留两位小数，小数点后第三位“四舍五入”。</w:t>
            </w:r>
          </w:p>
        </w:tc>
      </w:tr>
      <w:tr w14:paraId="37A2A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restart"/>
            <w:shd w:val="clear" w:color="auto" w:fill="auto"/>
            <w:vAlign w:val="center"/>
          </w:tcPr>
          <w:p w14:paraId="464B77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2.2.4（4）</w:t>
            </w:r>
          </w:p>
        </w:tc>
        <w:tc>
          <w:tcPr>
            <w:tcW w:w="749" w:type="dxa"/>
            <w:vMerge w:val="restart"/>
            <w:shd w:val="clear" w:color="auto" w:fill="auto"/>
            <w:vAlign w:val="center"/>
          </w:tcPr>
          <w:p w14:paraId="6B8131E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p w14:paraId="132DF4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因素</w:t>
            </w:r>
          </w:p>
        </w:tc>
        <w:tc>
          <w:tcPr>
            <w:tcW w:w="676" w:type="dxa"/>
            <w:vMerge w:val="restart"/>
            <w:shd w:val="clear" w:color="auto" w:fill="auto"/>
            <w:vAlign w:val="center"/>
          </w:tcPr>
          <w:p w14:paraId="045AEC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tc>
        <w:tc>
          <w:tcPr>
            <w:tcW w:w="1110" w:type="dxa"/>
            <w:vMerge w:val="restart"/>
            <w:shd w:val="clear" w:color="auto" w:fill="auto"/>
            <w:vAlign w:val="center"/>
          </w:tcPr>
          <w:p w14:paraId="3038AD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2</w:t>
            </w: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分</w:t>
            </w:r>
          </w:p>
        </w:tc>
        <w:tc>
          <w:tcPr>
            <w:tcW w:w="1905" w:type="dxa"/>
            <w:vMerge w:val="restart"/>
            <w:shd w:val="clear" w:color="auto" w:fill="auto"/>
            <w:vAlign w:val="center"/>
          </w:tcPr>
          <w:p w14:paraId="53A4FE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类似项目业绩</w:t>
            </w:r>
          </w:p>
        </w:tc>
        <w:tc>
          <w:tcPr>
            <w:tcW w:w="945" w:type="dxa"/>
            <w:shd w:val="clear" w:color="auto" w:fill="auto"/>
            <w:vAlign w:val="center"/>
          </w:tcPr>
          <w:p w14:paraId="29D01DC0">
            <w:pPr>
              <w:keepLines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tc>
        <w:tc>
          <w:tcPr>
            <w:tcW w:w="3152" w:type="dxa"/>
            <w:shd w:val="clear" w:color="auto" w:fill="auto"/>
            <w:vAlign w:val="center"/>
          </w:tcPr>
          <w:p w14:paraId="6B67553C">
            <w:pPr>
              <w:keepLines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u w:val="none"/>
              </w:rPr>
            </w:pPr>
            <w:r>
              <w:rPr>
                <w:rFonts w:hint="eastAsia" w:ascii="宋体" w:hAnsi="宋体" w:eastAsia="宋体" w:cs="宋体"/>
                <w:sz w:val="21"/>
                <w:szCs w:val="21"/>
                <w:highlight w:val="none"/>
              </w:rPr>
              <w:t>投标人通过初步评审得1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tc>
      </w:tr>
      <w:tr w14:paraId="2AA26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9" w:type="dxa"/>
            <w:vMerge w:val="continue"/>
            <w:shd w:val="clear" w:color="auto" w:fill="auto"/>
            <w:vAlign w:val="center"/>
          </w:tcPr>
          <w:p w14:paraId="63E961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77AE23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vMerge w:val="continue"/>
            <w:shd w:val="clear" w:color="auto" w:fill="auto"/>
            <w:vAlign w:val="center"/>
          </w:tcPr>
          <w:p w14:paraId="189639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1110" w:type="dxa"/>
            <w:vMerge w:val="continue"/>
            <w:shd w:val="clear" w:color="auto" w:fill="auto"/>
            <w:vAlign w:val="center"/>
          </w:tcPr>
          <w:p w14:paraId="6B5A2F0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p>
        </w:tc>
        <w:tc>
          <w:tcPr>
            <w:tcW w:w="1905" w:type="dxa"/>
            <w:vMerge w:val="continue"/>
            <w:shd w:val="clear" w:color="auto" w:fill="auto"/>
            <w:vAlign w:val="center"/>
          </w:tcPr>
          <w:p w14:paraId="792CF5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p>
        </w:tc>
        <w:tc>
          <w:tcPr>
            <w:tcW w:w="945" w:type="dxa"/>
            <w:shd w:val="clear" w:color="auto" w:fill="auto"/>
            <w:vAlign w:val="center"/>
          </w:tcPr>
          <w:p w14:paraId="69B83425">
            <w:pPr>
              <w:keepLines w:val="0"/>
              <w:kinsoku/>
              <w:wordWrap/>
              <w:overflowPunct/>
              <w:topLinePunct w:val="0"/>
              <w:autoSpaceDE/>
              <w:autoSpaceDN/>
              <w:bidi w:val="0"/>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tc>
        <w:tc>
          <w:tcPr>
            <w:tcW w:w="3152" w:type="dxa"/>
            <w:shd w:val="clear" w:color="auto" w:fill="auto"/>
            <w:vAlign w:val="center"/>
          </w:tcPr>
          <w:p w14:paraId="7509A326">
            <w:pPr>
              <w:keepLines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投标人在2021年1月1日以后每完成过1项类似项目业绩加5分，最多加1</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分。</w:t>
            </w:r>
          </w:p>
          <w:p w14:paraId="73F02E27">
            <w:pPr>
              <w:keepLines w:val="0"/>
              <w:kinsoku/>
              <w:wordWrap/>
              <w:overflowPunct/>
              <w:topLinePunct w:val="0"/>
              <w:autoSpaceDE/>
              <w:autoSpaceDN/>
              <w:bidi w:val="0"/>
              <w:spacing w:line="36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注：类似项目业绩是指公路养护相关项目规划咨询或服务相关的业绩。</w:t>
            </w:r>
          </w:p>
        </w:tc>
      </w:tr>
      <w:tr w14:paraId="7B17D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1069" w:type="dxa"/>
            <w:vMerge w:val="continue"/>
            <w:shd w:val="clear" w:color="auto" w:fill="auto"/>
            <w:vAlign w:val="center"/>
          </w:tcPr>
          <w:p w14:paraId="21027B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749" w:type="dxa"/>
            <w:vMerge w:val="continue"/>
            <w:shd w:val="clear" w:color="auto" w:fill="auto"/>
            <w:vAlign w:val="center"/>
          </w:tcPr>
          <w:p w14:paraId="59E81B6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p>
        </w:tc>
        <w:tc>
          <w:tcPr>
            <w:tcW w:w="676" w:type="dxa"/>
            <w:shd w:val="clear" w:color="auto" w:fill="auto"/>
            <w:vAlign w:val="center"/>
          </w:tcPr>
          <w:p w14:paraId="739BD2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技术能力</w:t>
            </w:r>
          </w:p>
        </w:tc>
        <w:tc>
          <w:tcPr>
            <w:tcW w:w="1110" w:type="dxa"/>
            <w:shd w:val="clear" w:color="auto" w:fill="auto"/>
            <w:vAlign w:val="center"/>
          </w:tcPr>
          <w:p w14:paraId="37E760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5分</w:t>
            </w:r>
          </w:p>
        </w:tc>
        <w:tc>
          <w:tcPr>
            <w:tcW w:w="1905" w:type="dxa"/>
            <w:shd w:val="clear" w:color="auto" w:fill="auto"/>
            <w:vAlign w:val="center"/>
          </w:tcPr>
          <w:p w14:paraId="3A15D8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技术能力</w:t>
            </w:r>
          </w:p>
        </w:tc>
        <w:tc>
          <w:tcPr>
            <w:tcW w:w="945" w:type="dxa"/>
            <w:shd w:val="clear" w:color="auto" w:fill="auto"/>
            <w:vAlign w:val="center"/>
          </w:tcPr>
          <w:p w14:paraId="3E94EE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val="en-US" w:eastAsia="zh-CN"/>
              </w:rPr>
              <w:t>5分</w:t>
            </w:r>
          </w:p>
        </w:tc>
        <w:tc>
          <w:tcPr>
            <w:tcW w:w="3152" w:type="dxa"/>
            <w:shd w:val="clear" w:color="auto" w:fill="auto"/>
            <w:vAlign w:val="center"/>
          </w:tcPr>
          <w:p w14:paraId="76572A38">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投标人每参与过1项与公路养护有关的国家或行业标准规范编制的，得1分，最多得5分。</w:t>
            </w:r>
          </w:p>
        </w:tc>
      </w:tr>
      <w:tr w14:paraId="47FCC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06" w:type="dxa"/>
            <w:gridSpan w:val="7"/>
            <w:shd w:val="clear" w:color="auto" w:fill="auto"/>
            <w:vAlign w:val="center"/>
          </w:tcPr>
          <w:p w14:paraId="3AB2C26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
                <w:bCs/>
                <w:sz w:val="21"/>
                <w:szCs w:val="21"/>
                <w:highlight w:val="none"/>
              </w:rPr>
              <w:t>投标文件的</w:t>
            </w:r>
            <w:r>
              <w:rPr>
                <w:rFonts w:hint="eastAsia" w:ascii="宋体" w:hAnsi="宋体" w:eastAsia="宋体" w:cs="宋体"/>
                <w:b/>
                <w:bCs/>
                <w:sz w:val="21"/>
                <w:szCs w:val="21"/>
                <w:highlight w:val="none"/>
                <w:lang w:val="en-US" w:eastAsia="zh-CN"/>
              </w:rPr>
              <w:t>服务方案</w:t>
            </w:r>
            <w:r>
              <w:rPr>
                <w:rFonts w:hint="eastAsia" w:ascii="宋体" w:hAnsi="宋体" w:eastAsia="宋体" w:cs="宋体"/>
                <w:b/>
                <w:bCs/>
                <w:sz w:val="21"/>
                <w:szCs w:val="21"/>
                <w:highlight w:val="none"/>
              </w:rPr>
              <w:t>部分采用“暗标”形式，如果</w:t>
            </w:r>
            <w:r>
              <w:rPr>
                <w:rFonts w:hint="eastAsia" w:ascii="宋体" w:hAnsi="宋体" w:eastAsia="宋体" w:cs="宋体"/>
                <w:b/>
                <w:bCs/>
                <w:sz w:val="21"/>
                <w:szCs w:val="21"/>
                <w:highlight w:val="none"/>
                <w:lang w:val="en-US" w:eastAsia="zh-CN"/>
              </w:rPr>
              <w:t>服务方案</w:t>
            </w:r>
            <w:r>
              <w:rPr>
                <w:rFonts w:hint="eastAsia" w:ascii="宋体" w:hAnsi="宋体" w:eastAsia="宋体" w:cs="宋体"/>
                <w:b/>
                <w:bCs/>
                <w:sz w:val="21"/>
                <w:szCs w:val="21"/>
                <w:highlight w:val="none"/>
              </w:rPr>
              <w:t>出现能识别投标人的内容，经评标委员会确定后，将否决其投标。</w:t>
            </w:r>
          </w:p>
        </w:tc>
      </w:tr>
    </w:tbl>
    <w:p w14:paraId="6C707A03">
      <w:pPr>
        <w:keepLines w:val="0"/>
        <w:kinsoku/>
        <w:wordWrap/>
        <w:overflowPunct/>
        <w:topLinePunct w:val="0"/>
        <w:autoSpaceDE/>
        <w:autoSpaceDN/>
        <w:bidi w:val="0"/>
        <w:spacing w:line="360" w:lineRule="exact"/>
        <w:ind w:right="420"/>
        <w:jc w:val="left"/>
        <w:textAlignment w:val="auto"/>
        <w:rPr>
          <w:rFonts w:hint="eastAsia" w:ascii="宋体" w:hAnsi="宋体" w:eastAsia="宋体" w:cs="宋体"/>
          <w:b/>
          <w:sz w:val="21"/>
          <w:szCs w:val="21"/>
        </w:rPr>
      </w:pPr>
    </w:p>
    <w:p w14:paraId="4360F9F3">
      <w:pPr>
        <w:keepNext w:val="0"/>
        <w:keepLines w:val="0"/>
        <w:pageBreakBefore w:val="0"/>
        <w:widowControl w:val="0"/>
        <w:kinsoku/>
        <w:wordWrap/>
        <w:overflowPunct/>
        <w:topLinePunct w:val="0"/>
        <w:autoSpaceDE/>
        <w:autoSpaceDN/>
        <w:bidi w:val="0"/>
        <w:adjustRightInd/>
        <w:snapToGrid/>
        <w:spacing w:line="360" w:lineRule="exact"/>
        <w:ind w:right="420"/>
        <w:jc w:val="left"/>
        <w:textAlignment w:val="auto"/>
        <w:rPr>
          <w:rFonts w:hint="eastAsia" w:ascii="宋体" w:hAnsi="宋体" w:eastAsia="宋体" w:cs="宋体"/>
          <w:b/>
          <w:sz w:val="21"/>
          <w:szCs w:val="21"/>
        </w:rPr>
      </w:pPr>
      <w:r>
        <w:rPr>
          <w:rFonts w:hint="eastAsia" w:ascii="宋体" w:hAnsi="宋体" w:eastAsia="宋体" w:cs="宋体"/>
          <w:b/>
          <w:sz w:val="21"/>
          <w:szCs w:val="21"/>
        </w:rPr>
        <w:t>四、联系方式</w:t>
      </w:r>
    </w:p>
    <w:p w14:paraId="488EA172">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招 标 人：</w:t>
      </w:r>
      <w:r>
        <w:rPr>
          <w:rFonts w:hint="eastAsia" w:ascii="宋体" w:hAnsi="宋体" w:eastAsia="宋体" w:cs="宋体"/>
          <w:color w:val="auto"/>
          <w:sz w:val="21"/>
          <w:szCs w:val="21"/>
          <w:highlight w:val="none"/>
        </w:rPr>
        <w:t>梅河口市公路管理段</w:t>
      </w:r>
    </w:p>
    <w:p w14:paraId="2B748EE2">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地    址：</w:t>
      </w:r>
      <w:r>
        <w:rPr>
          <w:rFonts w:hint="eastAsia" w:ascii="宋体" w:hAnsi="宋体" w:eastAsia="宋体" w:cs="宋体"/>
          <w:color w:val="auto"/>
          <w:sz w:val="21"/>
          <w:szCs w:val="21"/>
          <w:highlight w:val="none"/>
        </w:rPr>
        <w:t>梅河口市梅河大街2854号</w:t>
      </w:r>
    </w:p>
    <w:p w14:paraId="45E57D45">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 系 人：</w:t>
      </w:r>
      <w:r>
        <w:rPr>
          <w:rFonts w:hint="eastAsia" w:ascii="宋体" w:hAnsi="宋体" w:eastAsia="宋体" w:cs="宋体"/>
          <w:color w:val="auto"/>
          <w:sz w:val="21"/>
          <w:szCs w:val="21"/>
          <w:highlight w:val="none"/>
        </w:rPr>
        <w:t>侯艳</w:t>
      </w:r>
    </w:p>
    <w:p w14:paraId="23BC1E90">
      <w:pPr>
        <w:keepLines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电    话：</w:t>
      </w:r>
      <w:r>
        <w:rPr>
          <w:rFonts w:hint="eastAsia" w:ascii="宋体" w:hAnsi="宋体" w:eastAsia="宋体" w:cs="宋体"/>
          <w:color w:val="auto"/>
          <w:sz w:val="21"/>
          <w:szCs w:val="21"/>
          <w:highlight w:val="none"/>
        </w:rPr>
        <w:t>0435-4225781</w:t>
      </w:r>
    </w:p>
    <w:p w14:paraId="7150EC1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rPr>
      </w:pPr>
    </w:p>
    <w:sectPr>
      <w:footnotePr>
        <w:numFmt w:val="decimalEnclosedCircleChinese"/>
        <w:numRestart w:val="eachPage"/>
      </w:footnote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David">
    <w:altName w:val="Segoe Print"/>
    <w:panose1 w:val="00000000000000000000"/>
    <w:charset w:val="B1"/>
    <w:family w:val="swiss"/>
    <w:pitch w:val="default"/>
    <w:sig w:usb0="00000000" w:usb1="00000000" w:usb2="00000000" w:usb3="00000000" w:csb0="0000002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20B4617C">
      <w:pPr>
        <w:pStyle w:val="9"/>
      </w:pPr>
      <w:r>
        <w:rPr>
          <w:rStyle w:val="13"/>
          <w:rFonts w:hint="eastAsia" w:ascii="宋体" w:hAnsi="宋体" w:cs="宋体"/>
        </w:rPr>
        <w:footnoteRef/>
      </w:r>
      <w:r>
        <w:rPr>
          <w:rFonts w:hint="eastAsia" w:ascii="宋体" w:hAnsi="宋体" w:cs="宋体"/>
        </w:rPr>
        <w:t>本款规定仅适用于根据《关于发布公路工程从业企业资质名录的通知》（厅公路字[2011]114号）要求，招标人应通过名录</w:t>
      </w:r>
      <w:r>
        <w:rPr>
          <w:rFonts w:hint="eastAsia"/>
        </w:rPr>
        <w:t>对投标人资质条件进行审核的公路施工监理企业。</w:t>
      </w:r>
    </w:p>
  </w:footnote>
  <w:footnote w:id="1">
    <w:p w14:paraId="33629395">
      <w:pPr>
        <w:pStyle w:val="9"/>
      </w:pPr>
      <w:r>
        <w:rPr>
          <w:rStyle w:val="13"/>
        </w:rPr>
        <w:footnoteRef/>
      </w:r>
      <w:r>
        <w:t>各评分因素（评标价和</w:t>
      </w:r>
      <w:r>
        <w:rPr>
          <w:rFonts w:hint="eastAsia"/>
          <w:lang w:val="en-US" w:eastAsia="zh-CN"/>
        </w:rPr>
        <w:t>技术能力</w:t>
      </w:r>
      <w:r>
        <w:t>评分项除外）得分一般不得低于其权重分值的60%，且各评分因素得分应以评标委员会各成员的打分平均值确定，分数保留两位小数</w:t>
      </w:r>
      <w:r>
        <w:rPr>
          <w:rFonts w:hint="eastAsia"/>
        </w:rPr>
        <w:t>。</w:t>
      </w:r>
      <w:r>
        <w:t>评标委员会成员总数为7人以上时，该平均值以去掉一个最高分和一个最低分后计算。评标委员会成员对某一项评分因素的评分低于权重分值60%的，应在评标报告中作出说明。</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NlNmJhZWI0ZDJmODFjNDMwOTU5MGVmZDE2YzJmMjgifQ=="/>
  </w:docVars>
  <w:rsids>
    <w:rsidRoot w:val="00DE1914"/>
    <w:rsid w:val="00007D0D"/>
    <w:rsid w:val="000C7FFE"/>
    <w:rsid w:val="000D45D8"/>
    <w:rsid w:val="00150308"/>
    <w:rsid w:val="0016649D"/>
    <w:rsid w:val="001C5264"/>
    <w:rsid w:val="001F4B00"/>
    <w:rsid w:val="001F767C"/>
    <w:rsid w:val="00250688"/>
    <w:rsid w:val="002B6B2C"/>
    <w:rsid w:val="00316C16"/>
    <w:rsid w:val="003171A3"/>
    <w:rsid w:val="0037455E"/>
    <w:rsid w:val="003C3184"/>
    <w:rsid w:val="003E1571"/>
    <w:rsid w:val="00530DB1"/>
    <w:rsid w:val="00562C9D"/>
    <w:rsid w:val="005C0428"/>
    <w:rsid w:val="00643E44"/>
    <w:rsid w:val="006A39C9"/>
    <w:rsid w:val="006C28DA"/>
    <w:rsid w:val="0072686E"/>
    <w:rsid w:val="00786838"/>
    <w:rsid w:val="008715DB"/>
    <w:rsid w:val="00873F02"/>
    <w:rsid w:val="008E2951"/>
    <w:rsid w:val="008E6FE1"/>
    <w:rsid w:val="009A086D"/>
    <w:rsid w:val="009B01BC"/>
    <w:rsid w:val="009D3B6D"/>
    <w:rsid w:val="00A73217"/>
    <w:rsid w:val="00AB197A"/>
    <w:rsid w:val="00AB5898"/>
    <w:rsid w:val="00B77B1E"/>
    <w:rsid w:val="00BB6447"/>
    <w:rsid w:val="00BE0105"/>
    <w:rsid w:val="00BF0284"/>
    <w:rsid w:val="00C15CD1"/>
    <w:rsid w:val="00C40C09"/>
    <w:rsid w:val="00CA2765"/>
    <w:rsid w:val="00CA3A18"/>
    <w:rsid w:val="00CC109B"/>
    <w:rsid w:val="00D43D36"/>
    <w:rsid w:val="00D57E3A"/>
    <w:rsid w:val="00DC39DC"/>
    <w:rsid w:val="00DE1914"/>
    <w:rsid w:val="00DF2D8E"/>
    <w:rsid w:val="00E16787"/>
    <w:rsid w:val="00E7408A"/>
    <w:rsid w:val="00EA5385"/>
    <w:rsid w:val="00F641C5"/>
    <w:rsid w:val="00F76FA4"/>
    <w:rsid w:val="00FC5FAE"/>
    <w:rsid w:val="00FD038E"/>
    <w:rsid w:val="00FF554C"/>
    <w:rsid w:val="02CE4BE3"/>
    <w:rsid w:val="16762FB3"/>
    <w:rsid w:val="1C481C02"/>
    <w:rsid w:val="3FDA0391"/>
    <w:rsid w:val="613267FE"/>
    <w:rsid w:val="63304E2E"/>
    <w:rsid w:val="6623322B"/>
    <w:rsid w:val="669D5F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rPr>
      <w:sz w:val="28"/>
      <w:szCs w:val="24"/>
    </w:rPr>
  </w:style>
  <w:style w:type="paragraph" w:styleId="4">
    <w:name w:val="Body Text Indent"/>
    <w:basedOn w:val="1"/>
    <w:next w:val="5"/>
    <w:link w:val="28"/>
    <w:qFormat/>
    <w:uiPriority w:val="99"/>
    <w:pPr>
      <w:ind w:firstLine="1120" w:firstLineChars="400"/>
    </w:pPr>
    <w:rPr>
      <w:rFonts w:ascii="Times New Roman" w:hAnsi="Times New Roman" w:eastAsia="宋体" w:cs="Times New Roman"/>
      <w:sz w:val="28"/>
      <w:szCs w:val="24"/>
    </w:rPr>
  </w:style>
  <w:style w:type="paragraph" w:styleId="5">
    <w:name w:val="Body Text Indent 2"/>
    <w:basedOn w:val="1"/>
    <w:link w:val="29"/>
    <w:semiHidden/>
    <w:unhideWhenUsed/>
    <w:qFormat/>
    <w:uiPriority w:val="99"/>
    <w:pPr>
      <w:spacing w:after="120" w:line="480" w:lineRule="auto"/>
      <w:ind w:left="420" w:leftChars="200"/>
    </w:pPr>
  </w:style>
  <w:style w:type="paragraph" w:styleId="6">
    <w:name w:val="Plain Text"/>
    <w:basedOn w:val="1"/>
    <w:link w:val="30"/>
    <w:qFormat/>
    <w:uiPriority w:val="99"/>
    <w:rPr>
      <w:rFonts w:ascii="宋体" w:hAnsi="Courier New" w:eastAsia="宋体" w:cs="Times New Roman"/>
      <w:szCs w:val="21"/>
    </w:rPr>
  </w:style>
  <w:style w:type="paragraph" w:styleId="7">
    <w:name w:val="footer"/>
    <w:basedOn w:val="1"/>
    <w:link w:val="24"/>
    <w:autoRedefine/>
    <w:unhideWhenUsed/>
    <w:qFormat/>
    <w:uiPriority w:val="99"/>
    <w:pPr>
      <w:tabs>
        <w:tab w:val="center" w:pos="4153"/>
        <w:tab w:val="right" w:pos="8306"/>
      </w:tabs>
      <w:snapToGrid w:val="0"/>
      <w:jc w:val="left"/>
    </w:pPr>
    <w:rPr>
      <w:sz w:val="18"/>
      <w:szCs w:val="18"/>
    </w:rPr>
  </w:style>
  <w:style w:type="paragraph" w:styleId="8">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16"/>
    <w:autoRedefine/>
    <w:unhideWhenUsed/>
    <w:qFormat/>
    <w:uiPriority w:val="0"/>
    <w:pPr>
      <w:snapToGrid w:val="0"/>
      <w:jc w:val="left"/>
    </w:pPr>
    <w:rPr>
      <w:rFonts w:ascii="Times New Roman" w:hAnsi="Times New Roman" w:eastAsia="宋体" w:cs="Times New Roman"/>
      <w:kern w:val="0"/>
      <w:sz w:val="18"/>
      <w:szCs w:val="18"/>
    </w:rPr>
  </w:style>
  <w:style w:type="paragraph" w:styleId="10">
    <w:name w:val="Body Text First Indent"/>
    <w:basedOn w:val="3"/>
    <w:qFormat/>
    <w:uiPriority w:val="0"/>
    <w:pPr>
      <w:spacing w:line="312" w:lineRule="auto"/>
      <w:ind w:firstLine="420"/>
    </w:pPr>
    <w:rPr>
      <w:rFonts w:ascii="Calibri" w:hAnsi="Calibri"/>
    </w:rPr>
  </w:style>
  <w:style w:type="character" w:styleId="13">
    <w:name w:val="footnote reference"/>
    <w:autoRedefine/>
    <w:qFormat/>
    <w:uiPriority w:val="0"/>
    <w:rPr>
      <w:vertAlign w:val="superscript"/>
    </w:rPr>
  </w:style>
  <w:style w:type="character" w:customStyle="1" w:styleId="14">
    <w:name w:val="其他_"/>
    <w:link w:val="15"/>
    <w:qFormat/>
    <w:uiPriority w:val="0"/>
    <w:rPr>
      <w:rFonts w:ascii="宋体" w:hAnsi="宋体" w:cs="宋体"/>
      <w:shd w:val="clear" w:color="auto" w:fill="FFFFFF"/>
      <w:lang w:val="zh-CN" w:bidi="zh-CN"/>
    </w:rPr>
  </w:style>
  <w:style w:type="paragraph" w:customStyle="1" w:styleId="15">
    <w:name w:val="其他"/>
    <w:basedOn w:val="1"/>
    <w:link w:val="14"/>
    <w:autoRedefine/>
    <w:qFormat/>
    <w:uiPriority w:val="0"/>
    <w:pPr>
      <w:shd w:val="clear" w:color="auto" w:fill="FFFFFF"/>
      <w:spacing w:line="430" w:lineRule="auto"/>
      <w:ind w:firstLine="400"/>
      <w:jc w:val="distribute"/>
    </w:pPr>
    <w:rPr>
      <w:rFonts w:ascii="宋体" w:hAnsi="宋体" w:cs="宋体"/>
      <w:lang w:val="zh-CN" w:bidi="zh-CN"/>
    </w:rPr>
  </w:style>
  <w:style w:type="character" w:customStyle="1" w:styleId="16">
    <w:name w:val="脚注文本 字符"/>
    <w:basedOn w:val="12"/>
    <w:link w:val="9"/>
    <w:qFormat/>
    <w:uiPriority w:val="0"/>
    <w:rPr>
      <w:rFonts w:ascii="Times New Roman" w:hAnsi="Times New Roman" w:eastAsia="宋体" w:cs="Times New Roman"/>
      <w:kern w:val="0"/>
      <w:sz w:val="18"/>
      <w:szCs w:val="18"/>
    </w:rPr>
  </w:style>
  <w:style w:type="character" w:customStyle="1" w:styleId="17">
    <w:name w:val="正文文本 (2)_"/>
    <w:link w:val="18"/>
    <w:autoRedefine/>
    <w:qFormat/>
    <w:uiPriority w:val="0"/>
    <w:rPr>
      <w:rFonts w:ascii="宋体" w:hAnsi="宋体" w:cs="宋体"/>
      <w:sz w:val="22"/>
      <w:shd w:val="clear" w:color="auto" w:fill="FFFFFF"/>
    </w:rPr>
  </w:style>
  <w:style w:type="paragraph" w:customStyle="1" w:styleId="18">
    <w:name w:val="正文文本 (2)"/>
    <w:basedOn w:val="1"/>
    <w:link w:val="17"/>
    <w:autoRedefine/>
    <w:qFormat/>
    <w:uiPriority w:val="0"/>
    <w:pPr>
      <w:shd w:val="clear" w:color="auto" w:fill="FFFFFF"/>
      <w:spacing w:before="300" w:line="439" w:lineRule="exact"/>
      <w:jc w:val="distribute"/>
    </w:pPr>
    <w:rPr>
      <w:rFonts w:ascii="宋体" w:hAnsi="宋体" w:cs="宋体"/>
      <w:sz w:val="22"/>
    </w:rPr>
  </w:style>
  <w:style w:type="paragraph" w:styleId="19">
    <w:name w:val="List Paragraph"/>
    <w:basedOn w:val="1"/>
    <w:qFormat/>
    <w:uiPriority w:val="34"/>
    <w:pPr>
      <w:ind w:firstLine="420" w:firstLineChars="200"/>
    </w:pPr>
    <w:rPr>
      <w:rFonts w:ascii="Times New Roman" w:hAnsi="Times New Roman" w:eastAsia="宋体" w:cs="Times New Roman"/>
    </w:rPr>
  </w:style>
  <w:style w:type="character" w:customStyle="1" w:styleId="20">
    <w:name w:val="正文文本 (2) + 9.5 pt"/>
    <w:qFormat/>
    <w:uiPriority w:val="0"/>
    <w:rPr>
      <w:rFonts w:ascii="MingLiU" w:hAnsi="MingLiU" w:eastAsia="MingLiU" w:cs="MingLiU"/>
      <w:color w:val="000000"/>
      <w:spacing w:val="0"/>
      <w:w w:val="100"/>
      <w:position w:val="0"/>
      <w:sz w:val="19"/>
      <w:szCs w:val="19"/>
      <w:shd w:val="clear" w:color="auto" w:fill="FFFFFF"/>
      <w:lang w:val="zh-TW" w:eastAsia="zh-TW" w:bidi="zh-TW"/>
    </w:rPr>
  </w:style>
  <w:style w:type="character" w:customStyle="1" w:styleId="21">
    <w:name w:val="正文文本 (2) + 10 pt"/>
    <w:autoRedefine/>
    <w:qFormat/>
    <w:uiPriority w:val="0"/>
    <w:rPr>
      <w:rFonts w:ascii="MingLiU" w:hAnsi="MingLiU" w:eastAsia="MingLiU" w:cs="MingLiU"/>
      <w:b/>
      <w:bCs/>
      <w:color w:val="000000"/>
      <w:spacing w:val="0"/>
      <w:w w:val="100"/>
      <w:position w:val="0"/>
      <w:sz w:val="20"/>
      <w:szCs w:val="20"/>
      <w:u w:val="none"/>
      <w:lang w:val="zh-TW" w:eastAsia="zh-TW" w:bidi="zh-TW"/>
    </w:rPr>
  </w:style>
  <w:style w:type="character" w:customStyle="1" w:styleId="22">
    <w:name w:val="正文文本 (2) + 9 pt"/>
    <w:autoRedefine/>
    <w:qFormat/>
    <w:uiPriority w:val="0"/>
    <w:rPr>
      <w:rFonts w:ascii="MingLiU" w:hAnsi="MingLiU" w:eastAsia="MingLiU" w:cs="MingLiU"/>
      <w:color w:val="000000"/>
      <w:spacing w:val="0"/>
      <w:w w:val="100"/>
      <w:position w:val="0"/>
      <w:sz w:val="18"/>
      <w:szCs w:val="18"/>
      <w:u w:val="none"/>
      <w:shd w:val="clear" w:color="auto" w:fill="FFFFFF"/>
      <w:lang w:val="en-US" w:eastAsia="en-US" w:bidi="en-US"/>
    </w:rPr>
  </w:style>
  <w:style w:type="character" w:customStyle="1" w:styleId="23">
    <w:name w:val="页眉 字符"/>
    <w:basedOn w:val="12"/>
    <w:link w:val="8"/>
    <w:qFormat/>
    <w:uiPriority w:val="99"/>
    <w:rPr>
      <w:sz w:val="18"/>
      <w:szCs w:val="18"/>
    </w:rPr>
  </w:style>
  <w:style w:type="character" w:customStyle="1" w:styleId="24">
    <w:name w:val="页脚 字符"/>
    <w:basedOn w:val="12"/>
    <w:link w:val="7"/>
    <w:autoRedefine/>
    <w:qFormat/>
    <w:uiPriority w:val="99"/>
    <w:rPr>
      <w:sz w:val="18"/>
      <w:szCs w:val="18"/>
    </w:rPr>
  </w:style>
  <w:style w:type="paragraph" w:customStyle="1" w:styleId="25">
    <w:name w:val="MSG_EN_FONT_STYLE_NAME_TEMPLATE_ROLE_NUMBER MSG_EN_FONT_STYLE_NAME_BY_ROLE_TEXT 131"/>
    <w:basedOn w:val="1"/>
    <w:link w:val="31"/>
    <w:autoRedefine/>
    <w:qFormat/>
    <w:uiPriority w:val="0"/>
    <w:pPr>
      <w:shd w:val="clear" w:color="auto" w:fill="FFFFFF"/>
      <w:spacing w:before="340" w:after="160" w:line="398" w:lineRule="exact"/>
      <w:jc w:val="distribute"/>
    </w:pPr>
    <w:rPr>
      <w:rFonts w:ascii="PMingLiU" w:hAnsi="PMingLiU" w:eastAsia="PMingLiU" w:cs="PMingLiU"/>
      <w:kern w:val="0"/>
      <w:sz w:val="20"/>
      <w:szCs w:val="20"/>
    </w:rPr>
  </w:style>
  <w:style w:type="character" w:customStyle="1" w:styleId="26">
    <w:name w:val="MSG_EN_FONT_STYLE_NAME_TEMPLATE_ROLE_NUMBER MSG_EN_FONT_STYLE_NAME_BY_ROLE_TEXT 13 + MSG_EN_FONT_STYLE_MODIFER_SIZE 8.5"/>
    <w:autoRedefine/>
    <w:qFormat/>
    <w:uiPriority w:val="0"/>
    <w:rPr>
      <w:rFonts w:ascii="PMingLiU" w:hAnsi="PMingLiU" w:eastAsia="PMingLiU" w:cs="PMingLiU"/>
      <w:color w:val="000000"/>
      <w:spacing w:val="0"/>
      <w:w w:val="100"/>
      <w:position w:val="0"/>
      <w:sz w:val="17"/>
      <w:szCs w:val="17"/>
      <w:u w:val="none"/>
      <w:shd w:val="clear" w:color="auto" w:fill="FFFFFF"/>
      <w:lang w:val="zh-CN" w:eastAsia="zh-CN" w:bidi="zh-CN"/>
    </w:rPr>
  </w:style>
  <w:style w:type="paragraph" w:customStyle="1" w:styleId="27">
    <w:name w:val="MSG_EN_FONT_STYLE_NAME_TEMPLATE_ROLE_NUMBER MSG_EN_FONT_STYLE_NAME_BY_ROLE_TEXT 5"/>
    <w:basedOn w:val="1"/>
    <w:link w:val="32"/>
    <w:autoRedefine/>
    <w:qFormat/>
    <w:uiPriority w:val="0"/>
    <w:pPr>
      <w:shd w:val="clear" w:color="auto" w:fill="FFFFFF"/>
      <w:spacing w:before="5120" w:line="170" w:lineRule="exact"/>
      <w:jc w:val="left"/>
    </w:pPr>
    <w:rPr>
      <w:rFonts w:ascii="PMingLiU" w:hAnsi="PMingLiU" w:eastAsia="PMingLiU" w:cs="PMingLiU"/>
      <w:kern w:val="0"/>
      <w:sz w:val="17"/>
      <w:szCs w:val="17"/>
    </w:rPr>
  </w:style>
  <w:style w:type="character" w:customStyle="1" w:styleId="28">
    <w:name w:val="正文文本缩进 字符"/>
    <w:basedOn w:val="12"/>
    <w:link w:val="4"/>
    <w:qFormat/>
    <w:uiPriority w:val="99"/>
    <w:rPr>
      <w:rFonts w:ascii="Times New Roman" w:hAnsi="Times New Roman" w:eastAsia="宋体" w:cs="Times New Roman"/>
      <w:kern w:val="2"/>
      <w:sz w:val="28"/>
      <w:szCs w:val="24"/>
    </w:rPr>
  </w:style>
  <w:style w:type="character" w:customStyle="1" w:styleId="29">
    <w:name w:val="正文文本缩进 2 字符"/>
    <w:basedOn w:val="12"/>
    <w:link w:val="5"/>
    <w:semiHidden/>
    <w:qFormat/>
    <w:uiPriority w:val="99"/>
    <w:rPr>
      <w:kern w:val="2"/>
      <w:sz w:val="21"/>
      <w:szCs w:val="22"/>
    </w:rPr>
  </w:style>
  <w:style w:type="character" w:customStyle="1" w:styleId="30">
    <w:name w:val="纯文本 字符"/>
    <w:basedOn w:val="12"/>
    <w:link w:val="6"/>
    <w:qFormat/>
    <w:uiPriority w:val="99"/>
    <w:rPr>
      <w:rFonts w:ascii="宋体" w:hAnsi="Courier New" w:eastAsia="宋体" w:cs="Times New Roman"/>
      <w:kern w:val="2"/>
      <w:sz w:val="21"/>
      <w:szCs w:val="21"/>
    </w:rPr>
  </w:style>
  <w:style w:type="character" w:customStyle="1" w:styleId="31">
    <w:name w:val="MSG_EN_FONT_STYLE_NAME_TEMPLATE_ROLE_NUMBER MSG_EN_FONT_STYLE_NAME_BY_ROLE_TEXT 13_"/>
    <w:link w:val="25"/>
    <w:qFormat/>
    <w:uiPriority w:val="0"/>
    <w:rPr>
      <w:rFonts w:ascii="PMingLiU" w:hAnsi="PMingLiU" w:eastAsia="PMingLiU" w:cs="PMingLiU"/>
      <w:shd w:val="clear" w:color="auto" w:fill="FFFFFF"/>
    </w:rPr>
  </w:style>
  <w:style w:type="character" w:customStyle="1" w:styleId="32">
    <w:name w:val="MSG_EN_FONT_STYLE_NAME_TEMPLATE_ROLE_NUMBER MSG_EN_FONT_STYLE_NAME_BY_ROLE_TEXT 5_"/>
    <w:link w:val="27"/>
    <w:qFormat/>
    <w:uiPriority w:val="0"/>
    <w:rPr>
      <w:rFonts w:ascii="PMingLiU" w:hAnsi="PMingLiU" w:eastAsia="PMingLiU" w:cs="PMingLiU"/>
      <w:sz w:val="17"/>
      <w:szCs w:val="17"/>
      <w:shd w:val="clear" w:color="auto" w:fill="FFFFFF"/>
    </w:rPr>
  </w:style>
  <w:style w:type="character" w:customStyle="1" w:styleId="33">
    <w:name w:val="正文文本 (7) + David"/>
    <w:qFormat/>
    <w:uiPriority w:val="0"/>
    <w:rPr>
      <w:rFonts w:ascii="David" w:hAnsi="David" w:eastAsia="David" w:cs="David"/>
      <w:color w:val="000000"/>
      <w:spacing w:val="0"/>
      <w:w w:val="100"/>
      <w:position w:val="0"/>
      <w:sz w:val="42"/>
      <w:szCs w:val="42"/>
      <w:shd w:val="clear" w:color="auto" w:fill="FFFFFF"/>
      <w:lang w:val="en-US" w:eastAsia="en-US" w:bidi="en-US"/>
    </w:rPr>
  </w:style>
  <w:style w:type="character" w:customStyle="1" w:styleId="34">
    <w:name w:val="正文文本 (2) + Times New Roman"/>
    <w:qFormat/>
    <w:uiPriority w:val="0"/>
    <w:rPr>
      <w:rFonts w:ascii="Times New Roman" w:hAnsi="Times New Roman" w:eastAsia="Times New Roman" w:cs="Times New Roman"/>
      <w:color w:val="000000"/>
      <w:spacing w:val="0"/>
      <w:w w:val="100"/>
      <w:position w:val="0"/>
      <w:sz w:val="24"/>
      <w:szCs w:val="24"/>
      <w:u w:val="none"/>
      <w:shd w:val="clear" w:color="auto" w:fill="FFFFFF"/>
      <w:lang w:val="en-US" w:eastAsia="en-US" w:bidi="en-US"/>
    </w:rPr>
  </w:style>
  <w:style w:type="character" w:customStyle="1" w:styleId="35">
    <w:name w:val="正文文本 (2) + Tahoma"/>
    <w:qFormat/>
    <w:uiPriority w:val="0"/>
    <w:rPr>
      <w:rFonts w:ascii="Tahoma" w:hAnsi="Tahoma" w:eastAsia="Tahoma" w:cs="Tahoma"/>
      <w:color w:val="000000"/>
      <w:spacing w:val="0"/>
      <w:w w:val="100"/>
      <w:position w:val="0"/>
      <w:sz w:val="18"/>
      <w:szCs w:val="18"/>
      <w:u w:val="none"/>
      <w:shd w:val="clear" w:color="auto" w:fill="FFFFFF"/>
      <w:lang w:val="en-US"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1415-EB3F-4E4B-8E9A-7202B2D1D16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4003</Words>
  <Characters>4253</Characters>
  <Lines>39</Lines>
  <Paragraphs>11</Paragraphs>
  <TotalTime>0</TotalTime>
  <ScaleCrop>false</ScaleCrop>
  <LinksUpToDate>false</LinksUpToDate>
  <CharactersWithSpaces>4274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2021-08-02T04:08:00Z</dcterms:created>
  <dc:creator>微软用户</dc:creator>
  <cp:lastModifiedBy>ASUS</cp:lastModifiedBy>
  <dcterms:modified xsi:type="dcterms:W3CDTF">2026-08-05T05:56:25Z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97B25FE1A566477186C8543FFB10435D_12</vt:lpwstr>
  </property>
  <property fmtid="{D5CDD505-2E9C-101B-9397-08002B2CF9AE}" pid="4" name="KSOTemplateDocerSaveRecord">
    <vt:lpwstr>eyJoZGlkIjoiZWEyZGQyZDIxYjdjNzVlYjVkM2EyZTg3MWQ0M2U4ODUiLCJ1c2VySWQiOiI0MzE5OTkyMDAifQ==</vt:lpwstr>
  </property>
</Properties>
</file>