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39511">
      <w:pPr>
        <w:keepNext/>
        <w:keepLines/>
        <w:pageBreakBefore w:val="0"/>
        <w:kinsoku/>
        <w:wordWrap/>
        <w:overflowPunct/>
        <w:topLinePunct w:val="0"/>
        <w:bidi w:val="0"/>
        <w:adjustRightInd w:val="0"/>
        <w:snapToGrid w:val="0"/>
        <w:spacing w:line="240" w:lineRule="exact"/>
        <w:jc w:val="center"/>
        <w:textAlignment w:val="auto"/>
        <w:outlineLvl w:val="3"/>
        <w:rPr>
          <w:rFonts w:hint="eastAsia" w:cs="Times New Roman"/>
          <w:bCs/>
          <w:color w:val="auto"/>
          <w:sz w:val="18"/>
          <w:szCs w:val="18"/>
        </w:rPr>
      </w:pPr>
      <w:bookmarkStart w:id="0" w:name="_Toc184704554"/>
      <w:r>
        <w:rPr>
          <w:rFonts w:hint="eastAsia" w:ascii="黑体" w:hAnsi="黑体" w:eastAsia="黑体" w:cs="Times New Roman"/>
          <w:bCs/>
          <w:color w:val="auto"/>
          <w:sz w:val="24"/>
          <w:szCs w:val="24"/>
          <w:lang w:val="en-US" w:eastAsia="zh-CN"/>
        </w:rPr>
        <w:t>吉林高速公路股份有限公司2026年高速公路养护工程</w:t>
      </w:r>
      <w:r>
        <w:rPr>
          <w:rFonts w:hint="eastAsia" w:ascii="黑体" w:hAnsi="黑体" w:eastAsia="黑体" w:cs="Times New Roman"/>
          <w:bCs/>
          <w:color w:val="auto"/>
          <w:sz w:val="24"/>
          <w:szCs w:val="24"/>
        </w:rPr>
        <w:t>施工</w:t>
      </w:r>
      <w:r>
        <w:rPr>
          <w:rFonts w:ascii="黑体" w:hAnsi="黑体" w:eastAsia="黑体" w:cs="Times New Roman"/>
          <w:bCs/>
          <w:color w:val="auto"/>
          <w:sz w:val="24"/>
          <w:szCs w:val="24"/>
        </w:rPr>
        <w:t>招标</w:t>
      </w:r>
      <w:r>
        <w:rPr>
          <w:rFonts w:hint="eastAsia" w:ascii="黑体" w:hAnsi="黑体" w:eastAsia="黑体" w:cs="Times New Roman"/>
          <w:bCs/>
          <w:color w:val="auto"/>
          <w:sz w:val="24"/>
          <w:szCs w:val="24"/>
        </w:rPr>
        <w:t>文件关键内容</w:t>
      </w:r>
    </w:p>
    <w:p w14:paraId="783C8505">
      <w:pPr>
        <w:keepNext/>
        <w:keepLines/>
        <w:pageBreakBefore w:val="0"/>
        <w:kinsoku/>
        <w:wordWrap/>
        <w:overflowPunct/>
        <w:topLinePunct w:val="0"/>
        <w:bidi w:val="0"/>
        <w:adjustRightInd w:val="0"/>
        <w:snapToGrid w:val="0"/>
        <w:spacing w:line="240" w:lineRule="exact"/>
        <w:textAlignment w:val="auto"/>
        <w:outlineLvl w:val="3"/>
        <w:rPr>
          <w:rFonts w:hint="eastAsia" w:cs="Times New Roman"/>
          <w:bCs/>
          <w:color w:val="auto"/>
          <w:sz w:val="18"/>
          <w:szCs w:val="18"/>
        </w:rPr>
      </w:pPr>
      <w:bookmarkStart w:id="20" w:name="_GoBack"/>
      <w:bookmarkEnd w:id="20"/>
    </w:p>
    <w:p w14:paraId="1F48EBE8">
      <w:pPr>
        <w:keepNext/>
        <w:keepLines/>
        <w:pageBreakBefore w:val="0"/>
        <w:kinsoku/>
        <w:wordWrap/>
        <w:overflowPunct/>
        <w:topLinePunct w:val="0"/>
        <w:bidi w:val="0"/>
        <w:adjustRightInd w:val="0"/>
        <w:snapToGrid w:val="0"/>
        <w:spacing w:line="240" w:lineRule="exact"/>
        <w:textAlignment w:val="auto"/>
        <w:outlineLvl w:val="3"/>
        <w:rPr>
          <w:rFonts w:cs="Times New Roman"/>
          <w:bCs/>
          <w:color w:val="auto"/>
          <w:sz w:val="18"/>
          <w:szCs w:val="18"/>
        </w:rPr>
      </w:pPr>
      <w:r>
        <w:rPr>
          <w:rFonts w:hint="eastAsia" w:cs="Times New Roman"/>
          <w:bCs/>
          <w:color w:val="auto"/>
          <w:sz w:val="18"/>
          <w:szCs w:val="18"/>
        </w:rPr>
        <w:t>一、项目概况与招标范围</w:t>
      </w:r>
      <w:bookmarkEnd w:id="0"/>
    </w:p>
    <w:p w14:paraId="4B8EE97D">
      <w:pPr>
        <w:pageBreakBefore w:val="0"/>
        <w:kinsoku/>
        <w:wordWrap/>
        <w:overflowPunct/>
        <w:topLinePunct w:val="0"/>
        <w:bidi w:val="0"/>
        <w:adjustRightInd w:val="0"/>
        <w:snapToGrid w:val="0"/>
        <w:spacing w:line="240" w:lineRule="exact"/>
        <w:ind w:firstLine="360" w:firstLineChars="200"/>
        <w:textAlignment w:val="auto"/>
        <w:rPr>
          <w:rFonts w:cs="Times New Roman"/>
          <w:color w:val="auto"/>
          <w:sz w:val="18"/>
          <w:szCs w:val="18"/>
        </w:rPr>
      </w:pPr>
      <w:r>
        <w:rPr>
          <w:rFonts w:hint="eastAsia" w:cs="Times New Roman"/>
          <w:color w:val="auto"/>
          <w:sz w:val="18"/>
          <w:szCs w:val="18"/>
        </w:rPr>
        <w:t>详见招标公告。</w:t>
      </w:r>
    </w:p>
    <w:p w14:paraId="44A041D1">
      <w:pPr>
        <w:keepNext/>
        <w:keepLines/>
        <w:pageBreakBefore w:val="0"/>
        <w:kinsoku/>
        <w:wordWrap/>
        <w:overflowPunct/>
        <w:topLinePunct w:val="0"/>
        <w:bidi w:val="0"/>
        <w:adjustRightInd w:val="0"/>
        <w:snapToGrid w:val="0"/>
        <w:spacing w:line="240" w:lineRule="exact"/>
        <w:textAlignment w:val="auto"/>
        <w:outlineLvl w:val="3"/>
        <w:rPr>
          <w:rFonts w:cs="Times New Roman"/>
          <w:bCs/>
          <w:color w:val="auto"/>
          <w:sz w:val="18"/>
          <w:szCs w:val="18"/>
        </w:rPr>
      </w:pPr>
      <w:r>
        <w:rPr>
          <w:rFonts w:hint="eastAsia" w:cs="Times New Roman"/>
          <w:bCs/>
          <w:color w:val="auto"/>
          <w:sz w:val="18"/>
          <w:szCs w:val="18"/>
        </w:rPr>
        <w:t>二、资格条件要求</w:t>
      </w:r>
    </w:p>
    <w:p w14:paraId="5309CDDC">
      <w:pPr>
        <w:pageBreakBefore w:val="0"/>
        <w:kinsoku/>
        <w:wordWrap/>
        <w:overflowPunct/>
        <w:topLinePunct w:val="0"/>
        <w:bidi w:val="0"/>
        <w:adjustRightInd w:val="0"/>
        <w:snapToGrid w:val="0"/>
        <w:spacing w:line="240" w:lineRule="exact"/>
        <w:ind w:firstLine="361" w:firstLineChars="200"/>
        <w:textAlignment w:val="auto"/>
        <w:rPr>
          <w:rFonts w:hint="eastAsia" w:cs="Times New Roman"/>
          <w:b/>
          <w:color w:val="auto"/>
          <w:sz w:val="18"/>
          <w:szCs w:val="18"/>
        </w:rPr>
      </w:pPr>
      <w:r>
        <w:rPr>
          <w:rFonts w:hint="eastAsia" w:cs="Times New Roman"/>
          <w:b/>
          <w:color w:val="auto"/>
          <w:sz w:val="18"/>
          <w:szCs w:val="18"/>
        </w:rPr>
        <w:t>投标人须知前附表（投标人资格要求部分）</w:t>
      </w:r>
    </w:p>
    <w:tbl>
      <w:tblPr>
        <w:tblStyle w:val="8"/>
        <w:tblW w:w="954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36"/>
        <w:gridCol w:w="2461"/>
        <w:gridCol w:w="6252"/>
      </w:tblGrid>
      <w:tr w14:paraId="2BE2F8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70" w:hRule="atLeast"/>
          <w:jc w:val="center"/>
        </w:trPr>
        <w:tc>
          <w:tcPr>
            <w:tcW w:w="836" w:type="dxa"/>
            <w:tcBorders>
              <w:tl2br w:val="nil"/>
              <w:tr2bl w:val="nil"/>
            </w:tcBorders>
            <w:vAlign w:val="center"/>
          </w:tcPr>
          <w:p w14:paraId="656C84CF">
            <w:pPr>
              <w:jc w:val="center"/>
              <w:rPr>
                <w:rFonts w:hint="eastAsia" w:ascii="宋体" w:hAnsi="宋体" w:eastAsia="宋体" w:cs="宋体"/>
                <w:color w:val="auto"/>
                <w:sz w:val="18"/>
                <w:szCs w:val="18"/>
                <w:vertAlign w:val="superscript"/>
              </w:rPr>
            </w:pPr>
            <w:r>
              <w:rPr>
                <w:rFonts w:hint="eastAsia" w:ascii="宋体" w:hAnsi="宋体" w:eastAsia="宋体" w:cs="宋体"/>
                <w:color w:val="auto"/>
                <w:sz w:val="18"/>
                <w:szCs w:val="18"/>
              </w:rPr>
              <w:t>1.4.1</w:t>
            </w:r>
            <w:r>
              <w:rPr>
                <w:rFonts w:hint="eastAsia" w:ascii="宋体" w:hAnsi="宋体" w:eastAsia="宋体" w:cs="宋体"/>
                <w:color w:val="auto"/>
                <w:sz w:val="18"/>
                <w:szCs w:val="18"/>
                <w:vertAlign w:val="superscript"/>
              </w:rPr>
              <w:t xml:space="preserve"> </w:t>
            </w:r>
          </w:p>
        </w:tc>
        <w:tc>
          <w:tcPr>
            <w:tcW w:w="2461" w:type="dxa"/>
            <w:tcBorders>
              <w:tl2br w:val="nil"/>
              <w:tr2bl w:val="nil"/>
            </w:tcBorders>
            <w:vAlign w:val="center"/>
          </w:tcPr>
          <w:p w14:paraId="5A30C9BA">
            <w:pPr>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投标人资质条件、能力和信誉</w:t>
            </w:r>
          </w:p>
        </w:tc>
        <w:tc>
          <w:tcPr>
            <w:tcW w:w="6252" w:type="dxa"/>
            <w:tcBorders>
              <w:tl2br w:val="nil"/>
              <w:tr2bl w:val="nil"/>
            </w:tcBorders>
            <w:vAlign w:val="center"/>
          </w:tcPr>
          <w:p w14:paraId="6D722F2D">
            <w:pPr>
              <w:adjustRightInd w:val="0"/>
              <w:snapToGrid w:val="0"/>
              <w:ind w:firstLine="90" w:firstLineChars="50"/>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资质要求：见</w:t>
            </w:r>
            <w:r>
              <w:rPr>
                <w:rFonts w:hint="eastAsia" w:ascii="宋体" w:hAnsi="宋体" w:eastAsia="宋体" w:cs="宋体"/>
                <w:kern w:val="0"/>
                <w:sz w:val="18"/>
                <w:szCs w:val="18"/>
                <w:highlight w:val="none"/>
              </w:rPr>
              <w:t>附录1</w:t>
            </w:r>
          </w:p>
          <w:p w14:paraId="355BC802">
            <w:pPr>
              <w:adjustRightInd w:val="0"/>
              <w:snapToGrid w:val="0"/>
              <w:ind w:firstLine="90" w:firstLineChars="5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rPr>
              <w:t>财务要求：见</w:t>
            </w:r>
            <w:r>
              <w:rPr>
                <w:rFonts w:hint="eastAsia" w:ascii="宋体" w:hAnsi="宋体" w:eastAsia="宋体" w:cs="宋体"/>
                <w:color w:val="auto"/>
                <w:kern w:val="0"/>
                <w:sz w:val="18"/>
                <w:szCs w:val="18"/>
                <w:lang w:val="en-US" w:eastAsia="zh-CN"/>
              </w:rPr>
              <w:t>附录2</w:t>
            </w:r>
          </w:p>
          <w:p w14:paraId="7002F932">
            <w:pPr>
              <w:adjustRightInd w:val="0"/>
              <w:snapToGrid w:val="0"/>
              <w:ind w:firstLine="90" w:firstLineChars="5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rPr>
              <w:t>业绩要求：见</w:t>
            </w:r>
            <w:r>
              <w:rPr>
                <w:rFonts w:hint="eastAsia" w:ascii="宋体" w:hAnsi="宋体" w:eastAsia="宋体" w:cs="宋体"/>
                <w:color w:val="auto"/>
                <w:kern w:val="0"/>
                <w:sz w:val="18"/>
                <w:szCs w:val="18"/>
                <w:lang w:val="en-US" w:eastAsia="zh-CN"/>
              </w:rPr>
              <w:t>附录3</w:t>
            </w:r>
          </w:p>
          <w:p w14:paraId="19C0D1B4">
            <w:pPr>
              <w:adjustRightInd w:val="0"/>
              <w:snapToGrid w:val="0"/>
              <w:ind w:firstLine="90" w:firstLineChars="50"/>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信誉要求：见</w:t>
            </w:r>
            <w:r>
              <w:rPr>
                <w:rFonts w:hint="eastAsia" w:ascii="宋体" w:hAnsi="宋体" w:eastAsia="宋体" w:cs="宋体"/>
                <w:color w:val="auto"/>
                <w:kern w:val="0"/>
                <w:sz w:val="18"/>
                <w:szCs w:val="18"/>
                <w:lang w:val="en-US" w:eastAsia="zh-CN"/>
              </w:rPr>
              <w:t>附录4</w:t>
            </w:r>
          </w:p>
          <w:p w14:paraId="6263B68B">
            <w:pPr>
              <w:adjustRightInd w:val="0"/>
              <w:snapToGrid w:val="0"/>
              <w:ind w:firstLine="90" w:firstLineChars="50"/>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zh-CN"/>
              </w:rPr>
              <w:t>项目经理和项目总工资格要求：见</w:t>
            </w:r>
            <w:r>
              <w:rPr>
                <w:rFonts w:hint="eastAsia" w:ascii="宋体" w:hAnsi="宋体" w:eastAsia="宋体" w:cs="宋体"/>
                <w:color w:val="auto"/>
                <w:kern w:val="0"/>
                <w:sz w:val="18"/>
                <w:szCs w:val="18"/>
                <w:lang w:val="en-US" w:eastAsia="zh-CN"/>
              </w:rPr>
              <w:t>附录5</w:t>
            </w:r>
          </w:p>
          <w:p w14:paraId="4BF17306">
            <w:pPr>
              <w:ind w:firstLine="90" w:firstLineChars="50"/>
              <w:rPr>
                <w:rFonts w:hint="eastAsia" w:ascii="宋体" w:hAnsi="宋体" w:eastAsia="宋体" w:cs="宋体"/>
                <w:color w:val="auto"/>
                <w:sz w:val="18"/>
                <w:szCs w:val="18"/>
              </w:rPr>
            </w:pPr>
            <w:r>
              <w:rPr>
                <w:rFonts w:hint="eastAsia" w:ascii="宋体" w:hAnsi="宋体" w:eastAsia="宋体" w:cs="宋体"/>
                <w:color w:val="auto"/>
                <w:kern w:val="0"/>
                <w:sz w:val="18"/>
                <w:szCs w:val="18"/>
                <w:lang w:val="zh-CN"/>
              </w:rPr>
              <w:t>其他要求：无</w:t>
            </w:r>
          </w:p>
        </w:tc>
      </w:tr>
      <w:tr w14:paraId="5794E4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2" w:hRule="atLeast"/>
          <w:jc w:val="center"/>
        </w:trPr>
        <w:tc>
          <w:tcPr>
            <w:tcW w:w="836" w:type="dxa"/>
            <w:tcBorders>
              <w:tl2br w:val="nil"/>
              <w:tr2bl w:val="nil"/>
            </w:tcBorders>
            <w:vAlign w:val="center"/>
          </w:tcPr>
          <w:p w14:paraId="102E76D6">
            <w:pPr>
              <w:jc w:val="center"/>
              <w:rPr>
                <w:rFonts w:hint="eastAsia" w:ascii="宋体" w:hAnsi="宋体" w:eastAsia="宋体" w:cs="宋体"/>
                <w:color w:val="auto"/>
                <w:sz w:val="18"/>
                <w:szCs w:val="18"/>
              </w:rPr>
            </w:pPr>
            <w:r>
              <w:rPr>
                <w:rFonts w:hint="eastAsia" w:ascii="宋体" w:hAnsi="宋体" w:eastAsia="宋体" w:cs="宋体"/>
                <w:color w:val="auto"/>
                <w:sz w:val="18"/>
                <w:szCs w:val="18"/>
              </w:rPr>
              <w:t>1.4.2</w:t>
            </w:r>
          </w:p>
        </w:tc>
        <w:tc>
          <w:tcPr>
            <w:tcW w:w="2461" w:type="dxa"/>
            <w:tcBorders>
              <w:tl2br w:val="nil"/>
              <w:tr2bl w:val="nil"/>
            </w:tcBorders>
            <w:vAlign w:val="center"/>
          </w:tcPr>
          <w:p w14:paraId="703B8970">
            <w:pPr>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是否接受联合体投标</w:t>
            </w:r>
          </w:p>
        </w:tc>
        <w:tc>
          <w:tcPr>
            <w:tcW w:w="6252" w:type="dxa"/>
            <w:tcBorders>
              <w:tl2br w:val="nil"/>
              <w:tr2bl w:val="nil"/>
            </w:tcBorders>
            <w:vAlign w:val="center"/>
          </w:tcPr>
          <w:p w14:paraId="079882B3">
            <w:pPr>
              <w:widowControl/>
              <w:jc w:val="left"/>
              <w:rPr>
                <w:rFonts w:hint="eastAsia" w:ascii="宋体" w:hAnsi="宋体" w:eastAsia="宋体" w:cs="宋体"/>
                <w:color w:val="auto"/>
                <w:kern w:val="0"/>
                <w:sz w:val="18"/>
                <w:szCs w:val="18"/>
                <w:highlight w:val="none"/>
                <w:lang w:val="zh-CN"/>
              </w:rPr>
            </w:pPr>
            <w:r>
              <w:rPr>
                <w:rFonts w:hint="eastAsia" w:ascii="宋体" w:hAnsi="宋体" w:eastAsia="宋体" w:cs="宋体"/>
                <w:color w:val="auto"/>
                <w:kern w:val="0"/>
                <w:sz w:val="18"/>
                <w:szCs w:val="18"/>
                <w:highlight w:val="none"/>
                <w:lang w:val="zh-CN"/>
              </w:rPr>
              <w:t xml:space="preserve">□不接受 </w:t>
            </w:r>
          </w:p>
          <w:p w14:paraId="24BEC8DF">
            <w:pPr>
              <w:widowControl/>
              <w:jc w:val="left"/>
              <w:rPr>
                <w:rFonts w:hint="eastAsia" w:ascii="宋体" w:hAnsi="宋体" w:eastAsia="宋体" w:cs="宋体"/>
                <w:color w:val="auto"/>
                <w:kern w:val="0"/>
                <w:sz w:val="18"/>
                <w:szCs w:val="18"/>
                <w:highlight w:val="none"/>
                <w:lang w:val="zh-CN"/>
              </w:rPr>
            </w:pPr>
            <w:r>
              <w:rPr>
                <w:rFonts w:hint="eastAsia" w:ascii="宋体" w:hAnsi="宋体" w:eastAsia="宋体" w:cs="宋体"/>
                <w:color w:val="auto"/>
                <w:kern w:val="0"/>
                <w:sz w:val="18"/>
                <w:szCs w:val="18"/>
                <w:highlight w:val="none"/>
                <w:lang w:val="zh-CN"/>
              </w:rPr>
              <w:t>☑接受，应满足下列要求：</w:t>
            </w:r>
            <w:r>
              <w:rPr>
                <w:rFonts w:hint="eastAsia" w:ascii="宋体" w:hAnsi="宋体" w:eastAsia="宋体" w:cs="宋体"/>
                <w:color w:val="auto"/>
                <w:kern w:val="0"/>
                <w:sz w:val="18"/>
                <w:szCs w:val="18"/>
                <w:highlight w:val="none"/>
                <w:lang w:val="en-US" w:eastAsia="zh-CN"/>
              </w:rPr>
              <w:t>见招标公告</w:t>
            </w:r>
          </w:p>
        </w:tc>
      </w:tr>
      <w:tr w14:paraId="0085FF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36" w:type="dxa"/>
            <w:tcBorders>
              <w:tl2br w:val="nil"/>
              <w:tr2bl w:val="nil"/>
            </w:tcBorders>
            <w:vAlign w:val="center"/>
          </w:tcPr>
          <w:p w14:paraId="13751959">
            <w:pPr>
              <w:adjustRightInd w:val="0"/>
              <w:jc w:val="center"/>
              <w:rPr>
                <w:rFonts w:hint="eastAsia" w:ascii="宋体" w:hAnsi="宋体" w:eastAsia="宋体" w:cs="宋体"/>
                <w:color w:val="auto"/>
                <w:sz w:val="18"/>
                <w:szCs w:val="18"/>
              </w:rPr>
            </w:pPr>
            <w:r>
              <w:rPr>
                <w:rFonts w:hint="eastAsia" w:ascii="宋体" w:hAnsi="宋体" w:eastAsia="宋体" w:cs="宋体"/>
                <w:color w:val="auto"/>
                <w:sz w:val="18"/>
                <w:szCs w:val="18"/>
              </w:rPr>
              <w:t>1.4.3</w:t>
            </w:r>
          </w:p>
        </w:tc>
        <w:tc>
          <w:tcPr>
            <w:tcW w:w="2461" w:type="dxa"/>
            <w:tcBorders>
              <w:tl2br w:val="nil"/>
              <w:tr2bl w:val="nil"/>
            </w:tcBorders>
            <w:vAlign w:val="center"/>
          </w:tcPr>
          <w:p w14:paraId="1BD584FF">
            <w:pPr>
              <w:adjustRightInd w:val="0"/>
              <w:jc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投标人不得</w:t>
            </w:r>
          </w:p>
          <w:p w14:paraId="362FD549">
            <w:pPr>
              <w:adjustRightInd w:val="0"/>
              <w:jc w:val="center"/>
              <w:rPr>
                <w:rFonts w:hint="eastAsia" w:ascii="宋体" w:hAnsi="宋体" w:eastAsia="宋体" w:cs="宋体"/>
                <w:color w:val="auto"/>
                <w:kern w:val="0"/>
                <w:sz w:val="18"/>
                <w:szCs w:val="18"/>
                <w:lang w:val="zh-CN"/>
              </w:rPr>
            </w:pPr>
            <w:r>
              <w:rPr>
                <w:rFonts w:hint="eastAsia" w:ascii="宋体" w:hAnsi="宋体" w:eastAsia="宋体" w:cs="宋体"/>
                <w:color w:val="auto"/>
                <w:kern w:val="0"/>
                <w:sz w:val="18"/>
                <w:szCs w:val="18"/>
                <w:lang w:val="zh-CN"/>
              </w:rPr>
              <w:t>存在的其他</w:t>
            </w:r>
          </w:p>
          <w:p w14:paraId="34770FFE">
            <w:pPr>
              <w:adjustRightInd w:val="0"/>
              <w:jc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val="zh-CN"/>
              </w:rPr>
              <w:t>关联情况</w:t>
            </w:r>
          </w:p>
        </w:tc>
        <w:tc>
          <w:tcPr>
            <w:tcW w:w="6252" w:type="dxa"/>
            <w:tcBorders>
              <w:tl2br w:val="nil"/>
              <w:tr2bl w:val="nil"/>
            </w:tcBorders>
            <w:vAlign w:val="center"/>
          </w:tcPr>
          <w:p w14:paraId="2073A8CB">
            <w:pPr>
              <w:pStyle w:val="11"/>
              <w:shd w:val="clear" w:color="auto" w:fill="auto"/>
              <w:tabs>
                <w:tab w:val="left" w:pos="1169"/>
              </w:tabs>
              <w:spacing w:before="0" w:line="240" w:lineRule="auto"/>
              <w:jc w:val="both"/>
              <w:rPr>
                <w:rFonts w:hint="eastAsia" w:ascii="宋体" w:hAnsi="宋体" w:eastAsia="宋体" w:cs="宋体"/>
                <w:color w:val="auto"/>
                <w:sz w:val="18"/>
                <w:szCs w:val="18"/>
                <w:lang w:val="zh-CN"/>
              </w:rPr>
            </w:pPr>
            <w:r>
              <w:rPr>
                <w:rFonts w:hint="eastAsia" w:ascii="宋体" w:hAnsi="宋体" w:eastAsia="宋体" w:cs="宋体"/>
                <w:color w:val="auto"/>
                <w:sz w:val="18"/>
                <w:szCs w:val="18"/>
              </w:rPr>
              <w:t>/</w:t>
            </w:r>
          </w:p>
        </w:tc>
      </w:tr>
      <w:tr w14:paraId="0C6F17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6" w:hRule="atLeast"/>
          <w:jc w:val="center"/>
        </w:trPr>
        <w:tc>
          <w:tcPr>
            <w:tcW w:w="836" w:type="dxa"/>
            <w:tcBorders>
              <w:tl2br w:val="nil"/>
              <w:tr2bl w:val="nil"/>
            </w:tcBorders>
            <w:vAlign w:val="center"/>
          </w:tcPr>
          <w:p w14:paraId="1CCE36E2">
            <w:pPr>
              <w:jc w:val="center"/>
              <w:rPr>
                <w:rFonts w:hint="eastAsia" w:ascii="宋体" w:hAnsi="宋体" w:eastAsia="宋体" w:cs="宋体"/>
                <w:color w:val="auto"/>
                <w:sz w:val="18"/>
                <w:szCs w:val="18"/>
              </w:rPr>
            </w:pPr>
            <w:r>
              <w:rPr>
                <w:rFonts w:hint="eastAsia" w:ascii="宋体" w:hAnsi="宋体" w:eastAsia="宋体" w:cs="宋体"/>
                <w:color w:val="auto"/>
                <w:sz w:val="18"/>
                <w:szCs w:val="18"/>
              </w:rPr>
              <w:t>1.4.4</w:t>
            </w:r>
          </w:p>
        </w:tc>
        <w:tc>
          <w:tcPr>
            <w:tcW w:w="2461" w:type="dxa"/>
            <w:tcBorders>
              <w:tl2br w:val="nil"/>
              <w:tr2bl w:val="nil"/>
            </w:tcBorders>
            <w:vAlign w:val="center"/>
          </w:tcPr>
          <w:p w14:paraId="315DF45D">
            <w:pPr>
              <w:jc w:val="center"/>
              <w:rPr>
                <w:rFonts w:hint="eastAsia" w:ascii="宋体" w:hAnsi="宋体" w:eastAsia="宋体" w:cs="宋体"/>
                <w:color w:val="auto"/>
                <w:sz w:val="18"/>
                <w:szCs w:val="18"/>
              </w:rPr>
            </w:pPr>
            <w:r>
              <w:rPr>
                <w:rFonts w:hint="eastAsia" w:ascii="宋体" w:hAnsi="宋体" w:eastAsia="宋体" w:cs="宋体"/>
                <w:color w:val="auto"/>
                <w:sz w:val="18"/>
                <w:szCs w:val="18"/>
              </w:rPr>
              <w:t>投标人不得存在的其他不良状况或不良信用记录</w:t>
            </w:r>
          </w:p>
        </w:tc>
        <w:tc>
          <w:tcPr>
            <w:tcW w:w="6252" w:type="dxa"/>
            <w:tcBorders>
              <w:tl2br w:val="nil"/>
              <w:tr2bl w:val="nil"/>
            </w:tcBorders>
            <w:vAlign w:val="center"/>
          </w:tcPr>
          <w:p w14:paraId="73C966D2">
            <w:pPr>
              <w:autoSpaceDE w:val="0"/>
              <w:autoSpaceDN w:val="0"/>
              <w:adjustRightInd w:val="0"/>
              <w:rPr>
                <w:rFonts w:hint="eastAsia" w:ascii="宋体" w:hAnsi="宋体" w:eastAsia="宋体" w:cs="宋体"/>
                <w:color w:val="auto"/>
                <w:sz w:val="18"/>
                <w:szCs w:val="18"/>
              </w:rPr>
            </w:pPr>
            <w:r>
              <w:rPr>
                <w:rFonts w:hint="eastAsia" w:ascii="宋体" w:hAnsi="宋体" w:eastAsia="宋体" w:cs="宋体"/>
                <w:color w:val="auto"/>
                <w:sz w:val="18"/>
                <w:szCs w:val="18"/>
              </w:rPr>
              <w:t>本款内容第（6）条修改为：</w:t>
            </w:r>
          </w:p>
          <w:p w14:paraId="10D66AB5">
            <w:pPr>
              <w:ind w:right="113" w:firstLine="180" w:firstLineChars="100"/>
              <w:rPr>
                <w:rFonts w:hint="eastAsia" w:ascii="宋体" w:hAnsi="宋体" w:eastAsia="宋体" w:cs="宋体"/>
                <w:color w:val="auto"/>
                <w:sz w:val="18"/>
                <w:szCs w:val="18"/>
              </w:rPr>
            </w:pPr>
            <w:r>
              <w:rPr>
                <w:rFonts w:hint="eastAsia" w:ascii="宋体" w:hAnsi="宋体" w:eastAsia="宋体" w:cs="宋体"/>
                <w:color w:val="auto"/>
                <w:kern w:val="0"/>
                <w:sz w:val="18"/>
                <w:szCs w:val="18"/>
                <w:lang w:val="zh-CN"/>
              </w:rPr>
              <w:t>（6）</w:t>
            </w:r>
            <w:r>
              <w:rPr>
                <w:rFonts w:hint="eastAsia" w:ascii="宋体" w:hAnsi="宋体" w:eastAsia="宋体" w:cs="宋体"/>
                <w:color w:val="auto"/>
                <w:sz w:val="18"/>
                <w:szCs w:val="18"/>
              </w:rPr>
              <w:t>投标人或其法定代表人、拟委任的项目经理在近三年内有行贿犯罪行为的。</w:t>
            </w:r>
          </w:p>
        </w:tc>
      </w:tr>
    </w:tbl>
    <w:p w14:paraId="2D48B719">
      <w:pPr>
        <w:widowControl/>
        <w:jc w:val="center"/>
        <w:rPr>
          <w:rFonts w:hint="eastAsia" w:ascii="宋体" w:hAnsi="宋体" w:eastAsia="宋体" w:cs="宋体"/>
          <w:bCs/>
          <w:color w:val="auto"/>
          <w:kern w:val="2"/>
          <w:sz w:val="18"/>
          <w:szCs w:val="18"/>
          <w:lang w:val="zh-CN" w:eastAsia="zh-CN" w:bidi="ar-SA"/>
        </w:rPr>
      </w:pPr>
      <w:bookmarkStart w:id="1" w:name="_Toc436994103"/>
      <w:r>
        <w:rPr>
          <w:rFonts w:hint="eastAsia" w:ascii="宋体" w:hAnsi="宋体" w:eastAsia="宋体" w:cs="宋体"/>
          <w:bCs/>
          <w:color w:val="auto"/>
          <w:kern w:val="2"/>
          <w:sz w:val="18"/>
          <w:szCs w:val="18"/>
          <w:lang w:val="zh-CN" w:eastAsia="zh-CN" w:bidi="ar-SA"/>
        </w:rPr>
        <w:t>附录1资格审查条件（资质最低要求）</w:t>
      </w:r>
    </w:p>
    <w:tbl>
      <w:tblPr>
        <w:tblStyle w:val="8"/>
        <w:tblW w:w="484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8772"/>
      </w:tblGrid>
      <w:tr w14:paraId="5FAAB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10" w:type="pct"/>
            <w:vAlign w:val="center"/>
          </w:tcPr>
          <w:p w14:paraId="3C7E1727">
            <w:pPr>
              <w:adjustRightInd w:val="0"/>
              <w:snapToGrid w:val="0"/>
              <w:spacing w:beforeLines="5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标段</w:t>
            </w:r>
          </w:p>
        </w:tc>
        <w:tc>
          <w:tcPr>
            <w:tcW w:w="4589" w:type="pct"/>
            <w:vAlign w:val="center"/>
          </w:tcPr>
          <w:p w14:paraId="5098A405">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rPr>
              <w:t>施工企业资质等级要求</w:t>
            </w:r>
          </w:p>
        </w:tc>
      </w:tr>
      <w:tr w14:paraId="1E72F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10" w:type="pct"/>
            <w:vAlign w:val="center"/>
          </w:tcPr>
          <w:p w14:paraId="03AEF1B2">
            <w:pPr>
              <w:jc w:val="center"/>
              <w:rPr>
                <w:rFonts w:hint="eastAsia" w:ascii="宋体" w:hAnsi="宋体" w:eastAsia="宋体" w:cs="宋体"/>
                <w:color w:val="auto"/>
                <w:sz w:val="18"/>
                <w:szCs w:val="18"/>
              </w:rPr>
            </w:pPr>
            <w:r>
              <w:rPr>
                <w:rFonts w:hint="eastAsia" w:ascii="宋体" w:hAnsi="宋体" w:eastAsia="宋体" w:cs="宋体"/>
                <w:sz w:val="18"/>
                <w:szCs w:val="18"/>
                <w:lang w:val="en-US" w:eastAsia="zh-CN"/>
              </w:rPr>
              <w:t>YH</w:t>
            </w:r>
            <w:r>
              <w:rPr>
                <w:rFonts w:hint="eastAsia" w:ascii="宋体" w:hAnsi="宋体" w:eastAsia="宋体" w:cs="宋体"/>
                <w:sz w:val="18"/>
                <w:szCs w:val="18"/>
              </w:rPr>
              <w:t>0</w:t>
            </w:r>
            <w:r>
              <w:rPr>
                <w:rFonts w:hint="eastAsia" w:ascii="宋体" w:hAnsi="宋体" w:eastAsia="宋体" w:cs="宋体"/>
                <w:sz w:val="18"/>
                <w:szCs w:val="18"/>
                <w:lang w:val="en-US" w:eastAsia="zh-CN"/>
              </w:rPr>
              <w:t>1</w:t>
            </w:r>
          </w:p>
        </w:tc>
        <w:tc>
          <w:tcPr>
            <w:tcW w:w="4589" w:type="pct"/>
            <w:vAlign w:val="center"/>
          </w:tcPr>
          <w:p w14:paraId="05EB5A1E">
            <w:pPr>
              <w:numPr>
                <w:ilvl w:val="0"/>
                <w:numId w:val="0"/>
              </w:numP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投标人须同时具有以下资质：</w:t>
            </w:r>
          </w:p>
          <w:p w14:paraId="1D7EF3CF">
            <w:pPr>
              <w:numPr>
                <w:ilvl w:val="0"/>
                <w:numId w:val="0"/>
              </w:numP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（1）</w:t>
            </w:r>
            <w:r>
              <w:rPr>
                <w:rFonts w:hint="eastAsia" w:ascii="宋体" w:hAnsi="宋体" w:eastAsia="宋体" w:cs="宋体"/>
                <w:color w:val="auto"/>
                <w:sz w:val="18"/>
                <w:szCs w:val="18"/>
                <w:highlight w:val="none"/>
                <w:lang w:val="en-US" w:eastAsia="zh-CN"/>
              </w:rPr>
              <w:t>交通运输主管部门颁发的路基路面养护甲级资质；</w:t>
            </w:r>
          </w:p>
          <w:p w14:paraId="63876E92">
            <w:pP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w:t>
            </w:r>
            <w:r>
              <w:rPr>
                <w:rFonts w:hint="eastAsia" w:ascii="宋体" w:hAnsi="宋体" w:eastAsia="宋体" w:cs="宋体"/>
                <w:color w:val="auto"/>
                <w:sz w:val="18"/>
                <w:szCs w:val="18"/>
                <w:highlight w:val="none"/>
                <w:lang w:val="en-US" w:eastAsia="zh-CN"/>
              </w:rPr>
              <w:t>交通运输主管部门颁发的桥梁养护甲级资质；</w:t>
            </w:r>
          </w:p>
          <w:p w14:paraId="71FB970D">
            <w:pPr>
              <w:rPr>
                <w:rFonts w:hint="eastAsia" w:ascii="宋体" w:hAnsi="宋体" w:eastAsia="宋体" w:cs="宋体"/>
                <w:color w:val="auto"/>
                <w:sz w:val="18"/>
                <w:szCs w:val="18"/>
              </w:rPr>
            </w:pPr>
            <w:r>
              <w:rPr>
                <w:rFonts w:hint="eastAsia" w:ascii="宋体" w:hAnsi="宋体" w:eastAsia="宋体" w:cs="宋体"/>
                <w:color w:val="auto"/>
                <w:kern w:val="2"/>
                <w:sz w:val="18"/>
                <w:szCs w:val="18"/>
                <w:highlight w:val="none"/>
                <w:lang w:val="en-US" w:eastAsia="zh-CN" w:bidi="ar-SA"/>
              </w:rPr>
              <w:t>（3）</w:t>
            </w:r>
            <w:r>
              <w:rPr>
                <w:rFonts w:hint="eastAsia" w:ascii="宋体" w:hAnsi="宋体" w:eastAsia="宋体" w:cs="宋体"/>
                <w:color w:val="auto"/>
                <w:sz w:val="18"/>
                <w:szCs w:val="18"/>
                <w:highlight w:val="none"/>
                <w:lang w:val="en-US" w:eastAsia="zh-CN"/>
              </w:rPr>
              <w:t>交通运输主管部门颁发的交通安全设施养护资质（可以承担各等级公路交通安全设施的各类养护工程</w:t>
            </w:r>
            <w:r>
              <w:rPr>
                <w:rFonts w:hint="eastAsia"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w:t>
            </w:r>
          </w:p>
        </w:tc>
      </w:tr>
    </w:tbl>
    <w:p w14:paraId="3BD4691B">
      <w:pPr>
        <w:pStyle w:val="3"/>
        <w:adjustRightInd w:val="0"/>
        <w:snapToGrid w:val="0"/>
        <w:spacing w:beforeLines="50" w:after="0"/>
        <w:ind w:firstLine="180" w:firstLineChars="100"/>
        <w:jc w:val="center"/>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附录2资格审查条件（财务最低要求）</w:t>
      </w:r>
    </w:p>
    <w:tbl>
      <w:tblPr>
        <w:tblStyle w:val="8"/>
        <w:tblW w:w="485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8784"/>
      </w:tblGrid>
      <w:tr w14:paraId="4A282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76" w:type="dxa"/>
            <w:vAlign w:val="center"/>
          </w:tcPr>
          <w:p w14:paraId="6328D53D">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标段</w:t>
            </w:r>
          </w:p>
        </w:tc>
        <w:tc>
          <w:tcPr>
            <w:tcW w:w="8786" w:type="dxa"/>
            <w:vAlign w:val="center"/>
          </w:tcPr>
          <w:p w14:paraId="01CC4618">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rPr>
              <w:t>财务要求</w:t>
            </w:r>
          </w:p>
        </w:tc>
      </w:tr>
      <w:tr w14:paraId="6E6F2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51" w:hRule="atLeast"/>
          <w:jc w:val="center"/>
        </w:trPr>
        <w:tc>
          <w:tcPr>
            <w:tcW w:w="776" w:type="dxa"/>
            <w:vAlign w:val="center"/>
          </w:tcPr>
          <w:p w14:paraId="6C0E66D2">
            <w:pPr>
              <w:jc w:val="center"/>
              <w:rPr>
                <w:rFonts w:hint="eastAsia" w:ascii="宋体" w:hAnsi="宋体" w:eastAsia="宋体" w:cs="宋体"/>
                <w:color w:val="auto"/>
                <w:kern w:val="0"/>
                <w:sz w:val="18"/>
                <w:szCs w:val="18"/>
              </w:rPr>
            </w:pPr>
            <w:r>
              <w:rPr>
                <w:rFonts w:hint="eastAsia" w:ascii="宋体" w:hAnsi="宋体" w:eastAsia="宋体" w:cs="宋体"/>
                <w:sz w:val="18"/>
                <w:szCs w:val="18"/>
                <w:lang w:val="en-US" w:eastAsia="zh-CN"/>
              </w:rPr>
              <w:t>YH</w:t>
            </w:r>
            <w:r>
              <w:rPr>
                <w:rFonts w:hint="eastAsia" w:ascii="宋体" w:hAnsi="宋体" w:eastAsia="宋体" w:cs="宋体"/>
                <w:sz w:val="18"/>
                <w:szCs w:val="18"/>
              </w:rPr>
              <w:t>0</w:t>
            </w:r>
            <w:r>
              <w:rPr>
                <w:rFonts w:hint="eastAsia" w:ascii="宋体" w:hAnsi="宋体" w:eastAsia="宋体" w:cs="宋体"/>
                <w:sz w:val="18"/>
                <w:szCs w:val="18"/>
                <w:lang w:val="en-US" w:eastAsia="zh-CN"/>
              </w:rPr>
              <w:t>1</w:t>
            </w:r>
          </w:p>
        </w:tc>
        <w:tc>
          <w:tcPr>
            <w:tcW w:w="8786" w:type="dxa"/>
            <w:vAlign w:val="center"/>
          </w:tcPr>
          <w:p w14:paraId="7E2CE03D">
            <w:pPr>
              <w:pStyle w:val="4"/>
              <w:adjustRightInd w:val="0"/>
              <w:snapToGrid w:val="0"/>
              <w:spacing w:beforeLines="50"/>
              <w:ind w:firstLine="99" w:firstLineChars="50"/>
              <w:rPr>
                <w:rFonts w:hint="eastAsia" w:ascii="宋体" w:hAnsi="宋体" w:eastAsia="宋体" w:cs="宋体"/>
                <w:color w:val="auto"/>
                <w:kern w:val="0"/>
                <w:sz w:val="18"/>
                <w:szCs w:val="18"/>
              </w:rPr>
            </w:pPr>
            <w:r>
              <w:rPr>
                <w:rFonts w:hint="eastAsia" w:ascii="宋体" w:hAnsi="宋体" w:eastAsia="宋体" w:cs="宋体"/>
                <w:spacing w:val="9"/>
                <w:sz w:val="18"/>
                <w:szCs w:val="18"/>
                <w:lang w:eastAsia="zh-CN"/>
              </w:rPr>
              <w:t>提供</w:t>
            </w:r>
            <w:r>
              <w:rPr>
                <w:rFonts w:hint="eastAsia" w:ascii="宋体" w:hAnsi="宋体" w:eastAsia="宋体" w:cs="宋体"/>
                <w:spacing w:val="9"/>
                <w:sz w:val="18"/>
                <w:szCs w:val="18"/>
                <w:lang w:val="en-US" w:eastAsia="zh-CN"/>
              </w:rPr>
              <w:t>2025年度投标人（如为联合体则为联合体牵头人）经会计师事务所或审计机构审计的财务会计报表，包括资产负债表、现金流量表、利润表，投标人无须提供其他资料。（要求：</w:t>
            </w:r>
            <w:r>
              <w:rPr>
                <w:rFonts w:hint="eastAsia" w:ascii="宋体" w:hAnsi="宋体" w:eastAsia="宋体" w:cs="宋体"/>
                <w:kern w:val="0"/>
                <w:sz w:val="18"/>
                <w:szCs w:val="18"/>
              </w:rPr>
              <w:t>流动资产与流动负债的比值不小于1</w:t>
            </w:r>
            <w:r>
              <w:rPr>
                <w:rFonts w:hint="eastAsia" w:ascii="宋体" w:hAnsi="宋体" w:eastAsia="宋体" w:cs="宋体"/>
                <w:kern w:val="0"/>
                <w:sz w:val="18"/>
                <w:szCs w:val="18"/>
                <w:lang w:eastAsia="zh-CN"/>
              </w:rPr>
              <w:t>）</w:t>
            </w:r>
          </w:p>
        </w:tc>
      </w:tr>
    </w:tbl>
    <w:p w14:paraId="54BF4402">
      <w:pPr>
        <w:pStyle w:val="3"/>
        <w:adjustRightInd w:val="0"/>
        <w:snapToGrid w:val="0"/>
        <w:spacing w:beforeLines="50" w:after="0"/>
        <w:ind w:firstLine="180" w:firstLineChars="100"/>
        <w:jc w:val="center"/>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附录3资格审查条件（业绩最低要求）</w:t>
      </w:r>
    </w:p>
    <w:tbl>
      <w:tblPr>
        <w:tblStyle w:val="8"/>
        <w:tblW w:w="485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80"/>
      </w:tblGrid>
      <w:tr w14:paraId="2B79D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0" w:type="dxa"/>
            <w:vAlign w:val="center"/>
          </w:tcPr>
          <w:p w14:paraId="00A18B4A">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标段</w:t>
            </w:r>
          </w:p>
        </w:tc>
        <w:tc>
          <w:tcPr>
            <w:tcW w:w="8783" w:type="dxa"/>
            <w:vAlign w:val="center"/>
          </w:tcPr>
          <w:p w14:paraId="43AF7741">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rPr>
              <w:t>业绩要求</w:t>
            </w:r>
          </w:p>
        </w:tc>
      </w:tr>
      <w:tr w14:paraId="67DDB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780" w:type="dxa"/>
            <w:vAlign w:val="center"/>
          </w:tcPr>
          <w:p w14:paraId="1857DA48">
            <w:pPr>
              <w:jc w:val="center"/>
              <w:rPr>
                <w:rFonts w:hint="eastAsia" w:ascii="宋体" w:hAnsi="宋体" w:eastAsia="宋体" w:cs="宋体"/>
                <w:color w:val="auto"/>
                <w:kern w:val="0"/>
                <w:sz w:val="18"/>
                <w:szCs w:val="18"/>
                <w:highlight w:val="none"/>
              </w:rPr>
            </w:pPr>
            <w:r>
              <w:rPr>
                <w:rFonts w:hint="eastAsia" w:ascii="宋体" w:hAnsi="宋体" w:eastAsia="宋体" w:cs="宋体"/>
                <w:sz w:val="18"/>
                <w:szCs w:val="18"/>
                <w:highlight w:val="none"/>
                <w:lang w:val="en-US" w:eastAsia="zh-CN"/>
              </w:rPr>
              <w:t>YH01</w:t>
            </w:r>
          </w:p>
        </w:tc>
        <w:tc>
          <w:tcPr>
            <w:tcW w:w="8783" w:type="dxa"/>
            <w:vAlign w:val="center"/>
          </w:tcPr>
          <w:p w14:paraId="53CF16DA">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2021年1月1日后（两阶段验收工程以交工时间为准，一阶段验收工程以交工或竣工时间为准），累计完成过单幅长度不少于10公里的高速公路养护施工业绩（双幅按2倍长度计算）。</w:t>
            </w:r>
          </w:p>
          <w:p w14:paraId="2FBD750E">
            <w:pPr>
              <w:pStyle w:val="4"/>
              <w:adjustRightInd w:val="0"/>
              <w:snapToGrid w:val="0"/>
              <w:spacing w:beforeLines="50"/>
              <w:rPr>
                <w:rFonts w:hint="eastAsia" w:ascii="宋体" w:hAnsi="宋体" w:eastAsia="宋体" w:cs="宋体"/>
                <w:color w:val="auto"/>
                <w:sz w:val="18"/>
                <w:szCs w:val="18"/>
                <w:highlight w:val="none"/>
              </w:rPr>
            </w:pPr>
            <w:r>
              <w:rPr>
                <w:rFonts w:hint="eastAsia" w:ascii="宋体" w:hAnsi="宋体" w:eastAsia="宋体" w:cs="宋体"/>
                <w:sz w:val="18"/>
                <w:szCs w:val="18"/>
                <w:highlight w:val="none"/>
                <w:lang w:val="en-US" w:eastAsia="zh-CN"/>
              </w:rPr>
              <w:t>注：合同工程内容至少含有路基路面工程、桥涵工程、交通安全设施工程三类工程之一，同一路段的路基路面、桥涵、安全设施里程不重复计算，</w:t>
            </w:r>
            <w:r>
              <w:rPr>
                <w:rFonts w:hint="eastAsia" w:ascii="宋体" w:hAnsi="宋体" w:eastAsia="宋体" w:cs="宋体"/>
                <w:sz w:val="18"/>
                <w:szCs w:val="18"/>
                <w:highlight w:val="none"/>
              </w:rPr>
              <w:t>联合体投标的，联合体</w:t>
            </w:r>
            <w:r>
              <w:rPr>
                <w:rFonts w:hint="eastAsia" w:ascii="宋体" w:hAnsi="宋体" w:eastAsia="宋体" w:cs="宋体"/>
                <w:sz w:val="18"/>
                <w:szCs w:val="18"/>
                <w:highlight w:val="none"/>
                <w:lang w:val="en-US" w:eastAsia="zh-CN"/>
              </w:rPr>
              <w:t>所有成员</w:t>
            </w:r>
            <w:r>
              <w:rPr>
                <w:rFonts w:hint="eastAsia" w:ascii="宋体" w:hAnsi="宋体" w:eastAsia="宋体" w:cs="宋体"/>
                <w:sz w:val="18"/>
                <w:szCs w:val="18"/>
                <w:highlight w:val="none"/>
              </w:rPr>
              <w:t>的业绩</w:t>
            </w:r>
            <w:r>
              <w:rPr>
                <w:rFonts w:hint="eastAsia" w:ascii="宋体" w:hAnsi="宋体" w:eastAsia="宋体" w:cs="宋体"/>
                <w:sz w:val="18"/>
                <w:szCs w:val="18"/>
                <w:highlight w:val="none"/>
                <w:lang w:val="en-US" w:eastAsia="zh-CN"/>
              </w:rPr>
              <w:t>均参与计算</w:t>
            </w:r>
            <w:r>
              <w:rPr>
                <w:rFonts w:hint="eastAsia" w:ascii="宋体" w:hAnsi="宋体" w:eastAsia="宋体" w:cs="宋体"/>
                <w:sz w:val="18"/>
                <w:szCs w:val="18"/>
                <w:highlight w:val="none"/>
              </w:rPr>
              <w:t>。</w:t>
            </w:r>
          </w:p>
        </w:tc>
      </w:tr>
    </w:tbl>
    <w:p w14:paraId="149638BE">
      <w:pPr>
        <w:pStyle w:val="3"/>
        <w:adjustRightInd w:val="0"/>
        <w:snapToGrid w:val="0"/>
        <w:spacing w:beforeLines="50" w:after="0"/>
        <w:ind w:firstLine="180" w:firstLineChars="100"/>
        <w:jc w:val="center"/>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附录4资格审查条件（信誉最低要求）</w:t>
      </w:r>
    </w:p>
    <w:tbl>
      <w:tblPr>
        <w:tblStyle w:val="8"/>
        <w:tblW w:w="48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8812"/>
      </w:tblGrid>
      <w:tr w14:paraId="4BD6F7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1" w:type="pct"/>
            <w:vAlign w:val="center"/>
          </w:tcPr>
          <w:p w14:paraId="0C7B71B7">
            <w:pPr>
              <w:adjustRightInd w:val="0"/>
              <w:snapToGrid w:val="0"/>
              <w:spacing w:beforeLines="5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标段</w:t>
            </w:r>
          </w:p>
        </w:tc>
        <w:tc>
          <w:tcPr>
            <w:tcW w:w="4598" w:type="pct"/>
            <w:vAlign w:val="center"/>
          </w:tcPr>
          <w:p w14:paraId="1261847D">
            <w:pPr>
              <w:adjustRightInd w:val="0"/>
              <w:snapToGrid w:val="0"/>
              <w:spacing w:beforeLines="50"/>
              <w:jc w:val="center"/>
              <w:rPr>
                <w:rFonts w:hint="eastAsia" w:ascii="宋体" w:hAnsi="宋体" w:eastAsia="宋体" w:cs="宋体"/>
                <w:color w:val="auto"/>
                <w:sz w:val="18"/>
                <w:szCs w:val="18"/>
              </w:rPr>
            </w:pPr>
            <w:r>
              <w:rPr>
                <w:rFonts w:hint="eastAsia" w:ascii="宋体" w:hAnsi="宋体" w:eastAsia="宋体" w:cs="宋体"/>
                <w:color w:val="auto"/>
                <w:sz w:val="18"/>
                <w:szCs w:val="18"/>
              </w:rPr>
              <w:t>信誉要求</w:t>
            </w:r>
          </w:p>
        </w:tc>
      </w:tr>
      <w:tr w14:paraId="4C327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01" w:type="pct"/>
            <w:vAlign w:val="center"/>
          </w:tcPr>
          <w:p w14:paraId="3F282533">
            <w:pPr>
              <w:adjustRightInd w:val="0"/>
              <w:snapToGrid w:val="0"/>
              <w:spacing w:beforeLines="5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YH01</w:t>
            </w:r>
          </w:p>
        </w:tc>
        <w:tc>
          <w:tcPr>
            <w:tcW w:w="4598" w:type="pct"/>
            <w:vAlign w:val="center"/>
          </w:tcPr>
          <w:p w14:paraId="4660F21A">
            <w:pPr>
              <w:adjustRightInd w:val="0"/>
              <w:snapToGrid w:val="0"/>
              <w:spacing w:beforeLines="50"/>
              <w:rPr>
                <w:rFonts w:hint="eastAsia" w:ascii="宋体" w:hAnsi="宋体" w:eastAsia="宋体" w:cs="宋体"/>
                <w:color w:val="auto"/>
                <w:sz w:val="18"/>
                <w:szCs w:val="18"/>
              </w:rPr>
            </w:pPr>
            <w:r>
              <w:rPr>
                <w:rFonts w:hint="eastAsia" w:ascii="宋体" w:hAnsi="宋体" w:eastAsia="宋体" w:cs="宋体"/>
                <w:color w:val="auto"/>
                <w:sz w:val="18"/>
                <w:szCs w:val="18"/>
              </w:rPr>
              <w:t>投标人不存在第二章“投标人须知”第1.4.3项或第1.4.4项规定的任何一种情形。</w:t>
            </w:r>
          </w:p>
        </w:tc>
      </w:tr>
      <w:bookmarkEnd w:id="1"/>
    </w:tbl>
    <w:p w14:paraId="3EA12593">
      <w:pPr>
        <w:pStyle w:val="3"/>
        <w:adjustRightInd w:val="0"/>
        <w:snapToGrid w:val="0"/>
        <w:spacing w:beforeLines="50" w:after="0"/>
        <w:ind w:firstLine="180" w:firstLineChars="100"/>
        <w:jc w:val="center"/>
        <w:rPr>
          <w:rFonts w:hint="eastAsia" w:ascii="宋体" w:hAnsi="宋体" w:eastAsia="宋体" w:cs="宋体"/>
          <w:color w:val="auto"/>
          <w:sz w:val="18"/>
          <w:szCs w:val="18"/>
          <w:lang w:val="zh-CN"/>
        </w:rPr>
      </w:pPr>
    </w:p>
    <w:p w14:paraId="3BE8D337">
      <w:pPr>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br w:type="page"/>
      </w:r>
    </w:p>
    <w:p w14:paraId="667F66DD">
      <w:pPr>
        <w:pStyle w:val="3"/>
        <w:adjustRightInd w:val="0"/>
        <w:snapToGrid w:val="0"/>
        <w:spacing w:beforeLines="50" w:after="0"/>
        <w:ind w:firstLine="180" w:firstLineChars="100"/>
        <w:jc w:val="center"/>
        <w:rPr>
          <w:rFonts w:hint="eastAsia" w:ascii="宋体" w:hAnsi="宋体" w:eastAsia="宋体" w:cs="宋体"/>
          <w:color w:val="auto"/>
          <w:sz w:val="18"/>
          <w:szCs w:val="18"/>
          <w:lang w:val="zh-CN"/>
        </w:rPr>
      </w:pPr>
      <w:r>
        <w:rPr>
          <w:rFonts w:hint="eastAsia" w:ascii="宋体" w:hAnsi="宋体" w:eastAsia="宋体" w:cs="宋体"/>
          <w:color w:val="auto"/>
          <w:sz w:val="18"/>
          <w:szCs w:val="18"/>
          <w:lang w:val="zh-CN"/>
        </w:rPr>
        <w:t>附录5资格审查条件（项目经理和项目总工最低要求）</w:t>
      </w:r>
    </w:p>
    <w:tbl>
      <w:tblPr>
        <w:tblStyle w:val="8"/>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74"/>
        <w:gridCol w:w="1074"/>
        <w:gridCol w:w="849"/>
        <w:gridCol w:w="6853"/>
      </w:tblGrid>
      <w:tr w14:paraId="0009E4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45" w:type="pct"/>
            <w:vAlign w:val="center"/>
          </w:tcPr>
          <w:p w14:paraId="03B456E3">
            <w:pPr>
              <w:keepNext w:val="0"/>
              <w:keepLines w:val="0"/>
              <w:pageBreakBefore w:val="0"/>
              <w:widowControl w:val="0"/>
              <w:kinsoku/>
              <w:wordWrap/>
              <w:overflowPunct/>
              <w:topLinePunct w:val="0"/>
              <w:bidi w:val="0"/>
              <w:snapToGrid w:val="0"/>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标段</w:t>
            </w:r>
          </w:p>
        </w:tc>
        <w:tc>
          <w:tcPr>
            <w:tcW w:w="545" w:type="pct"/>
            <w:vAlign w:val="center"/>
          </w:tcPr>
          <w:p w14:paraId="01AC10B5">
            <w:pPr>
              <w:keepNext w:val="0"/>
              <w:keepLines w:val="0"/>
              <w:pageBreakBefore w:val="0"/>
              <w:widowControl w:val="0"/>
              <w:kinsoku/>
              <w:wordWrap/>
              <w:overflowPunct/>
              <w:topLinePunct w:val="0"/>
              <w:bidi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人员</w:t>
            </w:r>
          </w:p>
        </w:tc>
        <w:tc>
          <w:tcPr>
            <w:tcW w:w="431" w:type="pct"/>
            <w:vAlign w:val="center"/>
          </w:tcPr>
          <w:p w14:paraId="04F8826E">
            <w:pPr>
              <w:keepNext w:val="0"/>
              <w:keepLines w:val="0"/>
              <w:pageBreakBefore w:val="0"/>
              <w:widowControl w:val="0"/>
              <w:kinsoku/>
              <w:wordWrap/>
              <w:overflowPunct/>
              <w:topLinePunct w:val="0"/>
              <w:bidi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数量</w:t>
            </w:r>
          </w:p>
        </w:tc>
        <w:tc>
          <w:tcPr>
            <w:tcW w:w="3478" w:type="pct"/>
            <w:vAlign w:val="center"/>
          </w:tcPr>
          <w:p w14:paraId="207AADFB">
            <w:pPr>
              <w:keepNext w:val="0"/>
              <w:keepLines w:val="0"/>
              <w:pageBreakBefore w:val="0"/>
              <w:widowControl w:val="0"/>
              <w:kinsoku/>
              <w:wordWrap/>
              <w:overflowPunct/>
              <w:topLinePunct w:val="0"/>
              <w:bidi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资格最低要求</w:t>
            </w:r>
          </w:p>
        </w:tc>
      </w:tr>
      <w:tr w14:paraId="25EDA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4" w:hRule="atLeast"/>
        </w:trPr>
        <w:tc>
          <w:tcPr>
            <w:tcW w:w="545" w:type="pct"/>
            <w:vAlign w:val="center"/>
          </w:tcPr>
          <w:p w14:paraId="03CCDBA9">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YH01</w:t>
            </w:r>
          </w:p>
          <w:p w14:paraId="141720D2">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p>
        </w:tc>
        <w:tc>
          <w:tcPr>
            <w:tcW w:w="545" w:type="pct"/>
            <w:vAlign w:val="center"/>
          </w:tcPr>
          <w:p w14:paraId="01299030">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项目</w:t>
            </w:r>
          </w:p>
          <w:p w14:paraId="3CC28FC0">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经理</w:t>
            </w:r>
          </w:p>
        </w:tc>
        <w:tc>
          <w:tcPr>
            <w:tcW w:w="431" w:type="pct"/>
            <w:vAlign w:val="center"/>
          </w:tcPr>
          <w:p w14:paraId="20F2E320">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478" w:type="pct"/>
            <w:vAlign w:val="center"/>
          </w:tcPr>
          <w:p w14:paraId="4A486F44">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（1）投标人自有人员（采用联合体形式投标的，应为联合体牵头人自有人员）；</w:t>
            </w:r>
          </w:p>
          <w:p w14:paraId="57C2B387">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r>
              <w:rPr>
                <w:rFonts w:hint="eastAsia" w:ascii="宋体" w:hAnsi="宋体" w:eastAsia="宋体" w:cs="宋体"/>
                <w:bCs/>
                <w:color w:val="auto"/>
                <w:sz w:val="18"/>
                <w:szCs w:val="18"/>
                <w:highlight w:val="none"/>
              </w:rPr>
              <w:t>具有</w:t>
            </w:r>
            <w:r>
              <w:rPr>
                <w:rFonts w:hint="eastAsia" w:ascii="宋体" w:hAnsi="宋体" w:eastAsia="宋体" w:cs="宋体"/>
                <w:bCs/>
                <w:color w:val="auto"/>
                <w:sz w:val="18"/>
                <w:szCs w:val="18"/>
                <w:highlight w:val="none"/>
                <w:lang w:val="en-US" w:eastAsia="zh-CN"/>
              </w:rPr>
              <w:t>公路工程</w:t>
            </w:r>
            <w:r>
              <w:rPr>
                <w:rFonts w:hint="eastAsia" w:ascii="宋体" w:hAnsi="宋体" w:eastAsia="宋体" w:cs="宋体"/>
                <w:bCs/>
                <w:color w:val="auto"/>
                <w:sz w:val="18"/>
                <w:szCs w:val="18"/>
                <w:highlight w:val="none"/>
              </w:rPr>
              <w:t>相关专业</w:t>
            </w:r>
            <w:r>
              <w:rPr>
                <w:rFonts w:hint="eastAsia" w:ascii="宋体" w:hAnsi="宋体" w:eastAsia="宋体" w:cs="宋体"/>
                <w:bCs/>
                <w:color w:val="auto"/>
                <w:sz w:val="18"/>
                <w:szCs w:val="18"/>
                <w:highlight w:val="none"/>
                <w:lang w:val="en-US" w:eastAsia="zh-CN"/>
              </w:rPr>
              <w:t>高级技术</w:t>
            </w:r>
            <w:r>
              <w:rPr>
                <w:rFonts w:hint="eastAsia" w:ascii="宋体" w:hAnsi="宋体" w:eastAsia="宋体" w:cs="宋体"/>
                <w:bCs/>
                <w:color w:val="auto"/>
                <w:sz w:val="18"/>
                <w:szCs w:val="18"/>
                <w:highlight w:val="none"/>
              </w:rPr>
              <w:t>职称</w:t>
            </w:r>
            <w:r>
              <w:rPr>
                <w:rFonts w:hint="eastAsia" w:ascii="宋体" w:hAnsi="宋体" w:eastAsia="宋体" w:cs="宋体"/>
                <w:color w:val="auto"/>
                <w:sz w:val="18"/>
                <w:szCs w:val="18"/>
                <w:highlight w:val="none"/>
              </w:rPr>
              <w:t>；</w:t>
            </w:r>
          </w:p>
          <w:p w14:paraId="419900EA">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（3）具有建设行政主管部门颁发的“公路工程”专业《</w:t>
            </w:r>
            <w:r>
              <w:rPr>
                <w:rFonts w:hint="eastAsia" w:ascii="宋体" w:hAnsi="宋体" w:eastAsia="宋体" w:cs="宋体"/>
                <w:color w:val="auto"/>
                <w:sz w:val="18"/>
                <w:szCs w:val="18"/>
                <w:highlight w:val="none"/>
                <w:lang w:val="en-US" w:eastAsia="zh-CN"/>
              </w:rPr>
              <w:t>一</w:t>
            </w:r>
            <w:r>
              <w:rPr>
                <w:rFonts w:hint="eastAsia" w:ascii="宋体" w:hAnsi="宋体" w:eastAsia="宋体" w:cs="宋体"/>
                <w:color w:val="auto"/>
                <w:sz w:val="18"/>
                <w:szCs w:val="18"/>
                <w:highlight w:val="none"/>
              </w:rPr>
              <w:t>级建造师</w:t>
            </w:r>
            <w:r>
              <w:rPr>
                <w:rFonts w:hint="eastAsia" w:ascii="宋体" w:hAnsi="宋体" w:eastAsia="宋体" w:cs="宋体"/>
                <w:color w:val="auto"/>
                <w:sz w:val="18"/>
                <w:szCs w:val="18"/>
                <w:highlight w:val="none"/>
                <w:lang w:val="en-US" w:eastAsia="zh-CN"/>
              </w:rPr>
              <w:t>电子</w:t>
            </w:r>
            <w:r>
              <w:rPr>
                <w:rFonts w:hint="eastAsia" w:ascii="宋体" w:hAnsi="宋体" w:eastAsia="宋体" w:cs="宋体"/>
                <w:color w:val="auto"/>
                <w:sz w:val="18"/>
                <w:szCs w:val="18"/>
                <w:highlight w:val="none"/>
              </w:rPr>
              <w:t>注册证书》，且现注册单位为投标人；</w:t>
            </w:r>
          </w:p>
          <w:p w14:paraId="23C6717F">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（4）具有交通运输主管部门或建设行政主管部门颁发的有效的B类安全生产考核合格证书；</w:t>
            </w:r>
          </w:p>
          <w:p w14:paraId="2D740DFD">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（5）无在岗项目</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rPr>
              <w:t>指目前未在其他项目上任职，或虽在其他项目上任职但本项目中标后能够从该项目撤离</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rPr>
              <w:t>。如项目经理目前仍在其他项目上任职，则投标人须出具项目经理能够从该项目撤离的书面承诺</w:t>
            </w:r>
            <w:r>
              <w:rPr>
                <w:rFonts w:hint="eastAsia" w:cs="宋体"/>
                <w:color w:val="auto"/>
                <w:sz w:val="18"/>
                <w:szCs w:val="18"/>
                <w:highlight w:val="none"/>
                <w:lang w:eastAsia="zh-CN"/>
              </w:rPr>
              <w:t>）</w:t>
            </w:r>
            <w:r>
              <w:rPr>
                <w:rFonts w:hint="eastAsia" w:ascii="宋体" w:hAnsi="宋体" w:eastAsia="宋体" w:cs="宋体"/>
                <w:color w:val="auto"/>
                <w:sz w:val="18"/>
                <w:szCs w:val="18"/>
                <w:highlight w:val="none"/>
              </w:rPr>
              <w:t>。</w:t>
            </w:r>
          </w:p>
          <w:p w14:paraId="145A2EE1">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p>
          <w:p w14:paraId="68625AD9">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注：①项目经理和项目总工不得兼职。</w:t>
            </w:r>
          </w:p>
          <w:p w14:paraId="2580580E">
            <w:pPr>
              <w:keepNext w:val="0"/>
              <w:keepLines w:val="0"/>
              <w:pageBreakBefore w:val="0"/>
              <w:widowControl w:val="0"/>
              <w:kinsoku/>
              <w:wordWrap/>
              <w:overflowPunct/>
              <w:topLinePunct w:val="0"/>
              <w:bidi w:val="0"/>
              <w:spacing w:line="240" w:lineRule="exact"/>
              <w:ind w:firstLine="42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②“投标人自有人员”指投标人为其申报社会保险登记，并为其缴纳社会保险费的人员。</w:t>
            </w:r>
            <w:r>
              <w:rPr>
                <w:rFonts w:hint="eastAsia" w:ascii="宋体" w:hAnsi="宋体" w:eastAsia="宋体" w:cs="宋体"/>
                <w:color w:val="auto"/>
                <w:sz w:val="18"/>
                <w:szCs w:val="18"/>
                <w:highlight w:val="none"/>
                <w:lang w:val="zh-CN"/>
              </w:rPr>
              <w:t>如果投标人属事业法人单位，则由投标人的上级行政主管部门出具拟委任的项目经理是投标人单位职工的有效书面证明材料</w:t>
            </w:r>
            <w:r>
              <w:rPr>
                <w:rFonts w:hint="eastAsia" w:ascii="宋体" w:hAnsi="宋体" w:eastAsia="宋体" w:cs="宋体"/>
                <w:color w:val="auto"/>
                <w:sz w:val="18"/>
                <w:szCs w:val="18"/>
                <w:highlight w:val="none"/>
              </w:rPr>
              <w:t>，书面证明材料必须加盖上级行政主管部门单位章或人事专用章，不得使用电子制版印章；</w:t>
            </w:r>
            <w:r>
              <w:rPr>
                <w:rFonts w:hint="eastAsia" w:ascii="宋体" w:hAnsi="宋体" w:eastAsia="宋体" w:cs="宋体"/>
                <w:color w:val="auto"/>
                <w:sz w:val="18"/>
                <w:szCs w:val="18"/>
                <w:highlight w:val="none"/>
                <w:lang w:val="zh-CN"/>
              </w:rPr>
              <w:t>退休人员不予认可。</w:t>
            </w:r>
          </w:p>
        </w:tc>
      </w:tr>
      <w:tr w14:paraId="46FC5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8" w:hRule="atLeast"/>
        </w:trPr>
        <w:tc>
          <w:tcPr>
            <w:tcW w:w="545" w:type="pct"/>
            <w:vAlign w:val="center"/>
          </w:tcPr>
          <w:p w14:paraId="06CECDFE">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YH01</w:t>
            </w:r>
          </w:p>
          <w:p w14:paraId="2C92630D">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p>
        </w:tc>
        <w:tc>
          <w:tcPr>
            <w:tcW w:w="545" w:type="pct"/>
            <w:vAlign w:val="center"/>
          </w:tcPr>
          <w:p w14:paraId="16BB0D86">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项目</w:t>
            </w:r>
          </w:p>
          <w:p w14:paraId="47334F50">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总工</w:t>
            </w:r>
          </w:p>
        </w:tc>
        <w:tc>
          <w:tcPr>
            <w:tcW w:w="431" w:type="pct"/>
            <w:vAlign w:val="center"/>
          </w:tcPr>
          <w:p w14:paraId="356D4992">
            <w:pPr>
              <w:keepNext w:val="0"/>
              <w:keepLines w:val="0"/>
              <w:pageBreakBefore w:val="0"/>
              <w:widowControl w:val="0"/>
              <w:kinsoku/>
              <w:wordWrap/>
              <w:overflowPunct/>
              <w:topLinePunct w:val="0"/>
              <w:bidi w:val="0"/>
              <w:adjustRightInd w:val="0"/>
              <w:snapToGrid w:val="0"/>
              <w:spacing w:line="240" w:lineRule="exact"/>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3478" w:type="pct"/>
            <w:vAlign w:val="center"/>
          </w:tcPr>
          <w:p w14:paraId="38576983">
            <w:pPr>
              <w:keepNext w:val="0"/>
              <w:keepLines w:val="0"/>
              <w:pageBreakBefore w:val="0"/>
              <w:widowControl w:val="0"/>
              <w:kinsoku/>
              <w:wordWrap/>
              <w:overflowPunct/>
              <w:topLinePunct w:val="0"/>
              <w:autoSpaceDE w:val="0"/>
              <w:autoSpaceDN w:val="0"/>
              <w:bidi w:val="0"/>
              <w:adjustRightInd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（1）投标人自有人员（采用联合体形式投标的，应为联合体牵头人自有人员）；</w:t>
            </w:r>
          </w:p>
          <w:p w14:paraId="30842932">
            <w:pPr>
              <w:keepNext w:val="0"/>
              <w:keepLines w:val="0"/>
              <w:pageBreakBefore w:val="0"/>
              <w:widowControl w:val="0"/>
              <w:kinsoku/>
              <w:wordWrap/>
              <w:overflowPunct/>
              <w:topLinePunct w:val="0"/>
              <w:autoSpaceDE w:val="0"/>
              <w:autoSpaceDN w:val="0"/>
              <w:bidi w:val="0"/>
              <w:adjustRightInd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r>
              <w:rPr>
                <w:rFonts w:hint="eastAsia" w:ascii="宋体" w:hAnsi="宋体" w:eastAsia="宋体" w:cs="宋体"/>
                <w:bCs/>
                <w:color w:val="auto"/>
                <w:sz w:val="18"/>
                <w:szCs w:val="18"/>
                <w:highlight w:val="none"/>
              </w:rPr>
              <w:t>具有</w:t>
            </w:r>
            <w:r>
              <w:rPr>
                <w:rFonts w:hint="eastAsia" w:ascii="宋体" w:hAnsi="宋体" w:eastAsia="宋体" w:cs="宋体"/>
                <w:bCs/>
                <w:color w:val="auto"/>
                <w:sz w:val="18"/>
                <w:szCs w:val="18"/>
                <w:highlight w:val="none"/>
                <w:lang w:val="en-US" w:eastAsia="zh-CN"/>
              </w:rPr>
              <w:t>公路工程</w:t>
            </w:r>
            <w:r>
              <w:rPr>
                <w:rFonts w:hint="eastAsia" w:ascii="宋体" w:hAnsi="宋体" w:eastAsia="宋体" w:cs="宋体"/>
                <w:bCs/>
                <w:color w:val="auto"/>
                <w:sz w:val="18"/>
                <w:szCs w:val="18"/>
                <w:highlight w:val="none"/>
              </w:rPr>
              <w:t>相关专业</w:t>
            </w:r>
            <w:r>
              <w:rPr>
                <w:rFonts w:hint="eastAsia" w:ascii="宋体" w:hAnsi="宋体" w:eastAsia="宋体" w:cs="宋体"/>
                <w:bCs/>
                <w:color w:val="auto"/>
                <w:sz w:val="18"/>
                <w:szCs w:val="18"/>
                <w:highlight w:val="none"/>
                <w:lang w:val="en-US" w:eastAsia="zh-CN"/>
              </w:rPr>
              <w:t>高级技术</w:t>
            </w:r>
            <w:r>
              <w:rPr>
                <w:rFonts w:hint="eastAsia" w:ascii="宋体" w:hAnsi="宋体" w:eastAsia="宋体" w:cs="宋体"/>
                <w:bCs/>
                <w:color w:val="auto"/>
                <w:sz w:val="18"/>
                <w:szCs w:val="18"/>
                <w:highlight w:val="none"/>
              </w:rPr>
              <w:t>职称</w:t>
            </w:r>
            <w:r>
              <w:rPr>
                <w:rFonts w:hint="eastAsia" w:ascii="宋体" w:hAnsi="宋体" w:eastAsia="宋体" w:cs="宋体"/>
                <w:color w:val="auto"/>
                <w:sz w:val="18"/>
                <w:szCs w:val="18"/>
                <w:highlight w:val="none"/>
              </w:rPr>
              <w:t>；</w:t>
            </w:r>
          </w:p>
          <w:p w14:paraId="5084B7A6">
            <w:pPr>
              <w:pStyle w:val="5"/>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（3）无在岗项目</w:t>
            </w:r>
            <w:r>
              <w:rPr>
                <w:rFonts w:hint="eastAsia" w:hAnsi="宋体" w:cs="宋体"/>
                <w:color w:val="auto"/>
                <w:sz w:val="18"/>
                <w:szCs w:val="18"/>
                <w:highlight w:val="none"/>
                <w:lang w:eastAsia="zh-CN"/>
              </w:rPr>
              <w:t>(</w:t>
            </w:r>
            <w:r>
              <w:rPr>
                <w:rFonts w:hint="eastAsia" w:ascii="宋体" w:hAnsi="宋体" w:eastAsia="宋体" w:cs="宋体"/>
                <w:color w:val="auto"/>
                <w:sz w:val="18"/>
                <w:szCs w:val="18"/>
                <w:highlight w:val="none"/>
              </w:rPr>
              <w:t>指目前未在其他项目上任职，或虽在其他项目上任职但本项目中标后能够从该项目撤离</w:t>
            </w:r>
            <w:r>
              <w:rPr>
                <w:rFonts w:hint="eastAsia" w:hAnsi="宋体" w:cs="宋体"/>
                <w:color w:val="auto"/>
                <w:sz w:val="18"/>
                <w:szCs w:val="18"/>
                <w:highlight w:val="none"/>
                <w:lang w:eastAsia="zh-CN"/>
              </w:rPr>
              <w:t>）</w:t>
            </w:r>
            <w:r>
              <w:rPr>
                <w:rFonts w:hint="eastAsia" w:ascii="宋体" w:hAnsi="宋体" w:eastAsia="宋体" w:cs="宋体"/>
                <w:color w:val="auto"/>
                <w:sz w:val="18"/>
                <w:szCs w:val="18"/>
                <w:highlight w:val="none"/>
              </w:rPr>
              <w:t>。如项目</w:t>
            </w:r>
            <w:r>
              <w:rPr>
                <w:rFonts w:hint="eastAsia" w:ascii="宋体" w:hAnsi="宋体" w:eastAsia="宋体" w:cs="宋体"/>
                <w:color w:val="auto"/>
                <w:sz w:val="18"/>
                <w:szCs w:val="18"/>
                <w:highlight w:val="none"/>
                <w:lang w:val="en-US" w:eastAsia="zh-CN"/>
              </w:rPr>
              <w:t>总工</w:t>
            </w:r>
            <w:r>
              <w:rPr>
                <w:rFonts w:hint="eastAsia" w:ascii="宋体" w:hAnsi="宋体" w:eastAsia="宋体" w:cs="宋体"/>
                <w:color w:val="auto"/>
                <w:sz w:val="18"/>
                <w:szCs w:val="18"/>
                <w:highlight w:val="none"/>
              </w:rPr>
              <w:t>目前仍在其他项目上任职，则投标人须出具项目</w:t>
            </w:r>
            <w:r>
              <w:rPr>
                <w:rFonts w:hint="eastAsia" w:ascii="宋体" w:hAnsi="宋体" w:eastAsia="宋体" w:cs="宋体"/>
                <w:color w:val="auto"/>
                <w:sz w:val="18"/>
                <w:szCs w:val="18"/>
                <w:highlight w:val="none"/>
                <w:lang w:val="en-US" w:eastAsia="zh-CN"/>
              </w:rPr>
              <w:t>总工</w:t>
            </w:r>
            <w:r>
              <w:rPr>
                <w:rFonts w:hint="eastAsia" w:ascii="宋体" w:hAnsi="宋体" w:eastAsia="宋体" w:cs="宋体"/>
                <w:color w:val="auto"/>
                <w:sz w:val="18"/>
                <w:szCs w:val="18"/>
                <w:highlight w:val="none"/>
              </w:rPr>
              <w:t>能够从该项目撤离的书面承诺</w:t>
            </w:r>
            <w:r>
              <w:rPr>
                <w:rFonts w:hint="eastAsia" w:hAnsi="宋体" w:cs="宋体"/>
                <w:color w:val="auto"/>
                <w:sz w:val="18"/>
                <w:szCs w:val="18"/>
                <w:highlight w:val="none"/>
                <w:lang w:eastAsia="zh-CN"/>
              </w:rPr>
              <w:t>）</w:t>
            </w:r>
            <w:r>
              <w:rPr>
                <w:rFonts w:hint="eastAsia" w:ascii="宋体" w:hAnsi="宋体" w:eastAsia="宋体" w:cs="宋体"/>
                <w:color w:val="auto"/>
                <w:sz w:val="18"/>
                <w:szCs w:val="18"/>
                <w:highlight w:val="none"/>
              </w:rPr>
              <w:t>。</w:t>
            </w:r>
          </w:p>
          <w:p w14:paraId="73AA6774">
            <w:pPr>
              <w:keepNext w:val="0"/>
              <w:keepLines w:val="0"/>
              <w:pageBreakBefore w:val="0"/>
              <w:widowControl w:val="0"/>
              <w:kinsoku/>
              <w:wordWrap/>
              <w:overflowPunct/>
              <w:topLinePunct w:val="0"/>
              <w:autoSpaceDE w:val="0"/>
              <w:autoSpaceDN w:val="0"/>
              <w:bidi w:val="0"/>
              <w:adjustRightInd w:val="0"/>
              <w:spacing w:line="240" w:lineRule="exact"/>
              <w:textAlignment w:val="auto"/>
              <w:rPr>
                <w:rFonts w:hint="eastAsia" w:ascii="宋体" w:hAnsi="宋体" w:eastAsia="宋体" w:cs="宋体"/>
                <w:color w:val="auto"/>
                <w:sz w:val="18"/>
                <w:szCs w:val="18"/>
                <w:highlight w:val="none"/>
              </w:rPr>
            </w:pPr>
          </w:p>
          <w:p w14:paraId="4AFBC19A">
            <w:pPr>
              <w:keepNext w:val="0"/>
              <w:keepLines w:val="0"/>
              <w:pageBreakBefore w:val="0"/>
              <w:widowControl w:val="0"/>
              <w:kinsoku/>
              <w:wordWrap/>
              <w:overflowPunct/>
              <w:topLinePunct w:val="0"/>
              <w:bidi w:val="0"/>
              <w:spacing w:line="240" w:lineRule="exac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注：①项目经理和项目总工不得兼职。</w:t>
            </w:r>
          </w:p>
          <w:p w14:paraId="78D367F3">
            <w:pPr>
              <w:keepNext w:val="0"/>
              <w:keepLines w:val="0"/>
              <w:pageBreakBefore w:val="0"/>
              <w:widowControl w:val="0"/>
              <w:kinsoku/>
              <w:wordWrap/>
              <w:overflowPunct/>
              <w:topLinePunct w:val="0"/>
              <w:bidi w:val="0"/>
              <w:spacing w:line="240" w:lineRule="exact"/>
              <w:ind w:firstLine="42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②“投标人自有人员”指投标人为其申报社会保险登记，并为其缴纳社会保险费的人员。</w:t>
            </w:r>
            <w:r>
              <w:rPr>
                <w:rFonts w:hint="eastAsia" w:ascii="宋体" w:hAnsi="宋体" w:eastAsia="宋体" w:cs="宋体"/>
                <w:color w:val="auto"/>
                <w:sz w:val="18"/>
                <w:szCs w:val="18"/>
                <w:highlight w:val="none"/>
                <w:lang w:val="zh-CN"/>
              </w:rPr>
              <w:t>如果投标人属事业法人单位，则由投标人的上级行政主管部门出具拟委任的项目</w:t>
            </w:r>
            <w:r>
              <w:rPr>
                <w:rFonts w:hint="eastAsia" w:ascii="宋体" w:hAnsi="宋体" w:eastAsia="宋体" w:cs="宋体"/>
                <w:color w:val="auto"/>
                <w:sz w:val="18"/>
                <w:szCs w:val="18"/>
                <w:highlight w:val="none"/>
              </w:rPr>
              <w:t>总工</w:t>
            </w:r>
            <w:r>
              <w:rPr>
                <w:rFonts w:hint="eastAsia" w:ascii="宋体" w:hAnsi="宋体" w:eastAsia="宋体" w:cs="宋体"/>
                <w:color w:val="auto"/>
                <w:sz w:val="18"/>
                <w:szCs w:val="18"/>
                <w:highlight w:val="none"/>
                <w:lang w:val="zh-CN"/>
              </w:rPr>
              <w:t>是投标人单位职工的有效书面证明材料</w:t>
            </w:r>
            <w:r>
              <w:rPr>
                <w:rFonts w:hint="eastAsia" w:ascii="宋体" w:hAnsi="宋体" w:eastAsia="宋体" w:cs="宋体"/>
                <w:color w:val="auto"/>
                <w:sz w:val="18"/>
                <w:szCs w:val="18"/>
                <w:highlight w:val="none"/>
              </w:rPr>
              <w:t>，书面证明材料必须加盖上级行政主管部门单位章或人事专用章，不得使用电子制版印章；</w:t>
            </w:r>
            <w:r>
              <w:rPr>
                <w:rFonts w:hint="eastAsia" w:ascii="宋体" w:hAnsi="宋体" w:eastAsia="宋体" w:cs="宋体"/>
                <w:color w:val="auto"/>
                <w:sz w:val="18"/>
                <w:szCs w:val="18"/>
                <w:highlight w:val="none"/>
                <w:lang w:val="zh-CN"/>
              </w:rPr>
              <w:t>退休人员不予认可。</w:t>
            </w:r>
          </w:p>
        </w:tc>
      </w:tr>
    </w:tbl>
    <w:p w14:paraId="53B28EBE">
      <w:pPr>
        <w:rPr>
          <w:rFonts w:hint="eastAsia" w:ascii="宋体" w:hAnsi="宋体" w:eastAsia="宋体" w:cs="宋体"/>
          <w:bCs/>
          <w:color w:val="auto"/>
          <w:kern w:val="0"/>
          <w:sz w:val="18"/>
          <w:szCs w:val="18"/>
        </w:rPr>
      </w:pPr>
      <w:bookmarkStart w:id="2" w:name="_Toc64810268"/>
      <w:r>
        <w:rPr>
          <w:rFonts w:hint="eastAsia" w:ascii="宋体" w:hAnsi="宋体" w:eastAsia="宋体" w:cs="宋体"/>
          <w:bCs/>
          <w:color w:val="auto"/>
          <w:kern w:val="0"/>
          <w:sz w:val="18"/>
          <w:szCs w:val="18"/>
        </w:rPr>
        <w:br w:type="page"/>
      </w:r>
    </w:p>
    <w:p w14:paraId="78C2D155">
      <w:pPr>
        <w:keepNext/>
        <w:keepLines/>
        <w:pageBreakBefore w:val="0"/>
        <w:kinsoku/>
        <w:wordWrap/>
        <w:overflowPunct/>
        <w:topLinePunct w:val="0"/>
        <w:bidi w:val="0"/>
        <w:snapToGrid w:val="0"/>
        <w:spacing w:line="240" w:lineRule="exact"/>
        <w:jc w:val="center"/>
        <w:textAlignment w:val="auto"/>
        <w:outlineLvl w:val="0"/>
        <w:rPr>
          <w:rFonts w:ascii="黑体" w:hAnsi="Calibri" w:eastAsia="黑体" w:cs="Times New Roman"/>
          <w:bCs/>
          <w:color w:val="auto"/>
          <w:kern w:val="44"/>
          <w:sz w:val="18"/>
          <w:szCs w:val="18"/>
        </w:rPr>
      </w:pPr>
      <w:r>
        <w:rPr>
          <w:rFonts w:hint="eastAsia" w:ascii="黑体" w:hAnsi="Calibri" w:eastAsia="黑体" w:cs="Times New Roman"/>
          <w:bCs/>
          <w:color w:val="auto"/>
          <w:kern w:val="44"/>
          <w:sz w:val="18"/>
          <w:szCs w:val="18"/>
        </w:rPr>
        <w:t>评标办法（综合评分法）</w:t>
      </w:r>
    </w:p>
    <w:p w14:paraId="02A5A222">
      <w:pPr>
        <w:keepNext/>
        <w:keepLines/>
        <w:pageBreakBefore w:val="0"/>
        <w:kinsoku/>
        <w:wordWrap/>
        <w:overflowPunct/>
        <w:topLinePunct w:val="0"/>
        <w:bidi w:val="0"/>
        <w:adjustRightInd w:val="0"/>
        <w:snapToGrid w:val="0"/>
        <w:spacing w:afterAutospacing="0" w:line="360" w:lineRule="exact"/>
        <w:ind w:left="0" w:leftChars="0" w:right="0" w:firstLine="360" w:firstLineChars="200"/>
        <w:textAlignment w:val="auto"/>
        <w:outlineLvl w:val="2"/>
        <w:rPr>
          <w:rFonts w:hint="eastAsia" w:ascii="宋体" w:hAnsi="宋体" w:eastAsia="宋体" w:cs="宋体"/>
          <w:bCs/>
          <w:color w:val="auto"/>
          <w:kern w:val="0"/>
          <w:sz w:val="18"/>
          <w:szCs w:val="18"/>
        </w:rPr>
      </w:pPr>
      <w:r>
        <w:rPr>
          <w:rFonts w:hint="eastAsia" w:ascii="宋体" w:hAnsi="宋体" w:eastAsia="宋体" w:cs="宋体"/>
          <w:bCs/>
          <w:color w:val="auto"/>
          <w:kern w:val="0"/>
          <w:sz w:val="18"/>
          <w:szCs w:val="18"/>
        </w:rPr>
        <w:t>评标办法前附表</w:t>
      </w:r>
      <w:r>
        <w:rPr>
          <w:rFonts w:hint="eastAsia" w:ascii="宋体" w:hAnsi="宋体" w:eastAsia="宋体" w:cs="宋体"/>
          <w:bCs/>
          <w:color w:val="auto"/>
          <w:kern w:val="0"/>
          <w:sz w:val="18"/>
          <w:szCs w:val="18"/>
          <w:vertAlign w:val="superscript"/>
        </w:rPr>
        <w:footnoteReference w:id="0"/>
      </w:r>
      <w:bookmarkEnd w:id="2"/>
    </w:p>
    <w:tbl>
      <w:tblPr>
        <w:tblStyle w:val="8"/>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389"/>
        <w:gridCol w:w="7383"/>
      </w:tblGrid>
      <w:tr w14:paraId="32E45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90" w:hRule="atLeast"/>
          <w:tblHeader/>
          <w:jc w:val="center"/>
        </w:trPr>
        <w:tc>
          <w:tcPr>
            <w:tcW w:w="2245" w:type="dxa"/>
            <w:gridSpan w:val="2"/>
            <w:shd w:val="clear" w:color="auto" w:fill="auto"/>
            <w:vAlign w:val="center"/>
          </w:tcPr>
          <w:p w14:paraId="1DC91C19">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条款号</w:t>
            </w:r>
          </w:p>
        </w:tc>
        <w:tc>
          <w:tcPr>
            <w:tcW w:w="7383" w:type="dxa"/>
            <w:shd w:val="clear" w:color="auto" w:fill="auto"/>
            <w:vAlign w:val="center"/>
          </w:tcPr>
          <w:p w14:paraId="4DACDF0B">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评审因素与评审标准</w:t>
            </w:r>
          </w:p>
        </w:tc>
      </w:tr>
      <w:tr w14:paraId="75A7E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856" w:type="dxa"/>
            <w:shd w:val="clear" w:color="auto" w:fill="auto"/>
            <w:vAlign w:val="center"/>
          </w:tcPr>
          <w:p w14:paraId="27044C47">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w:t>
            </w:r>
          </w:p>
        </w:tc>
        <w:tc>
          <w:tcPr>
            <w:tcW w:w="1389" w:type="dxa"/>
            <w:shd w:val="clear" w:color="auto" w:fill="auto"/>
            <w:vAlign w:val="center"/>
          </w:tcPr>
          <w:p w14:paraId="7FE3EF3F">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评标方法</w:t>
            </w:r>
          </w:p>
        </w:tc>
        <w:tc>
          <w:tcPr>
            <w:tcW w:w="7383" w:type="dxa"/>
            <w:shd w:val="clear" w:color="auto" w:fill="auto"/>
            <w:vAlign w:val="center"/>
          </w:tcPr>
          <w:p w14:paraId="7D47E7C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textAlignment w:val="auto"/>
              <w:rPr>
                <w:rFonts w:hint="eastAsia" w:ascii="宋体" w:hAnsi="宋体" w:eastAsia="宋体" w:cs="宋体"/>
                <w:color w:val="auto"/>
                <w:kern w:val="2"/>
                <w:sz w:val="18"/>
                <w:szCs w:val="18"/>
                <w:highlight w:val="yellow"/>
                <w:lang w:val="en-US" w:eastAsia="zh-CN" w:bidi="ar-SA"/>
              </w:rPr>
            </w:pPr>
            <w:r>
              <w:rPr>
                <w:rFonts w:hint="eastAsia" w:ascii="宋体" w:hAnsi="宋体" w:eastAsia="宋体" w:cs="宋体"/>
                <w:color w:val="auto"/>
                <w:kern w:val="2"/>
                <w:sz w:val="18"/>
                <w:szCs w:val="18"/>
                <w:highlight w:val="none"/>
                <w:lang w:val="en-US" w:eastAsia="zh-CN" w:bidi="ar-SA"/>
              </w:rPr>
              <w:t>本次评标采用综合评分法（施工组织设计采用“盲评”方式），即投标文件的商务部分按招标文件要求进行评分，技术部分采用“暗标”形式，公共资源交易一体化平台评标系统将所有投标人的技术标随机排序。评标专家在不知晓投标人信息的情况下进行评审，由系统自动汇总评审情况，按程序确定中标候选人。</w:t>
            </w:r>
          </w:p>
          <w:p w14:paraId="52DC420F">
            <w:pPr>
              <w:keepNext w:val="0"/>
              <w:keepLines w:val="0"/>
              <w:pageBreakBefore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综合评分相等时，评标委员会依次按照以下优先顺序推荐中标候选人：</w:t>
            </w:r>
          </w:p>
          <w:p w14:paraId="19D09C4F">
            <w:pPr>
              <w:keepNext w:val="0"/>
              <w:keepLines w:val="0"/>
              <w:pageBreakBefore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（1）评标价低的投标人优先；</w:t>
            </w:r>
          </w:p>
          <w:p w14:paraId="26EB3132">
            <w:pPr>
              <w:keepNext w:val="0"/>
              <w:keepLines w:val="0"/>
              <w:pageBreakBefore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（2）商务和技术得分较高的投标人优先；</w:t>
            </w:r>
          </w:p>
          <w:p w14:paraId="6C632B8F">
            <w:pPr>
              <w:keepNext w:val="0"/>
              <w:keepLines w:val="0"/>
              <w:pageBreakBefore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3</w:t>
            </w:r>
            <w:r>
              <w:rPr>
                <w:rFonts w:hint="eastAsia" w:ascii="宋体" w:hAnsi="宋体" w:eastAsia="宋体" w:cs="宋体"/>
                <w:color w:val="auto"/>
                <w:sz w:val="18"/>
                <w:szCs w:val="18"/>
              </w:rPr>
              <w:t>）若以上各项比较因素都相等，则通过评标委员会投票表决，推荐票数多的投标人优先。</w:t>
            </w:r>
          </w:p>
        </w:tc>
      </w:tr>
      <w:tr w14:paraId="3CCB6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53" w:hRule="atLeast"/>
          <w:jc w:val="center"/>
        </w:trPr>
        <w:tc>
          <w:tcPr>
            <w:tcW w:w="856" w:type="dxa"/>
            <w:shd w:val="clear" w:color="auto" w:fill="auto"/>
            <w:vAlign w:val="center"/>
          </w:tcPr>
          <w:p w14:paraId="6E311178">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2.1.1</w:t>
            </w:r>
          </w:p>
          <w:p w14:paraId="7F79131B">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2.1.3</w:t>
            </w:r>
          </w:p>
        </w:tc>
        <w:tc>
          <w:tcPr>
            <w:tcW w:w="1389" w:type="dxa"/>
            <w:shd w:val="clear" w:color="auto" w:fill="auto"/>
            <w:vAlign w:val="center"/>
          </w:tcPr>
          <w:p w14:paraId="156DCD34">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形式评审与</w:t>
            </w:r>
          </w:p>
          <w:p w14:paraId="5D7C0944">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响应性评审</w:t>
            </w:r>
          </w:p>
          <w:p w14:paraId="4136CA3A">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标准</w:t>
            </w:r>
          </w:p>
        </w:tc>
        <w:tc>
          <w:tcPr>
            <w:tcW w:w="7383" w:type="dxa"/>
            <w:shd w:val="clear" w:color="auto" w:fill="auto"/>
            <w:vAlign w:val="center"/>
          </w:tcPr>
          <w:p w14:paraId="7A2F9FAB">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第一个信封（商务及技术文件）评审标准：</w:t>
            </w:r>
          </w:p>
          <w:p w14:paraId="2D6267B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（1）投标文件按照招标文件规定的格式、内容填写，字迹清晰可辨：</w:t>
            </w:r>
          </w:p>
          <w:p w14:paraId="0816DFA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a.投标函按招标文件规定填报了项目名称、标段号、补遗书编号（如有）、工期、工程质量要求及安全目标；</w:t>
            </w:r>
          </w:p>
          <w:p w14:paraId="07E55BBB">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b.投标函附录的所有数据均符合招标文件规定；</w:t>
            </w:r>
          </w:p>
          <w:p w14:paraId="7A4C1D39">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c.投标文件组成齐全完整，内容均按规定填写。</w:t>
            </w:r>
          </w:p>
          <w:p w14:paraId="2AC9D2EE">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（2）投标文件上法定代表人或其委托代理人的签字、投标人的单位章盖章齐全，符合招标文件规定。</w:t>
            </w:r>
          </w:p>
          <w:p w14:paraId="6B407E05">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（3）投标人按照招标文件的规定提供了投标保证金：</w:t>
            </w:r>
          </w:p>
          <w:p w14:paraId="56CF926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a.投标保证金金额符合招标文件规定的金额，且投标保证金有效期不少于投标有效期；</w:t>
            </w:r>
          </w:p>
          <w:p w14:paraId="5C473828">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 若投标保证金采用</w:t>
            </w:r>
            <w:r>
              <w:rPr>
                <w:rFonts w:hint="eastAsia" w:ascii="宋体" w:hAnsi="宋体" w:eastAsia="宋体" w:cs="宋体"/>
                <w:color w:val="auto"/>
                <w:sz w:val="18"/>
                <w:szCs w:val="18"/>
                <w:lang w:val="en-US" w:eastAsia="zh-CN"/>
              </w:rPr>
              <w:t>现金或支票</w:t>
            </w:r>
            <w:r>
              <w:rPr>
                <w:rFonts w:hint="eastAsia" w:ascii="宋体" w:hAnsi="宋体" w:eastAsia="宋体" w:cs="宋体"/>
                <w:color w:val="auto"/>
                <w:sz w:val="18"/>
                <w:szCs w:val="18"/>
              </w:rPr>
              <w:t>形式提交，投标人应在招标文件规定的截止时间之前，将投标保证金一次性由投标人的基本账户转入</w:t>
            </w:r>
            <w:r>
              <w:rPr>
                <w:rFonts w:hint="eastAsia" w:ascii="宋体" w:hAnsi="宋体" w:eastAsia="宋体" w:cs="宋体"/>
                <w:color w:val="auto"/>
                <w:sz w:val="18"/>
                <w:szCs w:val="18"/>
                <w:lang w:val="en-US" w:eastAsia="zh-CN"/>
              </w:rPr>
              <w:t>并到达</w:t>
            </w:r>
            <w:r>
              <w:rPr>
                <w:rFonts w:hint="eastAsia" w:ascii="宋体" w:hAnsi="宋体" w:eastAsia="宋体" w:cs="宋体"/>
                <w:color w:val="auto"/>
                <w:sz w:val="18"/>
                <w:szCs w:val="18"/>
              </w:rPr>
              <w:t>招标人指定账户；</w:t>
            </w:r>
          </w:p>
          <w:p w14:paraId="5F5F5AA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c.若投标保证金采用保函</w:t>
            </w:r>
            <w:r>
              <w:rPr>
                <w:rFonts w:hint="eastAsia" w:ascii="宋体" w:hAnsi="宋体" w:eastAsia="宋体" w:cs="宋体"/>
                <w:color w:val="auto"/>
                <w:sz w:val="18"/>
                <w:szCs w:val="18"/>
                <w:lang w:val="en-US" w:eastAsia="zh-CN"/>
              </w:rPr>
              <w:t>或保单</w:t>
            </w:r>
            <w:r>
              <w:rPr>
                <w:rFonts w:hint="eastAsia" w:ascii="宋体" w:hAnsi="宋体" w:eastAsia="宋体" w:cs="宋体"/>
                <w:color w:val="auto"/>
                <w:sz w:val="18"/>
                <w:szCs w:val="18"/>
              </w:rPr>
              <w:t>形式提交，满足招标文件要求。</w:t>
            </w:r>
          </w:p>
          <w:p w14:paraId="182CCB69">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（4）投标人法定代表人授权委托代理人签署投标文件的，须提交授权委托书，授权委托书符合招标文件规定。</w:t>
            </w:r>
          </w:p>
        </w:tc>
      </w:tr>
      <w:tr w14:paraId="727CC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64" w:hRule="atLeast"/>
          <w:jc w:val="center"/>
        </w:trPr>
        <w:tc>
          <w:tcPr>
            <w:tcW w:w="856" w:type="dxa"/>
            <w:shd w:val="clear" w:color="auto" w:fill="auto"/>
            <w:vAlign w:val="center"/>
          </w:tcPr>
          <w:p w14:paraId="3E18CA04">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2.1.1</w:t>
            </w:r>
          </w:p>
          <w:p w14:paraId="72568F3E">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2.1.3</w:t>
            </w:r>
          </w:p>
        </w:tc>
        <w:tc>
          <w:tcPr>
            <w:tcW w:w="1389" w:type="dxa"/>
            <w:shd w:val="clear" w:color="auto" w:fill="auto"/>
            <w:vAlign w:val="center"/>
          </w:tcPr>
          <w:p w14:paraId="1F4A052B">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形式评审与</w:t>
            </w:r>
          </w:p>
          <w:p w14:paraId="60AD1DC7">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响应性评审</w:t>
            </w:r>
          </w:p>
          <w:p w14:paraId="2C381CD0">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标准</w:t>
            </w:r>
          </w:p>
        </w:tc>
        <w:tc>
          <w:tcPr>
            <w:tcW w:w="7383" w:type="dxa"/>
            <w:shd w:val="clear" w:color="auto" w:fill="auto"/>
            <w:vAlign w:val="center"/>
          </w:tcPr>
          <w:p w14:paraId="5CB5E427">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（5）投标人法定代表人亲自签署投标文件的，提供了法定代表人身份证明，法定代表人身份证明符合招标文件规定。</w:t>
            </w:r>
          </w:p>
          <w:p w14:paraId="727817F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r>
              <w:rPr>
                <w:rFonts w:hint="eastAsia" w:ascii="宋体" w:hAnsi="宋体" w:eastAsia="宋体" w:cs="宋体"/>
                <w:sz w:val="18"/>
                <w:szCs w:val="18"/>
                <w:highlight w:val="none"/>
              </w:rPr>
              <w:t>投标人以联合体形式投标时，联合体满足招标文件的要求：投标人按照招标文件提供的格式签订了联合体协议书，明确各方承担连带责任，并明确了联合体牵头人。</w:t>
            </w:r>
          </w:p>
          <w:p w14:paraId="21313C30">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（7）投标人</w:t>
            </w:r>
            <w:r>
              <w:rPr>
                <w:rFonts w:hint="eastAsia" w:ascii="宋体" w:hAnsi="宋体" w:eastAsia="宋体" w:cs="宋体"/>
                <w:color w:val="auto"/>
                <w:sz w:val="18"/>
                <w:szCs w:val="18"/>
                <w:highlight w:val="none"/>
                <w:lang w:val="en-US" w:eastAsia="zh-CN"/>
              </w:rPr>
              <w:t>未提出</w:t>
            </w:r>
            <w:r>
              <w:rPr>
                <w:rFonts w:hint="eastAsia" w:ascii="宋体" w:hAnsi="宋体" w:eastAsia="宋体" w:cs="宋体"/>
                <w:color w:val="auto"/>
                <w:sz w:val="18"/>
                <w:szCs w:val="18"/>
                <w:highlight w:val="none"/>
              </w:rPr>
              <w:t>分包计划。</w:t>
            </w:r>
          </w:p>
          <w:p w14:paraId="15FEF4E0">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（8）同一投标人未提交两个以上不同的投标文件。</w:t>
            </w:r>
          </w:p>
          <w:p w14:paraId="72BB17F6">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（9）投标文件中未出现有关投标报价的内容。</w:t>
            </w:r>
          </w:p>
          <w:p w14:paraId="3B7E4174">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（10）投标文件载明的招标项目完成期限未超过招标文件规定的时限。</w:t>
            </w:r>
          </w:p>
          <w:p w14:paraId="773155F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（11）投标文件对招标文件的实质性要求和条件作出响应。</w:t>
            </w:r>
          </w:p>
          <w:p w14:paraId="00E4B9A3">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（12）权利义务符合招标文件规定：</w:t>
            </w:r>
          </w:p>
          <w:p w14:paraId="7B51E62C">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a.投标人应接受招标文件规定的风险划分原则，未提出新的风险划分办法；</w:t>
            </w:r>
          </w:p>
          <w:p w14:paraId="2C48E69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b.投标人未增加发包人的责任范围，或减少投标人义务；</w:t>
            </w:r>
          </w:p>
          <w:p w14:paraId="4FDD3659">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c.投标人未提出不同的工程验收、计量、支付办法；</w:t>
            </w:r>
          </w:p>
          <w:p w14:paraId="4D004942">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d.投标人对合同纠纷、事故处理办法未提出异议；</w:t>
            </w:r>
          </w:p>
          <w:p w14:paraId="080EE087">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e.投标人在投标活动中无欺诈行为；</w:t>
            </w:r>
          </w:p>
          <w:p w14:paraId="6D323960">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f.投标人未对合同条款有重要保留。</w:t>
            </w:r>
          </w:p>
          <w:p w14:paraId="4BA0C3BC">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第二个信封（报价文件）评审标准：</w:t>
            </w:r>
          </w:p>
          <w:p w14:paraId="2A7DCB5C">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（1）投标文件按照招标文件规定的格式、内容填写，字迹清晰可辨：</w:t>
            </w:r>
          </w:p>
          <w:p w14:paraId="63DACAB8">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a.投标函按招标文件规定填报了项目名称、标段号、补遗书编号（如有）、投标价（包括大写金额和小写金额）。</w:t>
            </w:r>
          </w:p>
          <w:p w14:paraId="62F11DE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b.已标价工程量清单说明与招标文件规定一致，未进行实质性修改和删减；</w:t>
            </w:r>
          </w:p>
          <w:p w14:paraId="79B19332">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c.投标文件组成齐全完整，内容均按规定填写。</w:t>
            </w:r>
          </w:p>
          <w:p w14:paraId="78C7B3D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（2）投标文件上法定代表人或其委托代理人的签字、投标人的单位章盖章齐全，符合招标文件规定。</w:t>
            </w:r>
          </w:p>
          <w:p w14:paraId="6A731AB8">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（3）投标报价未超过招标文件设定的最高投标限价。</w:t>
            </w:r>
          </w:p>
          <w:p w14:paraId="1CA2451A">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（4）投标报价中的大写金额能够确定具体数值。</w:t>
            </w:r>
          </w:p>
          <w:p w14:paraId="15C7A4F0">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（5）同一投标人未提交两个以上不同的投标报价。</w:t>
            </w:r>
          </w:p>
          <w:p w14:paraId="78B28E4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（6）投标人未提交调价函。</w:t>
            </w:r>
          </w:p>
          <w:p w14:paraId="5D28CA25">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（7）投标人填写完毕的工程量固化清单未对工程量固化清单电子文件中的数据、格式和运算定义进行修改；工程量固化清单中的投标报价和投标函大写金额报价一致。</w:t>
            </w:r>
          </w:p>
        </w:tc>
      </w:tr>
      <w:tr w14:paraId="0E363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420" w:hRule="atLeast"/>
          <w:jc w:val="center"/>
        </w:trPr>
        <w:tc>
          <w:tcPr>
            <w:tcW w:w="856" w:type="dxa"/>
            <w:tcBorders>
              <w:bottom w:val="single" w:color="auto" w:sz="4" w:space="0"/>
            </w:tcBorders>
            <w:shd w:val="clear" w:color="auto" w:fill="auto"/>
            <w:vAlign w:val="center"/>
          </w:tcPr>
          <w:p w14:paraId="01BE0C08">
            <w:pPr>
              <w:keepNext w:val="0"/>
              <w:keepLines w:val="0"/>
              <w:pageBreakBefore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2.1.2</w:t>
            </w:r>
          </w:p>
        </w:tc>
        <w:tc>
          <w:tcPr>
            <w:tcW w:w="1389" w:type="dxa"/>
            <w:tcBorders>
              <w:bottom w:val="single" w:color="auto" w:sz="4" w:space="0"/>
            </w:tcBorders>
            <w:shd w:val="clear" w:color="auto" w:fill="auto"/>
            <w:vAlign w:val="center"/>
          </w:tcPr>
          <w:p w14:paraId="42528843">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资格评审</w:t>
            </w:r>
          </w:p>
          <w:p w14:paraId="02A33C57">
            <w:pPr>
              <w:keepNext w:val="0"/>
              <w:keepLines w:val="0"/>
              <w:pageBreakBefore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标准</w:t>
            </w:r>
          </w:p>
        </w:tc>
        <w:tc>
          <w:tcPr>
            <w:tcW w:w="7383" w:type="dxa"/>
            <w:tcBorders>
              <w:bottom w:val="single" w:color="auto" w:sz="4" w:space="0"/>
            </w:tcBorders>
            <w:shd w:val="clear" w:color="auto" w:fill="auto"/>
          </w:tcPr>
          <w:p w14:paraId="277A6B8F">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（1）投标人具备有效的营业执照</w:t>
            </w:r>
            <w:r>
              <w:rPr>
                <w:rFonts w:hint="eastAsia" w:ascii="宋体" w:hAnsi="宋体" w:eastAsia="宋体" w:cs="宋体"/>
                <w:color w:val="auto"/>
                <w:sz w:val="18"/>
                <w:szCs w:val="18"/>
                <w:lang w:eastAsia="zh-CN"/>
              </w:rPr>
              <w:t>（</w:t>
            </w:r>
            <w:r>
              <w:rPr>
                <w:rFonts w:hint="eastAsia" w:ascii="宋体" w:hAnsi="宋体" w:eastAsia="宋体" w:cs="宋体"/>
                <w:sz w:val="18"/>
                <w:szCs w:val="18"/>
                <w:highlight w:val="none"/>
                <w:lang w:val="en-US" w:eastAsia="zh-CN"/>
              </w:rPr>
              <w:t>事业单位法人证书</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、资质证书、安全生产许可证、基本账户开户许可证（或基本账户开户银行出具的开户证明</w:t>
            </w:r>
            <w:r>
              <w:rPr>
                <w:rFonts w:hint="eastAsia" w:ascii="宋体" w:hAnsi="宋体" w:eastAsia="宋体" w:cs="宋体"/>
                <w:color w:val="auto"/>
                <w:sz w:val="18"/>
                <w:szCs w:val="18"/>
                <w:lang w:eastAsia="zh-CN"/>
              </w:rPr>
              <w:t>，</w:t>
            </w:r>
            <w:r>
              <w:rPr>
                <w:rFonts w:hint="eastAsia" w:ascii="宋体" w:hAnsi="宋体" w:eastAsia="宋体" w:cs="宋体"/>
                <w:spacing w:val="0"/>
                <w:kern w:val="2"/>
                <w:sz w:val="18"/>
                <w:szCs w:val="18"/>
                <w:highlight w:val="none"/>
              </w:rPr>
              <w:t>采用保函形式提交投标保证金的，可不提供）</w:t>
            </w:r>
            <w:r>
              <w:rPr>
                <w:rFonts w:hint="eastAsia" w:ascii="宋体" w:hAnsi="宋体" w:eastAsia="宋体" w:cs="宋体"/>
                <w:kern w:val="2"/>
                <w:sz w:val="18"/>
                <w:szCs w:val="18"/>
              </w:rPr>
              <w:t>、在国家企业信用信息公示系统中基础信息（体现股东及出资详细信息）的网页截图</w:t>
            </w:r>
            <w:r>
              <w:rPr>
                <w:rFonts w:hint="eastAsia" w:ascii="宋体" w:hAnsi="宋体" w:eastAsia="宋体" w:cs="宋体"/>
                <w:kern w:val="2"/>
                <w:sz w:val="18"/>
                <w:szCs w:val="18"/>
                <w:lang w:eastAsia="zh-CN"/>
              </w:rPr>
              <w:t>（</w:t>
            </w:r>
            <w:r>
              <w:rPr>
                <w:rFonts w:hint="eastAsia" w:ascii="宋体" w:hAnsi="宋体" w:eastAsia="宋体" w:cs="宋体"/>
                <w:kern w:val="2"/>
                <w:sz w:val="18"/>
                <w:szCs w:val="18"/>
                <w:lang w:val="en-US" w:eastAsia="zh-CN"/>
              </w:rPr>
              <w:t>事业单位无须提供</w:t>
            </w:r>
            <w:r>
              <w:rPr>
                <w:rFonts w:hint="eastAsia" w:ascii="宋体" w:hAnsi="宋体" w:eastAsia="宋体" w:cs="宋体"/>
                <w:kern w:val="2"/>
                <w:sz w:val="18"/>
                <w:szCs w:val="18"/>
                <w:lang w:eastAsia="zh-CN"/>
              </w:rPr>
              <w:t>）</w:t>
            </w:r>
            <w:r>
              <w:rPr>
                <w:rFonts w:hint="eastAsia" w:ascii="宋体" w:hAnsi="宋体" w:eastAsia="宋体" w:cs="宋体"/>
                <w:color w:val="auto"/>
                <w:sz w:val="18"/>
                <w:szCs w:val="18"/>
              </w:rPr>
              <w:t>。</w:t>
            </w:r>
          </w:p>
          <w:p w14:paraId="43DD19E0">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（2）投标人的资质等级符合招标文件规定。</w:t>
            </w:r>
          </w:p>
          <w:p w14:paraId="1D53C3D2">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（3）投标人的财务状况符合招标文件规定。</w:t>
            </w:r>
          </w:p>
          <w:p w14:paraId="2D1EF93C">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（4）投标人的类似项目业绩符合招标文件规定。</w:t>
            </w:r>
          </w:p>
          <w:p w14:paraId="0C254D9B">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（5）投标人的信誉符合招标文件规定。</w:t>
            </w:r>
          </w:p>
          <w:p w14:paraId="46CEE8E8">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（6）投标人的项目经理和项目总工资格、在岗情况符合招标文件规定。</w:t>
            </w:r>
          </w:p>
          <w:p w14:paraId="22E7E17B">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（7）</w:t>
            </w:r>
            <w:r>
              <w:rPr>
                <w:rFonts w:hint="eastAsia" w:ascii="宋体" w:hAnsi="宋体" w:eastAsia="宋体" w:cs="宋体"/>
                <w:color w:val="auto"/>
                <w:sz w:val="18"/>
                <w:szCs w:val="18"/>
                <w:lang w:val="en-US" w:eastAsia="zh-CN"/>
              </w:rPr>
              <w:t>投标人的其他要求符合招标文件规定。</w:t>
            </w:r>
          </w:p>
          <w:p w14:paraId="445C9132">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8</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投标人不存在第二章“投标人须知”第1.4.3项或第1.4.4项规定的任何一种情形。</w:t>
            </w:r>
          </w:p>
          <w:p w14:paraId="40C3509E">
            <w:pPr>
              <w:keepNext w:val="0"/>
              <w:keepLines w:val="0"/>
              <w:pageBreakBefore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9</w:t>
            </w:r>
            <w:r>
              <w:rPr>
                <w:rFonts w:hint="eastAsia" w:ascii="宋体" w:hAnsi="宋体" w:eastAsia="宋体" w:cs="宋体"/>
                <w:color w:val="auto"/>
                <w:sz w:val="18"/>
                <w:szCs w:val="18"/>
              </w:rPr>
              <w:t>）</w:t>
            </w:r>
            <w:r>
              <w:rPr>
                <w:rFonts w:hint="eastAsia" w:ascii="宋体" w:hAnsi="宋体" w:eastAsia="宋体" w:cs="宋体"/>
                <w:sz w:val="18"/>
                <w:szCs w:val="18"/>
                <w:highlight w:val="none"/>
                <w:lang w:val="en-US" w:eastAsia="zh-CN"/>
              </w:rPr>
              <w:t>以联合体形式参与投标的，联合体各方均未再以自己名义或参加其他联合体在同一标段中投标；独立参与投标的，投标人未同时参加联合体在同一标段中投标。联合体成员承担的工作内容必须具备相应的资质。</w:t>
            </w:r>
          </w:p>
        </w:tc>
      </w:tr>
    </w:tbl>
    <w:p w14:paraId="1A20191D">
      <w:pPr>
        <w:pageBreakBefore w:val="0"/>
        <w:kinsoku/>
        <w:wordWrap/>
        <w:overflowPunct/>
        <w:topLinePunct w:val="0"/>
        <w:bidi w:val="0"/>
        <w:spacing w:afterAutospacing="0" w:line="360" w:lineRule="exact"/>
        <w:ind w:left="0" w:leftChars="0" w:right="0" w:firstLine="360" w:firstLineChars="200"/>
        <w:jc w:val="righ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续上表</w:t>
      </w:r>
    </w:p>
    <w:tbl>
      <w:tblPr>
        <w:tblStyle w:val="8"/>
        <w:tblW w:w="95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389"/>
        <w:gridCol w:w="7348"/>
      </w:tblGrid>
      <w:tr w14:paraId="1841F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14"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3E08BB9">
            <w:pPr>
              <w:keepNext w:val="0"/>
              <w:keepLines w:val="0"/>
              <w:pageBreakBefore w:val="0"/>
              <w:widowControl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条款号</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40A4FD92">
            <w:pPr>
              <w:keepNext w:val="0"/>
              <w:keepLines w:val="0"/>
              <w:pageBreakBefore w:val="0"/>
              <w:widowControl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条款内容</w:t>
            </w:r>
          </w:p>
        </w:tc>
        <w:tc>
          <w:tcPr>
            <w:tcW w:w="7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60A9EDF8">
            <w:pPr>
              <w:keepNext w:val="0"/>
              <w:keepLines w:val="0"/>
              <w:pageBreakBefore w:val="0"/>
              <w:widowControl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编列内容</w:t>
            </w:r>
          </w:p>
        </w:tc>
      </w:tr>
      <w:tr w14:paraId="1CF96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4AF9EC00">
            <w:pPr>
              <w:keepNext w:val="0"/>
              <w:keepLines w:val="0"/>
              <w:pageBreakBefore w:val="0"/>
              <w:widowControl w:val="0"/>
              <w:kinsoku/>
              <w:wordWrap/>
              <w:overflowPunct/>
              <w:topLinePunct w:val="0"/>
              <w:autoSpaceDE w:val="0"/>
              <w:autoSpaceDN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2.2.1</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0D67FAE5">
            <w:pPr>
              <w:keepNext w:val="0"/>
              <w:keepLines w:val="0"/>
              <w:pageBreakBefore w:val="0"/>
              <w:widowControl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分值构成</w:t>
            </w:r>
          </w:p>
          <w:p w14:paraId="497F6D26">
            <w:pPr>
              <w:keepNext w:val="0"/>
              <w:keepLines w:val="0"/>
              <w:pageBreakBefore w:val="0"/>
              <w:widowControl w:val="0"/>
              <w:kinsoku/>
              <w:wordWrap/>
              <w:overflowPunct/>
              <w:topLinePunct w:val="0"/>
              <w:bidi w:val="0"/>
              <w:adjustRightInd w:val="0"/>
              <w:snapToGrid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（总分100分）</w:t>
            </w:r>
          </w:p>
        </w:tc>
        <w:tc>
          <w:tcPr>
            <w:tcW w:w="7348" w:type="dxa"/>
            <w:tcBorders>
              <w:top w:val="single" w:color="000000" w:sz="4" w:space="0"/>
              <w:left w:val="single" w:color="000000" w:sz="4" w:space="0"/>
              <w:bottom w:val="single" w:color="auto" w:sz="4" w:space="0"/>
              <w:right w:val="single" w:color="000000" w:sz="4" w:space="0"/>
            </w:tcBorders>
            <w:shd w:val="clear" w:color="auto" w:fill="auto"/>
          </w:tcPr>
          <w:p w14:paraId="463F453B">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第一个信封（商务及技术文件）评分分值构成：</w:t>
            </w:r>
          </w:p>
          <w:p w14:paraId="6C903834">
            <w:pPr>
              <w:keepNext w:val="0"/>
              <w:keepLines w:val="0"/>
              <w:pageBreakBefore w:val="0"/>
              <w:widowControl w:val="0"/>
              <w:kinsoku/>
              <w:wordWrap/>
              <w:overflowPunct/>
              <w:topLinePunct w:val="0"/>
              <w:autoSpaceDE/>
              <w:autoSpaceDN/>
              <w:bidi w:val="0"/>
              <w:adjustRightInd w:val="0"/>
              <w:snapToGrid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施工组织设计：</w:t>
            </w: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分</w:t>
            </w:r>
          </w:p>
          <w:p w14:paraId="4CF28583">
            <w:pPr>
              <w:keepNext w:val="0"/>
              <w:keepLines w:val="0"/>
              <w:pageBreakBefore w:val="0"/>
              <w:widowControl w:val="0"/>
              <w:kinsoku/>
              <w:wordWrap/>
              <w:overflowPunct/>
              <w:topLinePunct w:val="0"/>
              <w:autoSpaceDE/>
              <w:autoSpaceDN/>
              <w:bidi w:val="0"/>
              <w:adjustRightInd w:val="0"/>
              <w:snapToGrid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主要人员：</w:t>
            </w:r>
            <w:r>
              <w:rPr>
                <w:rFonts w:hint="eastAsia" w:ascii="宋体" w:hAnsi="宋体" w:eastAsia="宋体" w:cs="宋体"/>
                <w:color w:val="auto"/>
                <w:sz w:val="18"/>
                <w:szCs w:val="18"/>
                <w:highlight w:val="none"/>
                <w:lang w:val="en-US" w:eastAsia="zh-CN"/>
              </w:rPr>
              <w:t>20</w:t>
            </w:r>
            <w:r>
              <w:rPr>
                <w:rFonts w:hint="eastAsia" w:ascii="宋体" w:hAnsi="宋体" w:eastAsia="宋体" w:cs="宋体"/>
                <w:color w:val="auto"/>
                <w:sz w:val="18"/>
                <w:szCs w:val="18"/>
                <w:highlight w:val="none"/>
              </w:rPr>
              <w:t>分</w:t>
            </w:r>
          </w:p>
          <w:p w14:paraId="6E1158B5">
            <w:pPr>
              <w:keepNext w:val="0"/>
              <w:keepLines w:val="0"/>
              <w:pageBreakBefore w:val="0"/>
              <w:widowControl w:val="0"/>
              <w:kinsoku/>
              <w:wordWrap/>
              <w:overflowPunct/>
              <w:topLinePunct w:val="0"/>
              <w:autoSpaceDE/>
              <w:autoSpaceDN/>
              <w:bidi w:val="0"/>
              <w:adjustRightInd w:val="0"/>
              <w:snapToGrid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highlight w:val="none"/>
              </w:rPr>
              <w:t>业    绩：</w:t>
            </w:r>
            <w:r>
              <w:rPr>
                <w:rFonts w:hint="eastAsia" w:ascii="宋体" w:hAnsi="宋体" w:eastAsia="宋体" w:cs="宋体"/>
                <w:color w:val="auto"/>
                <w:sz w:val="18"/>
                <w:szCs w:val="18"/>
                <w:highlight w:val="none"/>
                <w:lang w:val="en-US" w:eastAsia="zh-CN"/>
              </w:rPr>
              <w:t>10</w:t>
            </w:r>
            <w:r>
              <w:rPr>
                <w:rFonts w:hint="eastAsia" w:ascii="宋体" w:hAnsi="宋体" w:eastAsia="宋体" w:cs="宋体"/>
                <w:color w:val="auto"/>
                <w:sz w:val="18"/>
                <w:szCs w:val="18"/>
                <w:highlight w:val="none"/>
              </w:rPr>
              <w:t>分</w:t>
            </w:r>
          </w:p>
          <w:p w14:paraId="2CE99A00">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第二个信封（报价文件）评分分值构成：</w:t>
            </w:r>
          </w:p>
          <w:p w14:paraId="42932543">
            <w:pPr>
              <w:keepNext w:val="0"/>
              <w:keepLines w:val="0"/>
              <w:pageBreakBefore w:val="0"/>
              <w:widowControl w:val="0"/>
              <w:kinsoku/>
              <w:wordWrap/>
              <w:overflowPunct/>
              <w:topLinePunct w:val="0"/>
              <w:bidi w:val="0"/>
              <w:adjustRightInd w:val="0"/>
              <w:snapToGrid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评标价：50分</w:t>
            </w:r>
          </w:p>
        </w:tc>
      </w:tr>
      <w:tr w14:paraId="00689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35B4B773">
            <w:pPr>
              <w:keepNext w:val="0"/>
              <w:keepLines w:val="0"/>
              <w:pageBreakBefore w:val="0"/>
              <w:widowControl w:val="0"/>
              <w:kinsoku/>
              <w:wordWrap/>
              <w:overflowPunct/>
              <w:topLinePunct w:val="0"/>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2.2.2</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049893ED">
            <w:pPr>
              <w:keepNext w:val="0"/>
              <w:keepLines w:val="0"/>
              <w:pageBreakBefore w:val="0"/>
              <w:widowControl w:val="0"/>
              <w:kinsoku/>
              <w:wordWrap/>
              <w:overflowPunct/>
              <w:topLinePunct w:val="0"/>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评标基准价计算方法</w:t>
            </w:r>
          </w:p>
        </w:tc>
        <w:tc>
          <w:tcPr>
            <w:tcW w:w="7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EE6F30D">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评标基准价的计算：</w:t>
            </w:r>
          </w:p>
          <w:p w14:paraId="688D1776">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在开标现场，招标人将当场计算并宣布评标基准价。</w:t>
            </w:r>
          </w:p>
          <w:p w14:paraId="64B493B8">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（1）评标价的确定：评标价=投标函文字报价</w:t>
            </w:r>
          </w:p>
          <w:p w14:paraId="618D6FC7">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（2）评标价平均值的计算：</w:t>
            </w:r>
          </w:p>
          <w:p w14:paraId="65244E21">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rPr>
              <w:t>除</w:t>
            </w:r>
            <w:r>
              <w:rPr>
                <w:rFonts w:hint="eastAsia" w:ascii="宋体" w:hAnsi="宋体" w:eastAsia="宋体" w:cs="宋体"/>
                <w:color w:val="auto"/>
                <w:sz w:val="18"/>
                <w:szCs w:val="18"/>
                <w:highlight w:val="none"/>
              </w:rPr>
              <w:t>按第二章“投标人须知”第5.2.4项规定开标现场被宣布为不进入评标基准价计算的投标报价之外，</w:t>
            </w:r>
            <w:r>
              <w:rPr>
                <w:rFonts w:hint="eastAsia" w:ascii="宋体" w:hAnsi="宋体" w:eastAsia="宋体" w:cs="宋体"/>
                <w:color w:val="auto"/>
                <w:sz w:val="18"/>
                <w:szCs w:val="18"/>
                <w:highlight w:val="none"/>
                <w:lang w:val="en-US" w:eastAsia="zh-CN"/>
              </w:rPr>
              <w:t>所有在最高投标限价的85%（含本数）至100%（含本数）范围内的</w:t>
            </w:r>
            <w:r>
              <w:rPr>
                <w:rFonts w:hint="eastAsia" w:ascii="宋体" w:hAnsi="宋体" w:eastAsia="宋体" w:cs="宋体"/>
                <w:color w:val="auto"/>
                <w:sz w:val="18"/>
                <w:szCs w:val="18"/>
                <w:highlight w:val="none"/>
              </w:rPr>
              <w:t>投标人的评标价去掉一个最高值和一个最低值后的算术平均值作为评标基准价（如果参与评标基准价计算的有效投标人少于5家时，则计算评标基准价时不去掉最高值和最低值）</w:t>
            </w:r>
            <w:r>
              <w:rPr>
                <w:rFonts w:hint="eastAsia" w:ascii="宋体" w:hAnsi="宋体" w:eastAsia="宋体" w:cs="宋体"/>
                <w:bCs/>
                <w:color w:val="auto"/>
                <w:sz w:val="18"/>
                <w:szCs w:val="18"/>
                <w:highlight w:val="none"/>
              </w:rPr>
              <w:t>，评标价平均值的计算保留整数，小数点后第1位“四舍五入”</w:t>
            </w:r>
            <w:r>
              <w:rPr>
                <w:rFonts w:hint="eastAsia" w:ascii="宋体" w:hAnsi="宋体" w:eastAsia="宋体" w:cs="宋体"/>
                <w:color w:val="auto"/>
                <w:sz w:val="18"/>
                <w:szCs w:val="18"/>
                <w:highlight w:val="none"/>
              </w:rPr>
              <w:t>。</w:t>
            </w:r>
          </w:p>
          <w:p w14:paraId="00B77C18">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（3）评标基准价的确定：</w:t>
            </w:r>
          </w:p>
          <w:p w14:paraId="140FBB48">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将评标价平均值直接作为评标基准价。</w:t>
            </w:r>
          </w:p>
          <w:p w14:paraId="3D96CF5A">
            <w:pPr>
              <w:keepNext w:val="0"/>
              <w:keepLines w:val="0"/>
              <w:pageBreakBefore w:val="0"/>
              <w:widowControl w:val="0"/>
              <w:kinsoku/>
              <w:wordWrap/>
              <w:overflowPunct/>
              <w:topLinePunct w:val="0"/>
              <w:bidi w:val="0"/>
              <w:spacing w:afterAutospacing="0" w:line="240" w:lineRule="exact"/>
              <w:ind w:left="0" w:leftChars="0" w:right="0" w:firstLine="0" w:firstLineChars="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AAFA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70" w:hRule="atLeast"/>
          <w:jc w:val="center"/>
        </w:trPr>
        <w:tc>
          <w:tcPr>
            <w:tcW w:w="856"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FC8E2">
            <w:pPr>
              <w:keepNext w:val="0"/>
              <w:keepLines w:val="0"/>
              <w:pageBreakBefore w:val="0"/>
              <w:widowControl w:val="0"/>
              <w:kinsoku/>
              <w:wordWrap/>
              <w:overflowPunct/>
              <w:topLinePunct w:val="0"/>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2.2.3</w:t>
            </w:r>
          </w:p>
        </w:tc>
        <w:tc>
          <w:tcPr>
            <w:tcW w:w="138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4CDA32">
            <w:pPr>
              <w:keepNext w:val="0"/>
              <w:keepLines w:val="0"/>
              <w:pageBreakBefore w:val="0"/>
              <w:widowControl w:val="0"/>
              <w:kinsoku/>
              <w:wordWrap/>
              <w:overflowPunct/>
              <w:topLinePunct w:val="0"/>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评标价的偏差率计算公式</w:t>
            </w:r>
          </w:p>
        </w:tc>
        <w:tc>
          <w:tcPr>
            <w:tcW w:w="7348" w:type="dxa"/>
            <w:tcBorders>
              <w:top w:val="single" w:color="000000" w:sz="4" w:space="0"/>
              <w:left w:val="single" w:color="000000" w:sz="4" w:space="0"/>
              <w:bottom w:val="single" w:color="auto" w:sz="4" w:space="0"/>
              <w:right w:val="single" w:color="000000" w:sz="4" w:space="0"/>
            </w:tcBorders>
            <w:shd w:val="clear" w:color="auto" w:fill="auto"/>
            <w:vAlign w:val="center"/>
          </w:tcPr>
          <w:p w14:paraId="0EDBA875">
            <w:pPr>
              <w:keepNext w:val="0"/>
              <w:keepLines w:val="0"/>
              <w:pageBreakBefore w:val="0"/>
              <w:widowControl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偏差率=100%×（投标人评标价-评标基准价）/评标基准价</w:t>
            </w:r>
          </w:p>
          <w:p w14:paraId="437E19C1">
            <w:pPr>
              <w:keepNext w:val="0"/>
              <w:keepLines w:val="0"/>
              <w:pageBreakBefore w:val="0"/>
              <w:widowControl w:val="0"/>
              <w:kinsoku/>
              <w:wordWrap/>
              <w:overflowPunct/>
              <w:topLinePunct w:val="0"/>
              <w:bidi w:val="0"/>
              <w:spacing w:afterAutospacing="0" w:line="240" w:lineRule="exact"/>
              <w:ind w:left="0" w:leftChars="0" w:right="0" w:firstLine="0" w:firstLineChars="0"/>
              <w:jc w:val="left"/>
              <w:textAlignment w:val="auto"/>
              <w:rPr>
                <w:rFonts w:hint="eastAsia" w:ascii="宋体" w:hAnsi="宋体" w:eastAsia="宋体" w:cs="宋体"/>
                <w:b/>
                <w:color w:val="auto"/>
                <w:sz w:val="18"/>
                <w:szCs w:val="18"/>
              </w:rPr>
            </w:pPr>
            <w:r>
              <w:rPr>
                <w:rFonts w:hint="eastAsia" w:ascii="宋体" w:hAnsi="宋体" w:eastAsia="宋体" w:cs="宋体"/>
                <w:color w:val="auto"/>
                <w:sz w:val="18"/>
                <w:szCs w:val="18"/>
                <w:highlight w:val="none"/>
              </w:rPr>
              <w:t>偏差率保留2位小数，例如：**.**%</w:t>
            </w:r>
          </w:p>
        </w:tc>
      </w:tr>
    </w:tbl>
    <w:p w14:paraId="692A4654">
      <w:pPr>
        <w:pageBreakBefore w:val="0"/>
        <w:kinsoku/>
        <w:wordWrap/>
        <w:overflowPunct/>
        <w:topLinePunct w:val="0"/>
        <w:bidi w:val="0"/>
        <w:spacing w:afterAutospacing="0" w:line="36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br w:type="page"/>
      </w:r>
    </w:p>
    <w:tbl>
      <w:tblPr>
        <w:tblStyle w:val="8"/>
        <w:tblW w:w="968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7"/>
        <w:gridCol w:w="595"/>
        <w:gridCol w:w="980"/>
        <w:gridCol w:w="1765"/>
        <w:gridCol w:w="600"/>
        <w:gridCol w:w="4770"/>
      </w:tblGrid>
      <w:tr w14:paraId="4DC6D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4" w:hRule="atLeast"/>
          <w:jc w:val="center"/>
        </w:trPr>
        <w:tc>
          <w:tcPr>
            <w:tcW w:w="977" w:type="dxa"/>
            <w:vMerge w:val="restart"/>
            <w:vAlign w:val="center"/>
          </w:tcPr>
          <w:p w14:paraId="63C800A4">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条款号</w:t>
            </w:r>
          </w:p>
        </w:tc>
        <w:tc>
          <w:tcPr>
            <w:tcW w:w="3940" w:type="dxa"/>
            <w:gridSpan w:val="4"/>
            <w:vAlign w:val="center"/>
          </w:tcPr>
          <w:p w14:paraId="52062FB4">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评分因素与权重分值</w:t>
            </w:r>
            <w:r>
              <w:rPr>
                <w:rStyle w:val="10"/>
                <w:rFonts w:hint="eastAsia" w:ascii="宋体" w:hAnsi="宋体" w:eastAsia="宋体" w:cs="宋体"/>
                <w:b/>
                <w:color w:val="auto"/>
                <w:sz w:val="18"/>
                <w:szCs w:val="18"/>
              </w:rPr>
              <w:footnoteReference w:id="1"/>
            </w:r>
          </w:p>
        </w:tc>
        <w:tc>
          <w:tcPr>
            <w:tcW w:w="4770" w:type="dxa"/>
            <w:vMerge w:val="restart"/>
            <w:vAlign w:val="center"/>
          </w:tcPr>
          <w:p w14:paraId="2F7F9C6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评分标准</w:t>
            </w:r>
          </w:p>
        </w:tc>
      </w:tr>
      <w:tr w14:paraId="4573AC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977" w:type="dxa"/>
            <w:vMerge w:val="continue"/>
            <w:vAlign w:val="center"/>
          </w:tcPr>
          <w:p w14:paraId="4B9B2234">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p>
        </w:tc>
        <w:tc>
          <w:tcPr>
            <w:tcW w:w="595" w:type="dxa"/>
            <w:vAlign w:val="center"/>
          </w:tcPr>
          <w:p w14:paraId="714865F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w:t>
            </w:r>
          </w:p>
          <w:p w14:paraId="5A0FD92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因素</w:t>
            </w:r>
          </w:p>
        </w:tc>
        <w:tc>
          <w:tcPr>
            <w:tcW w:w="980" w:type="dxa"/>
            <w:vAlign w:val="center"/>
          </w:tcPr>
          <w:p w14:paraId="0273D06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评分因素</w:t>
            </w:r>
          </w:p>
          <w:p w14:paraId="0561123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权重分值</w:t>
            </w:r>
          </w:p>
        </w:tc>
        <w:tc>
          <w:tcPr>
            <w:tcW w:w="1765" w:type="dxa"/>
            <w:vAlign w:val="center"/>
          </w:tcPr>
          <w:p w14:paraId="52DE704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各评分因素细分项</w:t>
            </w:r>
          </w:p>
        </w:tc>
        <w:tc>
          <w:tcPr>
            <w:tcW w:w="600" w:type="dxa"/>
            <w:vAlign w:val="center"/>
          </w:tcPr>
          <w:p w14:paraId="2FAAD888">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分值</w:t>
            </w:r>
          </w:p>
        </w:tc>
        <w:tc>
          <w:tcPr>
            <w:tcW w:w="4770" w:type="dxa"/>
            <w:vMerge w:val="continue"/>
            <w:vAlign w:val="center"/>
          </w:tcPr>
          <w:p w14:paraId="2E4EA2D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r>
      <w:tr w14:paraId="5A94ED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8" w:hRule="exact"/>
          <w:jc w:val="center"/>
        </w:trPr>
        <w:tc>
          <w:tcPr>
            <w:tcW w:w="977" w:type="dxa"/>
            <w:vMerge w:val="restart"/>
            <w:vAlign w:val="center"/>
          </w:tcPr>
          <w:p w14:paraId="52AAFB1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2.2.4（1）</w:t>
            </w:r>
          </w:p>
        </w:tc>
        <w:tc>
          <w:tcPr>
            <w:tcW w:w="595" w:type="dxa"/>
            <w:vMerge w:val="restart"/>
            <w:vAlign w:val="center"/>
          </w:tcPr>
          <w:p w14:paraId="6D8D2038">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施工组织设计</w:t>
            </w:r>
          </w:p>
        </w:tc>
        <w:tc>
          <w:tcPr>
            <w:tcW w:w="980" w:type="dxa"/>
            <w:vMerge w:val="restart"/>
            <w:vAlign w:val="center"/>
          </w:tcPr>
          <w:p w14:paraId="3F79DD93">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u w:val="single"/>
              </w:rPr>
            </w:pPr>
            <w:r>
              <w:rPr>
                <w:rFonts w:hint="eastAsia" w:ascii="宋体" w:hAnsi="宋体" w:eastAsia="宋体" w:cs="宋体"/>
                <w:color w:val="auto"/>
                <w:sz w:val="18"/>
                <w:szCs w:val="18"/>
                <w:lang w:val="en-US" w:eastAsia="zh-CN"/>
              </w:rPr>
              <w:t>20</w:t>
            </w:r>
            <w:r>
              <w:rPr>
                <w:rFonts w:hint="eastAsia" w:ascii="宋体" w:hAnsi="宋体" w:eastAsia="宋体" w:cs="宋体"/>
                <w:color w:val="auto"/>
                <w:sz w:val="18"/>
                <w:szCs w:val="18"/>
              </w:rPr>
              <w:t>分</w:t>
            </w:r>
          </w:p>
        </w:tc>
        <w:tc>
          <w:tcPr>
            <w:tcW w:w="1765" w:type="dxa"/>
            <w:vAlign w:val="center"/>
          </w:tcPr>
          <w:p w14:paraId="07EB59A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highlight w:val="none"/>
                <w:lang w:val="en-US" w:eastAsia="zh-CN"/>
              </w:rPr>
              <w:t>总体施工组织布置及规划</w:t>
            </w:r>
          </w:p>
        </w:tc>
        <w:tc>
          <w:tcPr>
            <w:tcW w:w="600" w:type="dxa"/>
            <w:vAlign w:val="center"/>
          </w:tcPr>
          <w:p w14:paraId="32FA2E5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highlight w:val="none"/>
                <w:lang w:val="en-US" w:eastAsia="zh-CN"/>
              </w:rPr>
              <w:t>5分</w:t>
            </w:r>
          </w:p>
        </w:tc>
        <w:tc>
          <w:tcPr>
            <w:tcW w:w="4770" w:type="dxa"/>
            <w:vAlign w:val="center"/>
          </w:tcPr>
          <w:p w14:paraId="73F8BCD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一般：3分；较好：3</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-4分；满意：4</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-5分。</w:t>
            </w:r>
          </w:p>
        </w:tc>
      </w:tr>
      <w:tr w14:paraId="7AF7F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3" w:hRule="exact"/>
          <w:jc w:val="center"/>
        </w:trPr>
        <w:tc>
          <w:tcPr>
            <w:tcW w:w="977" w:type="dxa"/>
            <w:vMerge w:val="continue"/>
            <w:vAlign w:val="center"/>
          </w:tcPr>
          <w:p w14:paraId="6D19981C">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7D10CAC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2C58F12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lang w:val="en-US" w:eastAsia="zh-CN"/>
              </w:rPr>
            </w:pPr>
          </w:p>
        </w:tc>
        <w:tc>
          <w:tcPr>
            <w:tcW w:w="1765" w:type="dxa"/>
            <w:shd w:val="clear" w:color="auto" w:fill="auto"/>
            <w:vAlign w:val="center"/>
          </w:tcPr>
          <w:p w14:paraId="351AA1EA">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rightChars="0" w:firstLine="0" w:firstLineChars="0"/>
              <w:jc w:val="lef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主要工程的施工方案、方法与技术措施</w:t>
            </w:r>
          </w:p>
        </w:tc>
        <w:tc>
          <w:tcPr>
            <w:tcW w:w="600" w:type="dxa"/>
            <w:shd w:val="clear" w:color="auto" w:fill="auto"/>
            <w:vAlign w:val="center"/>
          </w:tcPr>
          <w:p w14:paraId="60668F1E">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5</w:t>
            </w:r>
            <w:r>
              <w:rPr>
                <w:rFonts w:hint="eastAsia" w:ascii="宋体" w:hAnsi="宋体" w:eastAsia="宋体" w:cs="宋体"/>
                <w:color w:val="auto"/>
                <w:sz w:val="18"/>
                <w:szCs w:val="18"/>
              </w:rPr>
              <w:t>分</w:t>
            </w:r>
          </w:p>
        </w:tc>
        <w:tc>
          <w:tcPr>
            <w:tcW w:w="4770" w:type="dxa"/>
            <w:shd w:val="clear" w:color="auto" w:fill="auto"/>
            <w:vAlign w:val="center"/>
          </w:tcPr>
          <w:p w14:paraId="029FD98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一般：3分；较好：3</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-4分；满意：4</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-5分。</w:t>
            </w:r>
          </w:p>
        </w:tc>
      </w:tr>
      <w:tr w14:paraId="6127D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6" w:hRule="exact"/>
          <w:jc w:val="center"/>
        </w:trPr>
        <w:tc>
          <w:tcPr>
            <w:tcW w:w="977" w:type="dxa"/>
            <w:vMerge w:val="continue"/>
            <w:vAlign w:val="center"/>
          </w:tcPr>
          <w:p w14:paraId="528923C0">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1E87C490">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0875D7D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lang w:val="en-US" w:eastAsia="zh-CN"/>
              </w:rPr>
            </w:pPr>
          </w:p>
        </w:tc>
        <w:tc>
          <w:tcPr>
            <w:tcW w:w="1765" w:type="dxa"/>
            <w:shd w:val="clear" w:color="auto" w:fill="auto"/>
            <w:vAlign w:val="center"/>
          </w:tcPr>
          <w:p w14:paraId="6F1103F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rightChars="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工期、</w:t>
            </w:r>
            <w:r>
              <w:rPr>
                <w:rFonts w:hint="eastAsia" w:ascii="宋体" w:hAnsi="宋体" w:eastAsia="宋体" w:cs="宋体"/>
                <w:color w:val="auto"/>
                <w:sz w:val="18"/>
                <w:szCs w:val="18"/>
              </w:rPr>
              <w:t>质量、安全</w:t>
            </w:r>
            <w:r>
              <w:rPr>
                <w:rFonts w:hint="eastAsia" w:ascii="宋体" w:hAnsi="宋体" w:eastAsia="宋体" w:cs="宋体"/>
                <w:color w:val="auto"/>
                <w:sz w:val="18"/>
                <w:szCs w:val="18"/>
                <w:lang w:val="en-US" w:eastAsia="zh-CN"/>
              </w:rPr>
              <w:t>生产</w:t>
            </w:r>
            <w:r>
              <w:rPr>
                <w:rFonts w:hint="eastAsia" w:ascii="宋体" w:hAnsi="宋体" w:eastAsia="宋体" w:cs="宋体"/>
                <w:color w:val="auto"/>
                <w:sz w:val="18"/>
                <w:szCs w:val="18"/>
              </w:rPr>
              <w:t>、环保</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水土保持、文明施工</w:t>
            </w:r>
            <w:r>
              <w:rPr>
                <w:rFonts w:hint="eastAsia" w:ascii="宋体" w:hAnsi="宋体" w:eastAsia="宋体" w:cs="宋体"/>
                <w:color w:val="auto"/>
                <w:sz w:val="18"/>
                <w:szCs w:val="18"/>
              </w:rPr>
              <w:t>等各项保证体系及保证措施</w:t>
            </w:r>
          </w:p>
        </w:tc>
        <w:tc>
          <w:tcPr>
            <w:tcW w:w="600" w:type="dxa"/>
            <w:shd w:val="clear" w:color="auto" w:fill="auto"/>
            <w:vAlign w:val="center"/>
          </w:tcPr>
          <w:p w14:paraId="68AC4E3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w:t>
            </w:r>
            <w:r>
              <w:rPr>
                <w:rFonts w:hint="eastAsia" w:ascii="宋体" w:hAnsi="宋体" w:eastAsia="宋体" w:cs="宋体"/>
                <w:color w:val="auto"/>
                <w:sz w:val="18"/>
                <w:szCs w:val="18"/>
              </w:rPr>
              <w:t>分</w:t>
            </w:r>
          </w:p>
        </w:tc>
        <w:tc>
          <w:tcPr>
            <w:tcW w:w="4770" w:type="dxa"/>
            <w:shd w:val="clear" w:color="auto" w:fill="auto"/>
            <w:vAlign w:val="center"/>
          </w:tcPr>
          <w:p w14:paraId="789D48AE">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一般：3分；较好：3</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-4分；满意：4</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-5分。</w:t>
            </w:r>
          </w:p>
        </w:tc>
      </w:tr>
      <w:tr w14:paraId="638FC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0" w:hRule="exact"/>
          <w:jc w:val="center"/>
        </w:trPr>
        <w:tc>
          <w:tcPr>
            <w:tcW w:w="977" w:type="dxa"/>
            <w:vMerge w:val="continue"/>
            <w:vAlign w:val="center"/>
          </w:tcPr>
          <w:p w14:paraId="3805BDB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3FF212A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2533EA6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lang w:val="en-US" w:eastAsia="zh-CN"/>
              </w:rPr>
            </w:pPr>
          </w:p>
        </w:tc>
        <w:tc>
          <w:tcPr>
            <w:tcW w:w="1765" w:type="dxa"/>
            <w:shd w:val="clear" w:color="auto" w:fill="auto"/>
            <w:vAlign w:val="center"/>
          </w:tcPr>
          <w:p w14:paraId="67C6157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rightChars="0" w:firstLine="0" w:firstLineChars="0"/>
              <w:jc w:val="left"/>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highlight w:val="none"/>
                <w:lang w:val="en-US" w:eastAsia="zh-CN"/>
              </w:rPr>
              <w:t>项目风险预测与防范，事故应急预案</w:t>
            </w:r>
          </w:p>
        </w:tc>
        <w:tc>
          <w:tcPr>
            <w:tcW w:w="600" w:type="dxa"/>
            <w:shd w:val="clear" w:color="auto" w:fill="auto"/>
            <w:vAlign w:val="center"/>
          </w:tcPr>
          <w:p w14:paraId="4AF7A595">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5分</w:t>
            </w:r>
          </w:p>
        </w:tc>
        <w:tc>
          <w:tcPr>
            <w:tcW w:w="4770" w:type="dxa"/>
            <w:shd w:val="clear" w:color="auto" w:fill="auto"/>
            <w:vAlign w:val="center"/>
          </w:tcPr>
          <w:p w14:paraId="7F6DF1A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rPr>
              <w:t>一般：3分；较好：3</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-4分；满意：4</w:t>
            </w: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-5分。</w:t>
            </w:r>
          </w:p>
        </w:tc>
      </w:tr>
      <w:tr w14:paraId="3D581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7" w:hRule="exact"/>
          <w:jc w:val="center"/>
        </w:trPr>
        <w:tc>
          <w:tcPr>
            <w:tcW w:w="977" w:type="dxa"/>
            <w:vMerge w:val="restart"/>
            <w:vAlign w:val="center"/>
          </w:tcPr>
          <w:p w14:paraId="7B2A49C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2.2.4（2）</w:t>
            </w:r>
          </w:p>
        </w:tc>
        <w:tc>
          <w:tcPr>
            <w:tcW w:w="595" w:type="dxa"/>
            <w:vMerge w:val="restart"/>
            <w:vAlign w:val="center"/>
          </w:tcPr>
          <w:p w14:paraId="4384723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主要</w:t>
            </w:r>
          </w:p>
          <w:p w14:paraId="71BB573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人员</w:t>
            </w:r>
          </w:p>
        </w:tc>
        <w:tc>
          <w:tcPr>
            <w:tcW w:w="980" w:type="dxa"/>
            <w:vMerge w:val="restart"/>
            <w:vAlign w:val="center"/>
          </w:tcPr>
          <w:p w14:paraId="2286E391">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20</w:t>
            </w:r>
            <w:r>
              <w:rPr>
                <w:rFonts w:hint="eastAsia" w:ascii="宋体" w:hAnsi="宋体" w:eastAsia="宋体" w:cs="宋体"/>
                <w:color w:val="auto"/>
                <w:sz w:val="18"/>
                <w:szCs w:val="18"/>
              </w:rPr>
              <w:t>分</w:t>
            </w:r>
          </w:p>
        </w:tc>
        <w:tc>
          <w:tcPr>
            <w:tcW w:w="1765" w:type="dxa"/>
            <w:vMerge w:val="restart"/>
            <w:vAlign w:val="center"/>
          </w:tcPr>
          <w:p w14:paraId="516C70F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项目经理</w:t>
            </w:r>
          </w:p>
          <w:p w14:paraId="3BF5019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任职资格与</w:t>
            </w:r>
            <w:r>
              <w:rPr>
                <w:rFonts w:hint="eastAsia" w:ascii="宋体" w:hAnsi="宋体" w:eastAsia="宋体" w:cs="宋体"/>
                <w:color w:val="auto"/>
                <w:sz w:val="18"/>
                <w:szCs w:val="18"/>
                <w:highlight w:val="none"/>
                <w:lang w:val="en-US" w:eastAsia="zh-CN"/>
              </w:rPr>
              <w:t>业绩</w:t>
            </w:r>
          </w:p>
        </w:tc>
        <w:tc>
          <w:tcPr>
            <w:tcW w:w="600" w:type="dxa"/>
            <w:vAlign w:val="center"/>
          </w:tcPr>
          <w:p w14:paraId="22177E70">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6分</w:t>
            </w:r>
          </w:p>
        </w:tc>
        <w:tc>
          <w:tcPr>
            <w:tcW w:w="4770" w:type="dxa"/>
            <w:vAlign w:val="center"/>
          </w:tcPr>
          <w:p w14:paraId="2762DCC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满足最低资格要求得6分。</w:t>
            </w:r>
          </w:p>
        </w:tc>
      </w:tr>
      <w:tr w14:paraId="65664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6" w:hRule="exact"/>
          <w:jc w:val="center"/>
        </w:trPr>
        <w:tc>
          <w:tcPr>
            <w:tcW w:w="977" w:type="dxa"/>
            <w:vMerge w:val="continue"/>
            <w:vAlign w:val="center"/>
          </w:tcPr>
          <w:p w14:paraId="25A32D58">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42CB639B">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10D78A83">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1765" w:type="dxa"/>
            <w:vMerge w:val="continue"/>
            <w:vAlign w:val="center"/>
          </w:tcPr>
          <w:p w14:paraId="1194AEC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p>
        </w:tc>
        <w:tc>
          <w:tcPr>
            <w:tcW w:w="600" w:type="dxa"/>
            <w:shd w:val="clear" w:color="auto" w:fill="auto"/>
            <w:vAlign w:val="center"/>
          </w:tcPr>
          <w:p w14:paraId="729144B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4分</w:t>
            </w:r>
          </w:p>
        </w:tc>
        <w:tc>
          <w:tcPr>
            <w:tcW w:w="4770" w:type="dxa"/>
            <w:shd w:val="clear" w:color="auto" w:fill="auto"/>
            <w:vAlign w:val="center"/>
          </w:tcPr>
          <w:p w14:paraId="7C3BAAB3">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在满足最低要求基础上，每增加1项以项目经理或项目副经理身份完成的高速公路养护工程施工业绩加2分，最多加4分。</w:t>
            </w:r>
          </w:p>
        </w:tc>
      </w:tr>
      <w:tr w14:paraId="01334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5" w:hRule="exact"/>
          <w:jc w:val="center"/>
        </w:trPr>
        <w:tc>
          <w:tcPr>
            <w:tcW w:w="977" w:type="dxa"/>
            <w:vMerge w:val="continue"/>
            <w:vAlign w:val="center"/>
          </w:tcPr>
          <w:p w14:paraId="7FD947F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2FE4145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4E614E14">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1765" w:type="dxa"/>
            <w:vMerge w:val="restart"/>
            <w:vAlign w:val="center"/>
          </w:tcPr>
          <w:p w14:paraId="279415AA">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项目总工</w:t>
            </w:r>
          </w:p>
          <w:p w14:paraId="386B7155">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任职资格与</w:t>
            </w:r>
            <w:r>
              <w:rPr>
                <w:rFonts w:hint="eastAsia" w:ascii="宋体" w:hAnsi="宋体" w:eastAsia="宋体" w:cs="宋体"/>
                <w:color w:val="auto"/>
                <w:sz w:val="18"/>
                <w:szCs w:val="18"/>
                <w:highlight w:val="none"/>
                <w:lang w:val="en-US" w:eastAsia="zh-CN"/>
              </w:rPr>
              <w:t>业绩</w:t>
            </w:r>
          </w:p>
        </w:tc>
        <w:tc>
          <w:tcPr>
            <w:tcW w:w="600" w:type="dxa"/>
            <w:vAlign w:val="center"/>
          </w:tcPr>
          <w:p w14:paraId="6868599A">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6分</w:t>
            </w:r>
          </w:p>
        </w:tc>
        <w:tc>
          <w:tcPr>
            <w:tcW w:w="4770" w:type="dxa"/>
            <w:vAlign w:val="center"/>
          </w:tcPr>
          <w:p w14:paraId="2B64B98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满足最低资格要求得</w:t>
            </w:r>
            <w:r>
              <w:rPr>
                <w:rFonts w:hint="eastAsia" w:ascii="宋体" w:hAnsi="宋体" w:eastAsia="宋体" w:cs="宋体"/>
                <w:color w:val="auto"/>
                <w:sz w:val="18"/>
                <w:szCs w:val="18"/>
                <w:highlight w:val="none"/>
                <w:lang w:val="en-US" w:eastAsia="zh-CN"/>
              </w:rPr>
              <w:t>6</w:t>
            </w:r>
            <w:r>
              <w:rPr>
                <w:rFonts w:hint="eastAsia" w:ascii="宋体" w:hAnsi="宋体" w:eastAsia="宋体" w:cs="宋体"/>
                <w:color w:val="auto"/>
                <w:sz w:val="18"/>
                <w:szCs w:val="18"/>
                <w:highlight w:val="none"/>
              </w:rPr>
              <w:t>分。</w:t>
            </w:r>
          </w:p>
        </w:tc>
      </w:tr>
      <w:tr w14:paraId="62B635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5" w:hRule="exact"/>
          <w:jc w:val="center"/>
        </w:trPr>
        <w:tc>
          <w:tcPr>
            <w:tcW w:w="977" w:type="dxa"/>
            <w:vMerge w:val="continue"/>
            <w:vAlign w:val="center"/>
          </w:tcPr>
          <w:p w14:paraId="259EDFEF">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595" w:type="dxa"/>
            <w:vMerge w:val="continue"/>
            <w:vAlign w:val="center"/>
          </w:tcPr>
          <w:p w14:paraId="1DB59A9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980" w:type="dxa"/>
            <w:vMerge w:val="continue"/>
            <w:vAlign w:val="center"/>
          </w:tcPr>
          <w:p w14:paraId="389E739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1765" w:type="dxa"/>
            <w:vMerge w:val="continue"/>
            <w:vAlign w:val="center"/>
          </w:tcPr>
          <w:p w14:paraId="2BC6C08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c>
          <w:tcPr>
            <w:tcW w:w="600" w:type="dxa"/>
            <w:vAlign w:val="center"/>
          </w:tcPr>
          <w:p w14:paraId="32BD867A">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4分</w:t>
            </w:r>
          </w:p>
        </w:tc>
        <w:tc>
          <w:tcPr>
            <w:tcW w:w="4770" w:type="dxa"/>
            <w:vAlign w:val="center"/>
          </w:tcPr>
          <w:p w14:paraId="1C748D8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 w:val="18"/>
                <w:szCs w:val="18"/>
                <w:highlight w:val="none"/>
                <w:lang w:val="en-US" w:eastAsia="zh-CN"/>
              </w:rPr>
              <w:t>在满足最低要求基础上，每增加1项以项目总工或项目副总工身份完成的高速公路养护工程施工业绩加2分，最多加4分。</w:t>
            </w:r>
          </w:p>
        </w:tc>
      </w:tr>
      <w:tr w14:paraId="4C698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1" w:hRule="exact"/>
          <w:jc w:val="center"/>
        </w:trPr>
        <w:tc>
          <w:tcPr>
            <w:tcW w:w="977" w:type="dxa"/>
            <w:vAlign w:val="center"/>
          </w:tcPr>
          <w:p w14:paraId="3E5FD24A">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2.2.4（3）</w:t>
            </w:r>
          </w:p>
        </w:tc>
        <w:tc>
          <w:tcPr>
            <w:tcW w:w="595" w:type="dxa"/>
            <w:vAlign w:val="center"/>
          </w:tcPr>
          <w:p w14:paraId="7AF39DD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评标价</w:t>
            </w:r>
          </w:p>
        </w:tc>
        <w:tc>
          <w:tcPr>
            <w:tcW w:w="980" w:type="dxa"/>
            <w:vAlign w:val="center"/>
          </w:tcPr>
          <w:p w14:paraId="277A6CFE">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50分</w:t>
            </w:r>
          </w:p>
        </w:tc>
        <w:tc>
          <w:tcPr>
            <w:tcW w:w="7135" w:type="dxa"/>
            <w:gridSpan w:val="3"/>
            <w:vAlign w:val="center"/>
          </w:tcPr>
          <w:p w14:paraId="55B61460">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评标价得分计算：</w:t>
            </w:r>
          </w:p>
          <w:p w14:paraId="681DC5FF">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（1）如果投标人的评标价＞评标基准价，则评标价得分=50-偏差率绝对值×100×0.1；</w:t>
            </w:r>
          </w:p>
          <w:p w14:paraId="355BFD15">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（2）如果投标人的评标价≤评标基准价，则评标价得分=50-偏差率绝对值×100×0.05。</w:t>
            </w:r>
          </w:p>
          <w:p w14:paraId="04A09E8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评标价得分最低扣至0分。</w:t>
            </w:r>
          </w:p>
        </w:tc>
      </w:tr>
    </w:tbl>
    <w:p w14:paraId="668C9EA3">
      <w:pPr>
        <w:pageBreakBefore w:val="0"/>
        <w:kinsoku/>
        <w:wordWrap/>
        <w:overflowPunct/>
        <w:topLinePunct w:val="0"/>
        <w:bidi w:val="0"/>
        <w:spacing w:afterAutospacing="0" w:line="360" w:lineRule="exact"/>
        <w:ind w:left="0" w:leftChars="0" w:right="0" w:firstLine="360" w:firstLineChars="200"/>
        <w:textAlignment w:val="auto"/>
        <w:rPr>
          <w:rFonts w:hint="eastAsia" w:ascii="宋体" w:hAnsi="宋体" w:eastAsia="宋体" w:cs="宋体"/>
          <w:color w:val="auto"/>
          <w:sz w:val="18"/>
          <w:szCs w:val="18"/>
        </w:rPr>
      </w:pPr>
    </w:p>
    <w:p w14:paraId="716A8C57">
      <w:pPr>
        <w:pageBreakBefore w:val="0"/>
        <w:kinsoku/>
        <w:wordWrap/>
        <w:overflowPunct/>
        <w:topLinePunct w:val="0"/>
        <w:bidi w:val="0"/>
        <w:spacing w:afterAutospacing="0" w:line="36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续上表</w:t>
      </w:r>
    </w:p>
    <w:tbl>
      <w:tblPr>
        <w:tblStyle w:val="8"/>
        <w:tblW w:w="970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0"/>
        <w:gridCol w:w="623"/>
        <w:gridCol w:w="637"/>
        <w:gridCol w:w="1143"/>
        <w:gridCol w:w="990"/>
        <w:gridCol w:w="555"/>
        <w:gridCol w:w="4740"/>
      </w:tblGrid>
      <w:tr w14:paraId="5D8A96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4968" w:type="dxa"/>
            <w:gridSpan w:val="6"/>
            <w:vAlign w:val="center"/>
          </w:tcPr>
          <w:p w14:paraId="1AAF5B39">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评分因素与权重分值</w:t>
            </w:r>
          </w:p>
        </w:tc>
        <w:tc>
          <w:tcPr>
            <w:tcW w:w="4740" w:type="dxa"/>
            <w:vMerge w:val="restart"/>
            <w:vAlign w:val="center"/>
          </w:tcPr>
          <w:p w14:paraId="039E486E">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评分标准</w:t>
            </w:r>
          </w:p>
        </w:tc>
      </w:tr>
      <w:tr w14:paraId="14DBC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020" w:type="dxa"/>
            <w:vAlign w:val="center"/>
          </w:tcPr>
          <w:p w14:paraId="454EB160">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条款号</w:t>
            </w:r>
          </w:p>
        </w:tc>
        <w:tc>
          <w:tcPr>
            <w:tcW w:w="1260" w:type="dxa"/>
            <w:gridSpan w:val="2"/>
            <w:vAlign w:val="center"/>
          </w:tcPr>
          <w:p w14:paraId="21956E77">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评分因素</w:t>
            </w:r>
          </w:p>
        </w:tc>
        <w:tc>
          <w:tcPr>
            <w:tcW w:w="1143" w:type="dxa"/>
            <w:vAlign w:val="center"/>
          </w:tcPr>
          <w:p w14:paraId="71B1277F">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评分因素</w:t>
            </w:r>
          </w:p>
          <w:p w14:paraId="3901FB16">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权重分值</w:t>
            </w:r>
          </w:p>
        </w:tc>
        <w:tc>
          <w:tcPr>
            <w:tcW w:w="990" w:type="dxa"/>
            <w:vAlign w:val="center"/>
          </w:tcPr>
          <w:p w14:paraId="6F85FA12">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各评分因素细分项</w:t>
            </w:r>
          </w:p>
        </w:tc>
        <w:tc>
          <w:tcPr>
            <w:tcW w:w="555" w:type="dxa"/>
            <w:vAlign w:val="center"/>
          </w:tcPr>
          <w:p w14:paraId="42316598">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b/>
                <w:color w:val="auto"/>
                <w:sz w:val="18"/>
                <w:szCs w:val="18"/>
              </w:rPr>
            </w:pPr>
            <w:r>
              <w:rPr>
                <w:rFonts w:hint="eastAsia" w:ascii="宋体" w:hAnsi="宋体" w:eastAsia="宋体" w:cs="宋体"/>
                <w:b/>
                <w:color w:val="auto"/>
                <w:sz w:val="18"/>
                <w:szCs w:val="18"/>
              </w:rPr>
              <w:t>分值</w:t>
            </w:r>
          </w:p>
        </w:tc>
        <w:tc>
          <w:tcPr>
            <w:tcW w:w="4740" w:type="dxa"/>
            <w:vMerge w:val="continue"/>
            <w:vAlign w:val="center"/>
          </w:tcPr>
          <w:p w14:paraId="7470524E">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p>
        </w:tc>
      </w:tr>
      <w:tr w14:paraId="196F2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8" w:hRule="exact"/>
          <w:jc w:val="center"/>
        </w:trPr>
        <w:tc>
          <w:tcPr>
            <w:tcW w:w="1020" w:type="dxa"/>
            <w:vMerge w:val="restart"/>
            <w:vAlign w:val="center"/>
          </w:tcPr>
          <w:p w14:paraId="25038351">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2.2.4（4）</w:t>
            </w:r>
          </w:p>
        </w:tc>
        <w:tc>
          <w:tcPr>
            <w:tcW w:w="623" w:type="dxa"/>
            <w:vMerge w:val="restart"/>
            <w:vAlign w:val="center"/>
          </w:tcPr>
          <w:p w14:paraId="2B126E20">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其他因素</w:t>
            </w:r>
          </w:p>
        </w:tc>
        <w:tc>
          <w:tcPr>
            <w:tcW w:w="637" w:type="dxa"/>
            <w:vMerge w:val="restart"/>
            <w:vAlign w:val="center"/>
          </w:tcPr>
          <w:p w14:paraId="625BB61E">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业绩</w:t>
            </w:r>
          </w:p>
        </w:tc>
        <w:tc>
          <w:tcPr>
            <w:tcW w:w="1143" w:type="dxa"/>
            <w:vMerge w:val="restart"/>
            <w:vAlign w:val="center"/>
          </w:tcPr>
          <w:p w14:paraId="64DB5E25">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10</w:t>
            </w:r>
            <w:r>
              <w:rPr>
                <w:rFonts w:hint="eastAsia" w:ascii="宋体" w:hAnsi="宋体" w:eastAsia="宋体" w:cs="宋体"/>
                <w:color w:val="auto"/>
                <w:sz w:val="18"/>
                <w:szCs w:val="18"/>
              </w:rPr>
              <w:t>分</w:t>
            </w:r>
          </w:p>
        </w:tc>
        <w:tc>
          <w:tcPr>
            <w:tcW w:w="990" w:type="dxa"/>
            <w:vMerge w:val="restart"/>
            <w:vAlign w:val="center"/>
          </w:tcPr>
          <w:p w14:paraId="119CA832">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企业业绩</w:t>
            </w:r>
          </w:p>
        </w:tc>
        <w:tc>
          <w:tcPr>
            <w:tcW w:w="555" w:type="dxa"/>
            <w:tcBorders>
              <w:bottom w:val="single" w:color="auto" w:sz="4" w:space="0"/>
            </w:tcBorders>
            <w:vAlign w:val="center"/>
          </w:tcPr>
          <w:p w14:paraId="75A1C653">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6</w:t>
            </w:r>
            <w:r>
              <w:rPr>
                <w:rFonts w:hint="eastAsia" w:ascii="宋体" w:hAnsi="宋体" w:eastAsia="宋体" w:cs="宋体"/>
                <w:color w:val="auto"/>
                <w:sz w:val="18"/>
                <w:szCs w:val="18"/>
              </w:rPr>
              <w:t>分</w:t>
            </w:r>
          </w:p>
        </w:tc>
        <w:tc>
          <w:tcPr>
            <w:tcW w:w="4740" w:type="dxa"/>
            <w:tcBorders>
              <w:bottom w:val="single" w:color="auto" w:sz="4" w:space="0"/>
            </w:tcBorders>
            <w:vAlign w:val="center"/>
          </w:tcPr>
          <w:p w14:paraId="468C550F">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满足最低资格要求得</w:t>
            </w:r>
            <w:r>
              <w:rPr>
                <w:rFonts w:hint="eastAsia" w:ascii="宋体" w:hAnsi="宋体" w:eastAsia="宋体" w:cs="宋体"/>
                <w:color w:val="auto"/>
                <w:sz w:val="18"/>
                <w:szCs w:val="18"/>
                <w:lang w:val="en-US" w:eastAsia="zh-CN"/>
              </w:rPr>
              <w:t>6</w:t>
            </w:r>
            <w:r>
              <w:rPr>
                <w:rFonts w:hint="eastAsia" w:ascii="宋体" w:hAnsi="宋体" w:eastAsia="宋体" w:cs="宋体"/>
                <w:color w:val="auto"/>
                <w:sz w:val="18"/>
                <w:szCs w:val="18"/>
              </w:rPr>
              <w:t>分。</w:t>
            </w:r>
          </w:p>
        </w:tc>
      </w:tr>
      <w:tr w14:paraId="36BE7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62" w:hRule="atLeast"/>
          <w:jc w:val="center"/>
        </w:trPr>
        <w:tc>
          <w:tcPr>
            <w:tcW w:w="1020" w:type="dxa"/>
            <w:vMerge w:val="continue"/>
            <w:vAlign w:val="center"/>
          </w:tcPr>
          <w:p w14:paraId="23CC860E">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sz w:val="18"/>
                <w:szCs w:val="18"/>
              </w:rPr>
            </w:pPr>
          </w:p>
        </w:tc>
        <w:tc>
          <w:tcPr>
            <w:tcW w:w="623" w:type="dxa"/>
            <w:vMerge w:val="continue"/>
            <w:vAlign w:val="center"/>
          </w:tcPr>
          <w:p w14:paraId="50DCF391">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sz w:val="18"/>
                <w:szCs w:val="18"/>
              </w:rPr>
            </w:pPr>
          </w:p>
        </w:tc>
        <w:tc>
          <w:tcPr>
            <w:tcW w:w="637" w:type="dxa"/>
            <w:vMerge w:val="continue"/>
            <w:vAlign w:val="center"/>
          </w:tcPr>
          <w:p w14:paraId="4C1768B4">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sz w:val="18"/>
                <w:szCs w:val="18"/>
              </w:rPr>
            </w:pPr>
          </w:p>
        </w:tc>
        <w:tc>
          <w:tcPr>
            <w:tcW w:w="1143" w:type="dxa"/>
            <w:vMerge w:val="continue"/>
            <w:vAlign w:val="center"/>
          </w:tcPr>
          <w:p w14:paraId="489DAE74">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sz w:val="18"/>
                <w:szCs w:val="18"/>
              </w:rPr>
            </w:pPr>
          </w:p>
        </w:tc>
        <w:tc>
          <w:tcPr>
            <w:tcW w:w="990" w:type="dxa"/>
            <w:vMerge w:val="continue"/>
            <w:vAlign w:val="center"/>
          </w:tcPr>
          <w:p w14:paraId="33A6A2C1">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sz w:val="18"/>
                <w:szCs w:val="18"/>
              </w:rPr>
            </w:pPr>
          </w:p>
        </w:tc>
        <w:tc>
          <w:tcPr>
            <w:tcW w:w="555" w:type="dxa"/>
            <w:vAlign w:val="center"/>
          </w:tcPr>
          <w:p w14:paraId="6BC33D67">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jc w:val="center"/>
              <w:textAlignment w:val="auto"/>
              <w:rPr>
                <w:rFonts w:hint="eastAsia" w:ascii="宋体" w:hAnsi="宋体" w:eastAsia="宋体" w:cs="宋体"/>
                <w:sz w:val="18"/>
                <w:szCs w:val="18"/>
                <w:highlight w:val="none"/>
                <w:lang w:val="en-US" w:eastAsia="zh-CN"/>
              </w:rPr>
            </w:pPr>
            <w:r>
              <w:rPr>
                <w:rFonts w:hint="eastAsia" w:ascii="宋体" w:hAnsi="宋体" w:eastAsia="宋体" w:cs="宋体"/>
                <w:color w:val="auto"/>
                <w:sz w:val="18"/>
                <w:szCs w:val="18"/>
                <w:highlight w:val="none"/>
                <w:lang w:val="en-US" w:eastAsia="zh-CN"/>
              </w:rPr>
              <w:t>4</w:t>
            </w:r>
            <w:r>
              <w:rPr>
                <w:rFonts w:hint="eastAsia" w:ascii="宋体" w:hAnsi="宋体" w:eastAsia="宋体" w:cs="宋体"/>
                <w:color w:val="auto"/>
                <w:sz w:val="18"/>
                <w:szCs w:val="18"/>
                <w:highlight w:val="none"/>
              </w:rPr>
              <w:t>分</w:t>
            </w:r>
          </w:p>
        </w:tc>
        <w:tc>
          <w:tcPr>
            <w:tcW w:w="4740" w:type="dxa"/>
            <w:tcBorders>
              <w:top w:val="single" w:color="auto" w:sz="4" w:space="0"/>
              <w:bottom w:val="single" w:color="auto" w:sz="4" w:space="0"/>
            </w:tcBorders>
            <w:vAlign w:val="center"/>
          </w:tcPr>
          <w:p w14:paraId="22F86118">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在</w:t>
            </w:r>
            <w:r>
              <w:rPr>
                <w:rFonts w:hint="eastAsia" w:ascii="宋体" w:hAnsi="宋体" w:eastAsia="宋体" w:cs="宋体"/>
                <w:color w:val="auto"/>
                <w:sz w:val="18"/>
                <w:szCs w:val="18"/>
                <w:highlight w:val="none"/>
              </w:rPr>
              <w:t>满足最低资格要求基础上，</w:t>
            </w:r>
            <w:r>
              <w:rPr>
                <w:rFonts w:hint="eastAsia" w:ascii="宋体" w:hAnsi="宋体" w:eastAsia="宋体" w:cs="宋体"/>
                <w:color w:val="auto"/>
                <w:sz w:val="18"/>
                <w:szCs w:val="18"/>
                <w:highlight w:val="none"/>
                <w:lang w:val="en-US" w:eastAsia="zh-CN"/>
              </w:rPr>
              <w:t>投标人每增加10公里满足最低资格条件要求的业绩加2分，最多加4分。中间值内插计算得分。</w:t>
            </w:r>
          </w:p>
          <w:p w14:paraId="68E36096">
            <w:pPr>
              <w:keepNext w:val="0"/>
              <w:keepLines w:val="0"/>
              <w:pageBreakBefore w:val="0"/>
              <w:widowControl w:val="0"/>
              <w:kinsoku/>
              <w:wordWrap/>
              <w:overflowPunct/>
              <w:topLinePunct w:val="0"/>
              <w:autoSpaceDE/>
              <w:autoSpaceDN/>
              <w:bidi w:val="0"/>
              <w:spacing w:afterAutospacing="0" w:line="240" w:lineRule="exact"/>
              <w:ind w:left="0" w:leftChars="0" w:right="0" w:firstLine="0" w:firstLineChars="0"/>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注：</w:t>
            </w:r>
            <w:r>
              <w:rPr>
                <w:rFonts w:hint="eastAsia" w:ascii="宋体" w:hAnsi="宋体" w:eastAsia="宋体" w:cs="宋体"/>
                <w:sz w:val="18"/>
                <w:szCs w:val="18"/>
                <w:highlight w:val="none"/>
                <w:lang w:val="en-US" w:eastAsia="zh-CN"/>
              </w:rPr>
              <w:t>合同工程内容至少含有路基路面工程、桥涵工程、交通安全设施工程三类工程之一，同一路段的路基路面、桥涵、安全设施里程不重复计算。以联合体投标的，按所有联合体成员业绩计算。</w:t>
            </w:r>
          </w:p>
        </w:tc>
      </w:tr>
      <w:tr w14:paraId="1708A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20" w:hRule="atLeast"/>
          <w:jc w:val="center"/>
        </w:trPr>
        <w:tc>
          <w:tcPr>
            <w:tcW w:w="9708" w:type="dxa"/>
            <w:gridSpan w:val="7"/>
            <w:vAlign w:val="center"/>
          </w:tcPr>
          <w:p w14:paraId="1C90113D">
            <w:pPr>
              <w:keepNext w:val="0"/>
              <w:keepLines w:val="0"/>
              <w:pageBreakBefore w:val="0"/>
              <w:widowControl w:val="0"/>
              <w:kinsoku/>
              <w:wordWrap/>
              <w:overflowPunct/>
              <w:topLinePunct w:val="0"/>
              <w:autoSpaceDE/>
              <w:autoSpaceDN/>
              <w:bidi w:val="0"/>
              <w:adjustRightInd/>
              <w:snapToGrid/>
              <w:spacing w:afterAutospacing="0" w:line="240" w:lineRule="exact"/>
              <w:ind w:left="0" w:leftChars="0" w:right="0" w:firstLine="0" w:firstLineChars="0"/>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需要补充的其他内容：</w:t>
            </w:r>
          </w:p>
          <w:p w14:paraId="2E0A71D3">
            <w:pPr>
              <w:keepNext w:val="0"/>
              <w:keepLines w:val="0"/>
              <w:pageBreakBefore w:val="0"/>
              <w:widowControl w:val="0"/>
              <w:kinsoku/>
              <w:wordWrap/>
              <w:overflowPunct/>
              <w:topLinePunct w:val="0"/>
              <w:autoSpaceDE/>
              <w:autoSpaceDN/>
              <w:bidi w:val="0"/>
              <w:adjustRightInd w:val="0"/>
              <w:snapToGrid w:val="0"/>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w:t>
            </w:r>
            <w:r>
              <w:rPr>
                <w:rFonts w:hint="eastAsia" w:ascii="宋体" w:hAnsi="宋体" w:eastAsia="宋体" w:cs="宋体"/>
                <w:color w:val="auto"/>
                <w:sz w:val="18"/>
                <w:szCs w:val="18"/>
                <w:highlight w:val="none"/>
              </w:rPr>
              <w:t>各评分因素（评标价和履约信誉评分项除外）得分一般不得低于其权重分值的60%，且各评分因素得分应以评标委员会各成员的打分平均值确定，该平均值以去掉一个最高分和一个最低分后计算。评标委员会成员对某一项评分因素的评分低于权重分值60%的，应在评标报告中作出说明。所有评分分值均保留至小数点后两位，小数点后第三位四舍五入。</w:t>
            </w:r>
          </w:p>
          <w:p w14:paraId="3C59E977">
            <w:pPr>
              <w:keepNext w:val="0"/>
              <w:keepLines w:val="0"/>
              <w:pageBreakBefore w:val="0"/>
              <w:widowControl w:val="0"/>
              <w:kinsoku/>
              <w:wordWrap/>
              <w:overflowPunct/>
              <w:topLinePunct w:val="0"/>
              <w:autoSpaceDE/>
              <w:autoSpaceDN/>
              <w:bidi w:val="0"/>
              <w:adjustRightInd w:val="0"/>
              <w:snapToGrid w:val="0"/>
              <w:spacing w:afterAutospacing="0" w:line="240" w:lineRule="exact"/>
              <w:ind w:left="0" w:leftChars="0" w:right="0" w:firstLine="0" w:firstLineChars="0"/>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施工组织设计采用“暗标”评审，如果某投标人的施工组织设计没有按照招标文件规定的格式、内容编制，且经评标委员会认定会暴露投标人信息的，评标委员会应一致将其施工组织设计评为0分，在详细评审中做</w:t>
            </w:r>
            <w:r>
              <w:rPr>
                <w:rFonts w:hint="eastAsia" w:ascii="宋体" w:hAnsi="宋体" w:eastAsia="宋体" w:cs="宋体"/>
                <w:color w:val="auto"/>
                <w:sz w:val="18"/>
                <w:szCs w:val="18"/>
                <w:highlight w:val="none"/>
              </w:rPr>
              <w:t>否决</w:t>
            </w:r>
            <w:r>
              <w:rPr>
                <w:rFonts w:hint="eastAsia" w:ascii="宋体" w:hAnsi="宋体" w:eastAsia="宋体" w:cs="宋体"/>
                <w:color w:val="auto"/>
                <w:sz w:val="18"/>
                <w:szCs w:val="18"/>
                <w:highlight w:val="none"/>
                <w:lang w:val="en-US" w:eastAsia="zh-CN"/>
              </w:rPr>
              <w:t>处理，并在评标报告中作出详细说明。</w:t>
            </w:r>
          </w:p>
        </w:tc>
      </w:tr>
    </w:tbl>
    <w:p w14:paraId="2D193650">
      <w:pPr>
        <w:pageBreakBefore w:val="0"/>
        <w:widowControl w:val="0"/>
        <w:kinsoku/>
        <w:wordWrap/>
        <w:overflowPunct/>
        <w:topLinePunct w:val="0"/>
        <w:autoSpaceDE/>
        <w:autoSpaceDN/>
        <w:bidi w:val="0"/>
        <w:adjustRightInd/>
        <w:snapToGrid/>
        <w:spacing w:afterAutospacing="0" w:line="240" w:lineRule="exact"/>
        <w:ind w:left="0" w:leftChars="0" w:right="0" w:firstLine="361" w:firstLineChars="200"/>
        <w:jc w:val="center"/>
        <w:textAlignment w:val="auto"/>
        <w:rPr>
          <w:rFonts w:hint="eastAsia" w:ascii="宋体" w:hAnsi="宋体" w:eastAsia="宋体" w:cs="宋体"/>
          <w:b/>
          <w:bCs w:val="0"/>
          <w:color w:val="auto"/>
          <w:sz w:val="18"/>
          <w:szCs w:val="18"/>
        </w:rPr>
      </w:pPr>
      <w:bookmarkStart w:id="3" w:name="_Toc509492449"/>
      <w:r>
        <w:rPr>
          <w:rFonts w:hint="eastAsia" w:ascii="宋体" w:hAnsi="宋体" w:eastAsia="宋体" w:cs="宋体"/>
          <w:b/>
          <w:bCs w:val="0"/>
          <w:color w:val="auto"/>
          <w:sz w:val="18"/>
          <w:szCs w:val="18"/>
        </w:rPr>
        <w:t>评标办法</w:t>
      </w:r>
    </w:p>
    <w:bookmarkEnd w:id="3"/>
    <w:p w14:paraId="43C71EB1">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4" w:name="_Toc234382664"/>
      <w:bookmarkStart w:id="5" w:name="_Toc35268506"/>
      <w:r>
        <w:rPr>
          <w:rFonts w:hint="eastAsia" w:ascii="宋体" w:hAnsi="宋体" w:eastAsia="宋体" w:cs="宋体"/>
          <w:color w:val="auto"/>
          <w:sz w:val="18"/>
          <w:szCs w:val="18"/>
        </w:rPr>
        <w:t>1. 评标方法</w:t>
      </w:r>
      <w:bookmarkEnd w:id="4"/>
      <w:bookmarkEnd w:id="5"/>
    </w:p>
    <w:p w14:paraId="7E2B171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本次评标采用综合评分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3F6423BA">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6" w:name="_Toc234382665"/>
      <w:bookmarkStart w:id="7" w:name="_Toc35268507"/>
      <w:r>
        <w:rPr>
          <w:rFonts w:hint="eastAsia" w:ascii="宋体" w:hAnsi="宋体" w:eastAsia="宋体" w:cs="宋体"/>
          <w:color w:val="auto"/>
          <w:sz w:val="18"/>
          <w:szCs w:val="18"/>
        </w:rPr>
        <w:t>2. 评审标准</w:t>
      </w:r>
      <w:bookmarkEnd w:id="6"/>
      <w:bookmarkEnd w:id="7"/>
    </w:p>
    <w:p w14:paraId="3EEE4109">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8" w:name="_Toc35268508"/>
      <w:r>
        <w:rPr>
          <w:rFonts w:hint="eastAsia" w:ascii="宋体" w:hAnsi="宋体" w:eastAsia="宋体" w:cs="宋体"/>
          <w:color w:val="auto"/>
          <w:sz w:val="18"/>
          <w:szCs w:val="18"/>
        </w:rPr>
        <w:t>2.1 初步评审标准</w:t>
      </w:r>
      <w:bookmarkEnd w:id="8"/>
    </w:p>
    <w:p w14:paraId="5E5AC7B7">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2.1.1 形式评审标准：见评标办法前附表。</w:t>
      </w:r>
    </w:p>
    <w:p w14:paraId="360410A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2.1.2 资格评审标准：见评标办法前附表（适用于未进行资格预审的）。</w:t>
      </w:r>
    </w:p>
    <w:p w14:paraId="710985C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2.1.2 资格评审标准：见资格预审文件第三章“资格审查办法”详细审查标准（适用于已进行资格预审的）。</w:t>
      </w:r>
    </w:p>
    <w:p w14:paraId="4FCDB90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2.1.3 响应性评审标准：见评标办法前附表。</w:t>
      </w:r>
    </w:p>
    <w:p w14:paraId="2188C0D1">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9" w:name="_Toc35268509"/>
      <w:r>
        <w:rPr>
          <w:rFonts w:hint="eastAsia" w:ascii="宋体" w:hAnsi="宋体" w:eastAsia="宋体" w:cs="宋体"/>
          <w:color w:val="auto"/>
          <w:sz w:val="18"/>
          <w:szCs w:val="18"/>
        </w:rPr>
        <w:t>2.2 分值构成与评分标准</w:t>
      </w:r>
      <w:bookmarkEnd w:id="9"/>
    </w:p>
    <w:p w14:paraId="68E334C9">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2.2.1分值构成</w:t>
      </w:r>
    </w:p>
    <w:p w14:paraId="2818BB7F">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（1）施工组织设计：见评标办法前附表；</w:t>
      </w:r>
    </w:p>
    <w:p w14:paraId="595658F6">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（2）主要人员：见评标办法前附表；</w:t>
      </w:r>
    </w:p>
    <w:p w14:paraId="18172C6E">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（3）投标报价：见评标办法前附表；</w:t>
      </w:r>
    </w:p>
    <w:p w14:paraId="3BED0257">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（4）其他评分因素：见评标办法前附表。</w:t>
      </w:r>
    </w:p>
    <w:p w14:paraId="4313333B">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2.2.2评标基准价计算</w:t>
      </w:r>
    </w:p>
    <w:p w14:paraId="4AEA0DD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评标基准价计算方法：见评标办法前附表。</w:t>
      </w:r>
    </w:p>
    <w:p w14:paraId="7D968C8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2.2.3投标报价的偏差率计算</w:t>
      </w:r>
    </w:p>
    <w:p w14:paraId="426F948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投标报价的偏差率计算公式：见评标办法前附表。</w:t>
      </w:r>
    </w:p>
    <w:p w14:paraId="12BE1F0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2.2.4评分标准</w:t>
      </w:r>
    </w:p>
    <w:p w14:paraId="55BB268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（1）施工组织设计评分标准：见评标办法前附表；</w:t>
      </w:r>
    </w:p>
    <w:p w14:paraId="56CBCBEE">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（2）主要人员评分标准：见评标办法前附表；</w:t>
      </w:r>
    </w:p>
    <w:p w14:paraId="4DA88C1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（3）投标报价评分标准：见评标办法前附表；</w:t>
      </w:r>
    </w:p>
    <w:p w14:paraId="12E416C5">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（4）其他因素评分标准：见评标办法前附表。</w:t>
      </w:r>
    </w:p>
    <w:p w14:paraId="67876D8B">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0" w:name="_Toc35268510"/>
      <w:r>
        <w:rPr>
          <w:rFonts w:hint="eastAsia" w:ascii="宋体" w:hAnsi="宋体" w:eastAsia="宋体" w:cs="宋体"/>
          <w:color w:val="auto"/>
          <w:sz w:val="18"/>
          <w:szCs w:val="18"/>
        </w:rPr>
        <w:t>3. 评标程序</w:t>
      </w:r>
      <w:bookmarkEnd w:id="10"/>
    </w:p>
    <w:p w14:paraId="4A5E0354">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1" w:name="_Toc35268511"/>
      <w:r>
        <w:rPr>
          <w:rFonts w:hint="eastAsia" w:ascii="宋体" w:hAnsi="宋体" w:eastAsia="宋体" w:cs="宋体"/>
          <w:color w:val="auto"/>
          <w:sz w:val="18"/>
          <w:szCs w:val="18"/>
        </w:rPr>
        <w:t>3.1 第一个信封初步评审</w:t>
      </w:r>
      <w:bookmarkEnd w:id="11"/>
    </w:p>
    <w:p w14:paraId="415877C4">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3.1.1 评标委员会可以要求投标人提交第二章“投标人须知”第3.5.1项至第3.5.6项规定的有关证明和证件的原件，以便核验。评标委员会依据本章第2.1款规定的标准对投标文件第一个信封（商务及技术文件）进行初步评审。有一项不符合评审标准的，评标委员会应否决其投标。（适用于未进行资格预审的）</w:t>
      </w:r>
    </w:p>
    <w:p w14:paraId="7D248CA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3.1.1 评标委员会依据本章第2.1.1项、第2.1.3项规定的评审标准对投标文件第一个信封（商务及技术文件）进行初步评审。有一项不符合评审标准的，评标委员会应否决其投标。当投标人资格预审申请文件的内容发生重大变化时，评标委员会依据本章第2.1.2项规定的标准对其更新资料进行评审。（适用于已进行资格预审的）</w:t>
      </w:r>
    </w:p>
    <w:p w14:paraId="0447451C">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2" w:name="_Toc35268512"/>
      <w:r>
        <w:rPr>
          <w:rFonts w:hint="eastAsia" w:ascii="宋体" w:hAnsi="宋体" w:eastAsia="宋体" w:cs="宋体"/>
          <w:color w:val="auto"/>
          <w:sz w:val="18"/>
          <w:szCs w:val="18"/>
        </w:rPr>
        <w:t>3.2 第一个信封详细评审</w:t>
      </w:r>
      <w:bookmarkEnd w:id="12"/>
    </w:p>
    <w:p w14:paraId="442490A3">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3.2.1评标委员会按本章第2.2款规定的量化因素和分值进行打分，并计算出各投标人的商务和技术得分。</w:t>
      </w:r>
    </w:p>
    <w:p w14:paraId="095BA5E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（1）按本章第2.2.4（1）目规定的评审因素和分值对施工组织设计部分计算出得分A；</w:t>
      </w:r>
    </w:p>
    <w:p w14:paraId="3D01C5E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（2）按本章第2.2.4（2）目规定的评审因素和分值对主要人员部分计算出得分B；</w:t>
      </w:r>
    </w:p>
    <w:p w14:paraId="788E478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（3）按本章第2.2.4（4）目规定的评审因素和分值对其他部分计算出得分D。</w:t>
      </w:r>
    </w:p>
    <w:p w14:paraId="391B7266">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3.2.2投标人的商务和技术得分分值计算保留小数点后两位，小数点后第三位“四舍五入”。</w:t>
      </w:r>
    </w:p>
    <w:p w14:paraId="1771F7AB">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3.2.3投标人的商务和技术得分=A+B+D。</w:t>
      </w:r>
    </w:p>
    <w:p w14:paraId="55AB1D54">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3" w:name="_Toc35268513"/>
      <w:r>
        <w:rPr>
          <w:rFonts w:hint="eastAsia" w:ascii="宋体" w:hAnsi="宋体" w:eastAsia="宋体" w:cs="宋体"/>
          <w:color w:val="auto"/>
          <w:sz w:val="18"/>
          <w:szCs w:val="18"/>
        </w:rPr>
        <w:t>3.3 第二个信封开标</w:t>
      </w:r>
      <w:bookmarkEnd w:id="13"/>
    </w:p>
    <w:p w14:paraId="16558742">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第一个信封（商务及技术文件）评审结束后，招标人将按照第二章“投标人须知”第5.1款规定的时间和地点对通过投标文件第一个信封（商务及技术文件）评审的投标文件第二个信封（报价文件）进行开标。</w:t>
      </w:r>
    </w:p>
    <w:p w14:paraId="348F85C1">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4" w:name="_Toc35268514"/>
      <w:r>
        <w:rPr>
          <w:rFonts w:hint="eastAsia" w:ascii="宋体" w:hAnsi="宋体" w:eastAsia="宋体" w:cs="宋体"/>
          <w:color w:val="auto"/>
          <w:sz w:val="18"/>
          <w:szCs w:val="18"/>
        </w:rPr>
        <w:t>3.4 第二个信封初步评审</w:t>
      </w:r>
      <w:bookmarkEnd w:id="14"/>
    </w:p>
    <w:p w14:paraId="62DA6B71">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3.4.1 评标委员会依据本章第2.1.1项、第2.1.3项规定的评审标准对投标文件第二个信封（报价文件）进行初步评审。有一项不符合评审标准的，评标委员会应否决其投标。</w:t>
      </w:r>
    </w:p>
    <w:p w14:paraId="252985F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3.4.2</w:t>
      </w:r>
      <w:r>
        <w:rPr>
          <w:rStyle w:val="10"/>
          <w:rFonts w:hint="eastAsia" w:ascii="宋体" w:hAnsi="宋体" w:eastAsia="宋体" w:cs="宋体"/>
          <w:color w:val="auto"/>
          <w:sz w:val="18"/>
          <w:szCs w:val="18"/>
        </w:rPr>
        <w:footnoteReference w:id="2"/>
      </w:r>
      <w:r>
        <w:rPr>
          <w:rFonts w:hint="eastAsia" w:ascii="宋体" w:hAnsi="宋体" w:eastAsia="宋体" w:cs="宋体"/>
          <w:color w:val="auto"/>
          <w:sz w:val="18"/>
          <w:szCs w:val="18"/>
        </w:rPr>
        <w:t xml:space="preserve"> 投标报价有算术错误的，评标委员会按以下原则对投标报价进行修正，修正的价格经投标人书面确认后具有约束力。投标人不接受修正价格的，评标委员会应否决其投标。</w:t>
      </w:r>
    </w:p>
    <w:p w14:paraId="65458D9E">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（1）投标文件中的大写金额与小写金额不一致的，以大写金额为准；</w:t>
      </w:r>
    </w:p>
    <w:p w14:paraId="4DE2A8D6">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（2）总价金额与依据单价计算出的结果不一致的，以单价金额为准修正总价，但单价金额小数点有明显错误的除外；</w:t>
      </w:r>
    </w:p>
    <w:p w14:paraId="4CCF0238">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（3）当单价与数量相乘不等于合价时，以单价计算为准，如果单价有明显的小数点位置差错，应以标出的合价为准，同时对单价予以修正；</w:t>
      </w:r>
    </w:p>
    <w:p w14:paraId="4D9F4D2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（4）当各子目的合价累计不等于总价时，应以各子目合价累计数为准，修正总价。</w:t>
      </w:r>
    </w:p>
    <w:p w14:paraId="2D54F075">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3.4.3 工程量清单中的投标报价有其他错误的，评标委员会按以下原则对投标报价进行修正，修正的价格经投标人书面确认后具有约束力。投标人不接受修正价格的，评标委员会应否决其投标。</w:t>
      </w:r>
    </w:p>
    <w:p w14:paraId="79E3BC43">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7BFA5313">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7BD13220">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（3）当单价与数量的乘积与合价（金额）虽然一致，但投标人修改了该子目的工程数量，则其合价按招标人给定的工程数量乘以投标人所报单价予以修正。</w:t>
      </w:r>
    </w:p>
    <w:p w14:paraId="59C8BD95">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3.4.4 修正后的最终投标报价若超过最高投标限价（如有），评标委员会应否决其投标。</w:t>
      </w:r>
    </w:p>
    <w:p w14:paraId="03E10AB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3.4.5修正后的最终投标报价仅作为签订合同的一个依据，不参与评标价得分的计算。</w:t>
      </w:r>
    </w:p>
    <w:p w14:paraId="3374D143">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5" w:name="_Toc35268515"/>
      <w:r>
        <w:rPr>
          <w:rFonts w:hint="eastAsia" w:ascii="宋体" w:hAnsi="宋体" w:eastAsia="宋体" w:cs="宋体"/>
          <w:color w:val="auto"/>
          <w:sz w:val="18"/>
          <w:szCs w:val="18"/>
        </w:rPr>
        <w:t>3.5  第二个信封详细评审</w:t>
      </w:r>
      <w:bookmarkEnd w:id="15"/>
    </w:p>
    <w:p w14:paraId="33741BA8">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3.5.1 评标委员会按本章第2.2.4（3）目规定的评审因素和分值对投标报价计算出得分C。投标报价得分分值计算保留小数点后两位，小数点后第三位“四舍五入”。</w:t>
      </w:r>
    </w:p>
    <w:p w14:paraId="282B5EA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3.5.2投标人得分=投标人的商务和技术得分+C。</w:t>
      </w:r>
    </w:p>
    <w:p w14:paraId="6293757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3.5.3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3C3999CD">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6" w:name="_Toc35268516"/>
      <w:r>
        <w:rPr>
          <w:rFonts w:hint="eastAsia" w:ascii="宋体" w:hAnsi="宋体" w:eastAsia="宋体" w:cs="宋体"/>
          <w:color w:val="auto"/>
          <w:sz w:val="18"/>
          <w:szCs w:val="18"/>
        </w:rPr>
        <w:t>3.6  投标文件相关信息的核查</w:t>
      </w:r>
      <w:bookmarkEnd w:id="16"/>
    </w:p>
    <w:p w14:paraId="295E6842">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3.6.1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391182D0">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48C412A6">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（1）有下列情形之一的，属于投标人相互串通投标：</w:t>
      </w:r>
    </w:p>
    <w:p w14:paraId="247DA645">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a.投标人之间协商投标报价等投标文件的实质性内容；</w:t>
      </w:r>
    </w:p>
    <w:p w14:paraId="3B4F033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b.投标人之间约定中标人；</w:t>
      </w:r>
    </w:p>
    <w:p w14:paraId="764827F1">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c.投标人之间约定部分投标人放弃投标或中标；</w:t>
      </w:r>
    </w:p>
    <w:p w14:paraId="481D1C5F">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d.属于同一集团、协会、商会等组织成员的投标人按照该组织要求协同投标；</w:t>
      </w:r>
    </w:p>
    <w:p w14:paraId="306FB1CE">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e.投标人之间为谋取中标或者排斥特定投标人而采取的其他联合行动。</w:t>
      </w:r>
    </w:p>
    <w:p w14:paraId="7FBB1F52">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（2）有下列情形之一的，视为投标人相互串通投标：</w:t>
      </w:r>
    </w:p>
    <w:p w14:paraId="7506EA0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a.不同投标人的投标文件由同一单位或者个人编制；</w:t>
      </w:r>
    </w:p>
    <w:p w14:paraId="67B29BCF">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b.不同投标人委托同一单位或个人办理投标事宜；</w:t>
      </w:r>
    </w:p>
    <w:p w14:paraId="7560A9C7">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c.不同投标人的投标文件载明的项目管理成员为同一人；</w:t>
      </w:r>
    </w:p>
    <w:p w14:paraId="6F688C45">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d.不同投标人的投标文件异常一致或投标报价呈规律性差异；</w:t>
      </w:r>
    </w:p>
    <w:p w14:paraId="752C6042">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e.不同投标人的投标文件相互混装；</w:t>
      </w:r>
    </w:p>
    <w:p w14:paraId="66070BE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f.不同投标人的投标保证金从同一单位或个人的账户转出。</w:t>
      </w:r>
    </w:p>
    <w:p w14:paraId="00FD1607">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（3）有下列情形之一的，属于招标人与投标人串通投标：</w:t>
      </w:r>
    </w:p>
    <w:p w14:paraId="5BFD6383">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a.招标人在开标前开启投标文件并将有关信息泄露给其他投标人；</w:t>
      </w:r>
    </w:p>
    <w:p w14:paraId="7CA1AAF3">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b.招标人直接或间接向投标人泄露标底、评标委员会成员等信息；</w:t>
      </w:r>
    </w:p>
    <w:p w14:paraId="58DCA031">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c.招标人明示或暗示投标人压低或抬高投标报价；</w:t>
      </w:r>
    </w:p>
    <w:p w14:paraId="2CF5647E">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d.招标人授意投标人撤换、修改投标文件；</w:t>
      </w:r>
    </w:p>
    <w:p w14:paraId="296AFA0A">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e.招标人明示或暗示投标人为特定投标人中标提供方便；</w:t>
      </w:r>
    </w:p>
    <w:p w14:paraId="20C30016">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f.招标人与投标人为谋求特定投标人中标而采取的其他串通行为。</w:t>
      </w:r>
    </w:p>
    <w:p w14:paraId="0926AA70">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（4）投标人有下列情形之一的，属于弄虚作假的行为：</w:t>
      </w:r>
    </w:p>
    <w:p w14:paraId="125CB727">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a.使用通过受让或租借等方式获取的资格、资质证书投标；</w:t>
      </w:r>
    </w:p>
    <w:p w14:paraId="7011CAC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b.使用伪造、变造的许可证件；</w:t>
      </w:r>
    </w:p>
    <w:p w14:paraId="068A9F8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c.提供虚假的财务状况或业绩；</w:t>
      </w:r>
    </w:p>
    <w:p w14:paraId="7C8242ED">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d.提供虚假的项目负责人或主要技术人员简历、劳动关系证明；e.提供虚假的信用状况；f.其他弄虚作假的行为。</w:t>
      </w:r>
    </w:p>
    <w:p w14:paraId="35316A5E">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7" w:name="_Toc35268517"/>
      <w:r>
        <w:rPr>
          <w:rFonts w:hint="eastAsia" w:ascii="宋体" w:hAnsi="宋体" w:eastAsia="宋体" w:cs="宋体"/>
          <w:color w:val="auto"/>
          <w:sz w:val="18"/>
          <w:szCs w:val="18"/>
        </w:rPr>
        <w:t>3.7  投标文件的澄清和说明</w:t>
      </w:r>
      <w:bookmarkEnd w:id="17"/>
    </w:p>
    <w:p w14:paraId="755D837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3.7.1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31D339AC">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3.7.2 澄清和说明不得超出投标文件的范围或改变投标文件的实质性内容（算术性错误修正的除外）。投标人的书面澄清、说明属于投标文件的组成部分。</w:t>
      </w:r>
    </w:p>
    <w:p w14:paraId="1C4F0C3B">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3.7.3 评标委员会不得暗示或诱导投标人作出澄清、说明，对投标人提交的澄清、说明有疑问的，可以要求投标人进一步澄清或说明，直至满足评标委员会的要求。</w:t>
      </w:r>
    </w:p>
    <w:p w14:paraId="47C1F348">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3.7.4 凡超出招标文件规定的或给发包人带来未曾要求的利益的变化、偏差或其他因素在评标时不予考虑。</w:t>
      </w:r>
    </w:p>
    <w:p w14:paraId="7F2520DC">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8" w:name="_Toc35268518"/>
      <w:r>
        <w:rPr>
          <w:rFonts w:hint="eastAsia" w:ascii="宋体" w:hAnsi="宋体" w:eastAsia="宋体" w:cs="宋体"/>
          <w:color w:val="auto"/>
          <w:sz w:val="18"/>
          <w:szCs w:val="18"/>
        </w:rPr>
        <w:t>3.8  不得否决投标的情形</w:t>
      </w:r>
      <w:bookmarkEnd w:id="18"/>
    </w:p>
    <w:p w14:paraId="0AED5E8B">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投标文件存在第二章“投标人须知”第1.12.3项所列情形的，均视为细微偏差，评标委员会不得否决投标人的投标，应按照第二章“投标人须知”第1.12.4项规定的原则处理。</w:t>
      </w:r>
    </w:p>
    <w:p w14:paraId="27116AAE">
      <w:pPr>
        <w:pStyle w:val="2"/>
        <w:pageBreakBefore w:val="0"/>
        <w:widowControl w:val="0"/>
        <w:kinsoku/>
        <w:wordWrap/>
        <w:overflowPunct/>
        <w:topLinePunct w:val="0"/>
        <w:autoSpaceDE/>
        <w:autoSpaceDN/>
        <w:bidi w:val="0"/>
        <w:adjustRightInd/>
        <w:snapToGrid/>
        <w:spacing w:before="0" w:after="0" w:afterAutospacing="0" w:line="240" w:lineRule="exact"/>
        <w:ind w:left="0" w:leftChars="0" w:right="0" w:firstLine="361" w:firstLineChars="200"/>
        <w:textAlignment w:val="auto"/>
        <w:rPr>
          <w:rFonts w:hint="eastAsia" w:ascii="宋体" w:hAnsi="宋体" w:eastAsia="宋体" w:cs="宋体"/>
          <w:color w:val="auto"/>
          <w:sz w:val="18"/>
          <w:szCs w:val="18"/>
        </w:rPr>
      </w:pPr>
      <w:bookmarkStart w:id="19" w:name="_Toc35268519"/>
      <w:r>
        <w:rPr>
          <w:rFonts w:hint="eastAsia" w:ascii="宋体" w:hAnsi="宋体" w:eastAsia="宋体" w:cs="宋体"/>
          <w:color w:val="auto"/>
          <w:sz w:val="18"/>
          <w:szCs w:val="18"/>
        </w:rPr>
        <w:t>3.9  评标结果</w:t>
      </w:r>
      <w:bookmarkEnd w:id="19"/>
    </w:p>
    <w:p w14:paraId="721625DB">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3.9.1除第二章“投标人须知”前附表授权直接确定中标人外，评标委员会按照得分由高到低的顺序推荐中标候选人，并标明排序。</w:t>
      </w:r>
    </w:p>
    <w:p w14:paraId="006A6912">
      <w:pPr>
        <w:pageBreakBefore w:val="0"/>
        <w:widowControl w:val="0"/>
        <w:kinsoku/>
        <w:wordWrap/>
        <w:overflowPunct/>
        <w:topLinePunct w:val="0"/>
        <w:autoSpaceDE/>
        <w:autoSpaceDN/>
        <w:bidi w:val="0"/>
        <w:adjustRightInd/>
        <w:snapToGrid/>
        <w:spacing w:afterAutospacing="0" w:line="240" w:lineRule="exact"/>
        <w:ind w:left="0" w:leftChars="0" w:right="0" w:firstLine="360" w:firstLineChars="200"/>
        <w:textAlignment w:val="auto"/>
        <w:rPr>
          <w:rFonts w:hint="eastAsia" w:ascii="宋体" w:hAnsi="宋体" w:eastAsia="宋体" w:cs="宋体"/>
          <w:sz w:val="18"/>
          <w:szCs w:val="18"/>
        </w:rPr>
      </w:pPr>
      <w:r>
        <w:rPr>
          <w:rFonts w:hint="eastAsia" w:ascii="宋体" w:hAnsi="宋体" w:eastAsia="宋体" w:cs="宋体"/>
          <w:color w:val="auto"/>
          <w:sz w:val="18"/>
          <w:szCs w:val="18"/>
        </w:rPr>
        <w:t>3.9.2 评标委员会完成评标后，应向招标人提交书面评标报告。</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383A1FDD">
      <w:pPr>
        <w:pStyle w:val="6"/>
        <w:jc w:val="both"/>
        <w:rPr>
          <w:rFonts w:ascii="楷体" w:hAnsi="楷体" w:eastAsia="楷体"/>
        </w:rPr>
      </w:pPr>
      <w:r>
        <w:rPr>
          <w:rStyle w:val="10"/>
        </w:rPr>
        <w:footnoteRef/>
      </w:r>
      <w:r>
        <w:rPr>
          <w:rFonts w:hint="eastAsia" w:ascii="楷体" w:hAnsi="楷体" w:eastAsia="楷体"/>
        </w:rPr>
        <w:t>“评标办法前附表”用于明确评标的方法、因素、标准和程序。没有列明的因素和标准不得作为评标的依据。凡“评标办法前附表”对本章正文内容进行完善和补充的，均以“评标办法前附表”为准；未进行补充、完善的，以本章正文内容为准。</w:t>
      </w:r>
    </w:p>
  </w:footnote>
  <w:footnote w:id="1">
    <w:p w14:paraId="4B230BF0">
      <w:pPr>
        <w:pStyle w:val="6"/>
        <w:rPr>
          <w:rFonts w:ascii="楷体" w:hAnsi="楷体" w:eastAsia="楷体"/>
        </w:rPr>
      </w:pPr>
      <w:r>
        <w:rPr>
          <w:rStyle w:val="10"/>
          <w:rFonts w:ascii="楷体" w:hAnsi="楷体" w:eastAsia="楷体"/>
        </w:rPr>
        <w:footnoteRef/>
      </w:r>
      <w:r>
        <w:rPr>
          <w:rFonts w:hint="eastAsia" w:ascii="楷体" w:hAnsi="楷体" w:eastAsia="楷体"/>
        </w:rPr>
        <w:t>各评分因素（评标价和履约信誉评分项除外）得分一般不得低于其权重分值的60%，且各评分因素得分应以评标委员会各成员的打分平均值确定，评标委员会成员总数为7人以上时，该平均值以去掉一个最高分和一个最低分后计算。评标委员会成员对某一项评分因素的评分低于权重分值60%的，应在评标报告中作出说明。</w:t>
      </w:r>
    </w:p>
  </w:footnote>
  <w:footnote w:id="2">
    <w:p w14:paraId="3F7F64A4">
      <w:pPr>
        <w:pStyle w:val="6"/>
      </w:pPr>
      <w:r>
        <w:rPr>
          <w:rStyle w:val="10"/>
        </w:rPr>
        <w:footnoteRef/>
      </w:r>
      <w:r>
        <w:t xml:space="preserve"> </w:t>
      </w:r>
      <w:r>
        <w:rPr>
          <w:rFonts w:hint="eastAsia"/>
        </w:rPr>
        <w:t>如本项目招标采用第二章“投标人须知”第3.2.1项（2）目规定的由投标人按照招标人提供的工程量清单填写本合同各工程子目的单价、合价和总额价方式，则评标委员会按照本章第3.4.2项和第3.4.3项的规定对投标人的投标报价进行修正。如本项目招标采用第二章“投标人须知”第3.2.1项（1）目规定的投标人按照招标人提供的工程量固化清单电子文件填写工程量清单的，无须按照本章第3.4.2项和第3.4.3项的规定对投标报价进行修正，第3.4.2项至第3.4.5项内容不适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BB5A51"/>
    <w:rsid w:val="295F6B81"/>
    <w:rsid w:val="637C0B66"/>
    <w:rsid w:val="7EA03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color w:val="000000"/>
      <w:kern w:val="2"/>
      <w:sz w:val="21"/>
      <w:szCs w:val="18"/>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4"/>
    <w:basedOn w:val="1"/>
    <w:next w:val="1"/>
    <w:qFormat/>
    <w:uiPriority w:val="9"/>
    <w:pPr>
      <w:tabs>
        <w:tab w:val="left" w:pos="315"/>
      </w:tabs>
      <w:spacing w:before="120" w:after="120"/>
      <w:outlineLvl w:val="3"/>
    </w:pPr>
    <w:rPr>
      <w:rFonts w:ascii="Cambria" w:hAnsi="Cambria" w:eastAsia="黑体"/>
      <w:bCs/>
      <w:sz w:val="24"/>
      <w:szCs w:val="28"/>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szCs w:val="21"/>
    </w:rPr>
  </w:style>
  <w:style w:type="paragraph" w:styleId="6">
    <w:name w:val="footnote text"/>
    <w:basedOn w:val="1"/>
    <w:unhideWhenUsed/>
    <w:qFormat/>
    <w:uiPriority w:val="0"/>
    <w:pPr>
      <w:snapToGrid w:val="0"/>
      <w:jc w:val="left"/>
    </w:pPr>
    <w:rPr>
      <w:kern w:val="0"/>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10">
    <w:name w:val="footnote reference"/>
    <w:qFormat/>
    <w:uiPriority w:val="0"/>
    <w:rPr>
      <w:vertAlign w:val="superscript"/>
    </w:rPr>
  </w:style>
  <w:style w:type="paragraph" w:customStyle="1" w:styleId="11">
    <w:name w:val="正文文本 (2)"/>
    <w:basedOn w:val="1"/>
    <w:qFormat/>
    <w:uiPriority w:val="0"/>
    <w:pPr>
      <w:shd w:val="clear" w:color="auto" w:fill="FFFFFF"/>
      <w:spacing w:before="300" w:line="439" w:lineRule="exact"/>
      <w:jc w:val="distribute"/>
    </w:pPr>
    <w:rPr>
      <w:rFonts w:ascii="宋体" w:hAnsi="宋体" w:cs="宋体"/>
      <w:kern w:val="0"/>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8318</Words>
  <Characters>8758</Characters>
  <Lines>0</Lines>
  <Paragraphs>0</Paragraphs>
  <TotalTime>13</TotalTime>
  <ScaleCrop>false</ScaleCrop>
  <LinksUpToDate>false</LinksUpToDate>
  <CharactersWithSpaces>8799</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2026-07-23T05:58:00Z</dcterms:created>
  <dc:creator>GCZX</dc:creator>
  <cp:lastModifiedBy>丁聪</cp:lastModifiedBy>
  <dcterms:modified xsi:type="dcterms:W3CDTF">2026-07-28T03:02:37Z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eyJoZGlkIjoiYzA1Y2IwMGUwOTFkODdiMzk0YjlkMmEyYTgwYWJjNzEiLCJ1c2VySWQiOiIyNDUwODQ0ODUifQ==</vt:lpwstr>
  </property>
  <property fmtid="{D5CDD505-2E9C-101B-9397-08002B2CF9AE}" pid="4" name="ICV">
    <vt:lpwstr>DC481507E282418595193C3909060BBD_12</vt:lpwstr>
  </property>
</Properties>
</file>