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3122F">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eastAsia" w:ascii="黑体" w:hAnsi="黑体" w:eastAsia="黑体"/>
          <w:bCs/>
          <w:sz w:val="30"/>
          <w:szCs w:val="30"/>
          <w:highlight w:val="none"/>
        </w:rPr>
      </w:pPr>
      <w:r>
        <w:rPr>
          <w:rFonts w:hint="eastAsia" w:ascii="黑体" w:hAnsi="黑体" w:eastAsia="黑体"/>
          <w:bCs/>
          <w:sz w:val="30"/>
          <w:szCs w:val="30"/>
          <w:highlight w:val="none"/>
        </w:rPr>
        <w:t>长春绕城高速公路2026年养护专项工程(路面、桥梁部分) 施工招标</w:t>
      </w:r>
    </w:p>
    <w:p w14:paraId="2EDB1CC1">
      <w:pPr>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left="0" w:leftChars="0" w:right="0" w:firstLine="0" w:firstLineChars="0"/>
        <w:jc w:val="center"/>
        <w:textAlignment w:val="auto"/>
        <w:rPr>
          <w:rFonts w:hint="eastAsia" w:ascii="黑体" w:hAnsi="黑体" w:eastAsia="黑体"/>
          <w:bCs/>
          <w:sz w:val="30"/>
          <w:szCs w:val="30"/>
          <w:highlight w:val="none"/>
        </w:rPr>
      </w:pPr>
      <w:r>
        <w:rPr>
          <w:rFonts w:hint="eastAsia" w:ascii="黑体" w:hAnsi="黑体" w:eastAsia="黑体"/>
          <w:bCs/>
          <w:sz w:val="30"/>
          <w:szCs w:val="30"/>
          <w:highlight w:val="none"/>
          <w:lang w:val="en-US" w:eastAsia="zh-CN"/>
        </w:rPr>
        <w:t>招标文件关键内容信息公开</w:t>
      </w:r>
    </w:p>
    <w:p w14:paraId="44029437">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ascii="黑体" w:hAnsi="黑体" w:eastAsia="黑体"/>
          <w:sz w:val="28"/>
          <w:szCs w:val="28"/>
          <w:highlight w:val="none"/>
        </w:rPr>
      </w:pPr>
      <w:bookmarkStart w:id="0" w:name="_Toc436994093"/>
      <w:bookmarkStart w:id="1" w:name="_Toc532300805"/>
      <w:bookmarkStart w:id="2" w:name="_Toc197950802"/>
      <w:bookmarkStart w:id="3" w:name="_Toc197965596"/>
      <w:bookmarkStart w:id="4" w:name="_Toc197967265"/>
      <w:bookmarkStart w:id="5" w:name="_Toc197960544"/>
      <w:bookmarkStart w:id="6" w:name="_Toc197951587"/>
      <w:bookmarkStart w:id="7" w:name="_Toc197967117"/>
      <w:bookmarkStart w:id="8" w:name="_Toc197950681"/>
      <w:bookmarkStart w:id="9" w:name="_Toc197960492"/>
      <w:bookmarkStart w:id="10" w:name="_Toc197951555"/>
      <w:bookmarkStart w:id="11" w:name="OLE_LINK1"/>
    </w:p>
    <w:p w14:paraId="43F54304">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ascii="黑体" w:hAnsi="黑体" w:eastAsia="黑体"/>
          <w:sz w:val="28"/>
          <w:szCs w:val="28"/>
          <w:highlight w:val="none"/>
        </w:rPr>
        <w:t>1.招标条件</w:t>
      </w:r>
      <w:bookmarkEnd w:id="0"/>
    </w:p>
    <w:p w14:paraId="3318C280">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bCs/>
          <w:sz w:val="24"/>
          <w:szCs w:val="24"/>
          <w:highlight w:val="none"/>
        </w:rPr>
      </w:pPr>
      <w:r>
        <w:rPr>
          <w:rFonts w:hint="eastAsia" w:ascii="宋体" w:hAnsi="宋体"/>
          <w:sz w:val="24"/>
          <w:szCs w:val="24"/>
          <w:highlight w:val="none"/>
        </w:rPr>
        <w:t>长春绕城高速公路2026年养护专项工程(路面、桥梁部分)</w:t>
      </w:r>
      <w:r>
        <w:rPr>
          <w:rFonts w:hint="eastAsia" w:ascii="宋体" w:hAnsi="宋体"/>
          <w:bCs/>
          <w:sz w:val="24"/>
          <w:szCs w:val="24"/>
          <w:highlight w:val="none"/>
        </w:rPr>
        <w:t>已列入养护计划</w:t>
      </w:r>
      <w:r>
        <w:rPr>
          <w:rFonts w:hint="eastAsia" w:ascii="宋体" w:hAnsi="宋体"/>
          <w:sz w:val="24"/>
          <w:szCs w:val="24"/>
          <w:highlight w:val="none"/>
        </w:rPr>
        <w:t>，项目法人（招标人）为长春高速公路有限责任公司，</w:t>
      </w:r>
      <w:r>
        <w:rPr>
          <w:rFonts w:hint="eastAsia" w:ascii="宋体" w:hAnsi="宋体"/>
          <w:bCs/>
          <w:sz w:val="24"/>
          <w:szCs w:val="24"/>
          <w:highlight w:val="none"/>
        </w:rPr>
        <w:t xml:space="preserve">建设资金来自法人自筹，项目已具备招标条件，现对该养护工程的施工进行公开招标。        </w:t>
      </w:r>
    </w:p>
    <w:p w14:paraId="57EA89D5">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bookmarkStart w:id="12" w:name="_Toc436994094"/>
      <w:r>
        <w:rPr>
          <w:rFonts w:ascii="黑体" w:hAnsi="黑体" w:eastAsia="黑体"/>
          <w:sz w:val="28"/>
          <w:szCs w:val="28"/>
          <w:highlight w:val="none"/>
        </w:rPr>
        <w:t>2.项目概况与招标范围</w:t>
      </w:r>
      <w:bookmarkEnd w:id="12"/>
      <w:bookmarkStart w:id="34" w:name="_GoBack"/>
      <w:bookmarkEnd w:id="34"/>
    </w:p>
    <w:p w14:paraId="5BB68858">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bookmarkStart w:id="13" w:name="_Toc257655328"/>
      <w:bookmarkStart w:id="14" w:name="_Toc436994095"/>
      <w:r>
        <w:rPr>
          <w:rFonts w:hint="eastAsia" w:ascii="宋体" w:hAnsi="宋体"/>
          <w:sz w:val="24"/>
          <w:szCs w:val="24"/>
          <w:highlight w:val="none"/>
        </w:rPr>
        <w:t>2.1建设地点：吉林省境内。</w:t>
      </w:r>
    </w:p>
    <w:p w14:paraId="04997B41">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bCs/>
          <w:sz w:val="24"/>
          <w:szCs w:val="24"/>
          <w:highlight w:val="none"/>
        </w:rPr>
      </w:pPr>
      <w:r>
        <w:rPr>
          <w:rFonts w:hint="eastAsia" w:ascii="宋体" w:hAnsi="宋体"/>
          <w:sz w:val="24"/>
          <w:szCs w:val="24"/>
          <w:highlight w:val="none"/>
        </w:rPr>
        <w:t>2.2项目概况：</w:t>
      </w:r>
      <w:r>
        <w:rPr>
          <w:rFonts w:hint="eastAsia" w:ascii="宋体" w:hAnsi="宋体"/>
          <w:bCs/>
          <w:sz w:val="24"/>
          <w:szCs w:val="24"/>
          <w:highlight w:val="none"/>
        </w:rPr>
        <w:t>本项目主要对</w:t>
      </w:r>
      <w:r>
        <w:rPr>
          <w:rFonts w:ascii="宋体" w:hAnsi="宋体"/>
          <w:bCs/>
          <w:sz w:val="24"/>
          <w:szCs w:val="24"/>
          <w:highlight w:val="none"/>
        </w:rPr>
        <w:t>长春绕城高速公路西北段（K72+006～K23+500）</w:t>
      </w:r>
      <w:r>
        <w:rPr>
          <w:rFonts w:hint="eastAsia" w:ascii="宋体" w:hAnsi="宋体"/>
          <w:bCs/>
          <w:sz w:val="24"/>
          <w:szCs w:val="24"/>
          <w:highlight w:val="none"/>
        </w:rPr>
        <w:t>路面、桥涵工程进行专项养护维修。</w:t>
      </w:r>
    </w:p>
    <w:p w14:paraId="0F1A1394">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2.3标段划分：本次施工招标划分为1个标段，</w:t>
      </w:r>
      <w:bookmarkEnd w:id="13"/>
      <w:bookmarkEnd w:id="14"/>
      <w:bookmarkStart w:id="15" w:name="_Toc455238557"/>
      <w:r>
        <w:rPr>
          <w:rFonts w:hint="eastAsia" w:ascii="宋体" w:hAnsi="宋体"/>
          <w:sz w:val="24"/>
          <w:szCs w:val="24"/>
          <w:highlight w:val="none"/>
        </w:rPr>
        <w:t>即YH01标段</w:t>
      </w:r>
      <w:r>
        <w:rPr>
          <w:rFonts w:hint="eastAsia" w:ascii="宋体" w:hAnsi="宋体"/>
          <w:bCs/>
          <w:sz w:val="24"/>
          <w:szCs w:val="24"/>
          <w:highlight w:val="none"/>
        </w:rPr>
        <w:t>。</w:t>
      </w:r>
    </w:p>
    <w:p w14:paraId="766DD99F">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2.4招标范围：长春绕城高速公路2026年养护专项工程(路面、桥梁部分)的施工。</w:t>
      </w:r>
    </w:p>
    <w:p w14:paraId="6F42A630">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2.5计划工期：</w:t>
      </w:r>
      <w:r>
        <w:rPr>
          <w:rFonts w:hint="eastAsia" w:ascii="宋体" w:hAnsi="宋体"/>
          <w:sz w:val="24"/>
          <w:szCs w:val="24"/>
          <w:highlight w:val="none"/>
        </w:rPr>
        <w:t>2026年8月30日～2026年11月15日，共计77日历天</w:t>
      </w:r>
      <w:r>
        <w:rPr>
          <w:rFonts w:hint="eastAsia" w:ascii="宋体" w:hAnsi="宋体"/>
          <w:sz w:val="24"/>
          <w:szCs w:val="24"/>
          <w:highlight w:val="none"/>
        </w:rPr>
        <w:t>。</w:t>
      </w:r>
    </w:p>
    <w:p w14:paraId="6AEE8256">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hint="eastAsia" w:ascii="黑体" w:hAnsi="黑体" w:eastAsia="黑体"/>
          <w:sz w:val="28"/>
          <w:szCs w:val="28"/>
          <w:highlight w:val="none"/>
        </w:rPr>
        <w:t>3</w:t>
      </w:r>
      <w:r>
        <w:rPr>
          <w:rFonts w:ascii="黑体" w:hAnsi="黑体" w:eastAsia="黑体"/>
          <w:sz w:val="28"/>
          <w:szCs w:val="28"/>
          <w:highlight w:val="none"/>
        </w:rPr>
        <w:t>．投标人资格</w:t>
      </w:r>
      <w:r>
        <w:rPr>
          <w:rFonts w:hint="eastAsia" w:ascii="黑体" w:hAnsi="黑体" w:eastAsia="黑体"/>
          <w:sz w:val="28"/>
          <w:szCs w:val="28"/>
          <w:highlight w:val="none"/>
        </w:rPr>
        <w:t>要求</w:t>
      </w:r>
      <w:bookmarkEnd w:id="15"/>
    </w:p>
    <w:p w14:paraId="5B0B03AB">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bookmarkStart w:id="16" w:name="_Toc452639770"/>
      <w:bookmarkStart w:id="17" w:name="_Toc455238559"/>
      <w:bookmarkStart w:id="18" w:name="_Toc452639674"/>
      <w:r>
        <w:rPr>
          <w:rFonts w:hint="eastAsia" w:ascii="宋体" w:hAnsi="宋体"/>
          <w:sz w:val="24"/>
          <w:szCs w:val="24"/>
          <w:highlight w:val="none"/>
        </w:rPr>
        <w:t>3.1本次招标要求投标人须具备交通运输主管部门颁发的路基路面养护甲级资质和桥梁养护甲级资质，2021年1月1日后（两阶段验收工程以交工时间为准，一阶段验收工程以交工或竣工时间为准），累计完成过1项</w:t>
      </w:r>
      <w:r>
        <w:rPr>
          <w:rFonts w:hint="eastAsia" w:ascii="宋体" w:hAnsi="宋体"/>
          <w:sz w:val="24"/>
          <w:szCs w:val="24"/>
          <w:highlight w:val="none"/>
        </w:rPr>
        <w:t>高速公路养护工程施工业绩</w:t>
      </w:r>
      <w:r>
        <w:rPr>
          <w:rFonts w:hint="eastAsia" w:ascii="宋体" w:hAnsi="宋体"/>
          <w:sz w:val="24"/>
          <w:szCs w:val="24"/>
          <w:highlight w:val="none"/>
        </w:rPr>
        <w:t>（双幅按2倍长度计算）,并在人员、设备、资金等方面具备相应的施工能力。</w:t>
      </w:r>
    </w:p>
    <w:p w14:paraId="6E69AB8F">
      <w:pPr>
        <w:pageBreakBefore w:val="0"/>
        <w:kinsoku/>
        <w:overflowPunct/>
        <w:topLinePunct w:val="0"/>
        <w:bidi w:val="0"/>
        <w:adjustRightInd w:val="0"/>
        <w:snapToGrid w:val="0"/>
        <w:spacing w:beforeAutospacing="0" w:afterAutospacing="0" w:line="360" w:lineRule="exact"/>
        <w:ind w:left="0" w:leftChars="0" w:right="0" w:firstLine="420" w:firstLineChars="200"/>
        <w:jc w:val="left"/>
        <w:textAlignment w:val="auto"/>
        <w:rPr>
          <w:rFonts w:hint="eastAsia" w:ascii="宋体" w:hAnsi="宋体"/>
          <w:sz w:val="24"/>
          <w:szCs w:val="24"/>
          <w:highlight w:val="none"/>
        </w:rPr>
      </w:pPr>
      <w:r>
        <w:rPr>
          <w:rFonts w:hint="eastAsia" w:ascii="黑体" w:hAnsi="黑体" w:eastAsia="黑体" w:cs="黑体"/>
          <w:szCs w:val="21"/>
          <w:highlight w:val="none"/>
        </w:rPr>
        <w:t>注：合同工程内容中至少含有路面工程或桥涵工程两类工程之一，同一路段的</w:t>
      </w:r>
      <w:r>
        <w:rPr>
          <w:rFonts w:ascii="黑体" w:hAnsi="黑体" w:eastAsia="黑体" w:cs="黑体"/>
          <w:szCs w:val="21"/>
          <w:highlight w:val="none"/>
        </w:rPr>
        <w:t>路面工程</w:t>
      </w:r>
      <w:r>
        <w:rPr>
          <w:rFonts w:hint="eastAsia" w:ascii="黑体" w:hAnsi="黑体" w:eastAsia="黑体" w:cs="黑体"/>
          <w:szCs w:val="21"/>
          <w:highlight w:val="none"/>
        </w:rPr>
        <w:t>和</w:t>
      </w:r>
      <w:r>
        <w:rPr>
          <w:rFonts w:ascii="黑体" w:hAnsi="黑体" w:eastAsia="黑体" w:cs="黑体"/>
          <w:szCs w:val="21"/>
          <w:highlight w:val="none"/>
        </w:rPr>
        <w:t>桥涵工程</w:t>
      </w:r>
      <w:r>
        <w:rPr>
          <w:rFonts w:hint="eastAsia" w:ascii="黑体" w:hAnsi="黑体" w:eastAsia="黑体" w:cs="黑体"/>
          <w:szCs w:val="21"/>
          <w:highlight w:val="none"/>
        </w:rPr>
        <w:t>里程不重复计算，联合体投标的，联合体所有成员的业绩均参与计算。</w:t>
      </w:r>
    </w:p>
    <w:p w14:paraId="6C499001">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3.2本次招标接受联合体。联合体投标的，应满足下列要求：</w:t>
      </w:r>
    </w:p>
    <w:p w14:paraId="5D2657B2">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（1）联合体所有成员数量不得超过</w:t>
      </w:r>
      <w:r>
        <w:rPr>
          <w:rFonts w:hint="eastAsia" w:ascii="宋体" w:hAnsi="宋体"/>
          <w:sz w:val="24"/>
          <w:szCs w:val="24"/>
          <w:highlight w:val="none"/>
        </w:rPr>
        <w:t>2家</w:t>
      </w:r>
      <w:r>
        <w:rPr>
          <w:rFonts w:hint="eastAsia" w:ascii="宋体" w:hAnsi="宋体"/>
          <w:sz w:val="24"/>
          <w:szCs w:val="24"/>
          <w:highlight w:val="none"/>
        </w:rPr>
        <w:t>；</w:t>
      </w:r>
    </w:p>
    <w:p w14:paraId="22FF1FB5">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（2）</w:t>
      </w:r>
      <w:r>
        <w:rPr>
          <w:rFonts w:hint="eastAsia" w:ascii="宋体" w:hAnsi="宋体" w:cs="宋体"/>
          <w:color w:val="000000"/>
          <w:sz w:val="24"/>
          <w:szCs w:val="24"/>
          <w:highlight w:val="none"/>
        </w:rPr>
        <w:t>联合体所有成员必须具备与所承担工作内容相应的资质</w:t>
      </w:r>
      <w:r>
        <w:rPr>
          <w:rFonts w:hint="eastAsia" w:ascii="宋体" w:hAnsi="宋体"/>
          <w:sz w:val="24"/>
          <w:szCs w:val="24"/>
          <w:highlight w:val="none"/>
        </w:rPr>
        <w:t>。</w:t>
      </w:r>
    </w:p>
    <w:p w14:paraId="307026A4">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cs="宋体"/>
          <w:sz w:val="24"/>
          <w:szCs w:val="24"/>
          <w:highlight w:val="none"/>
        </w:rPr>
      </w:pPr>
      <w:r>
        <w:rPr>
          <w:rFonts w:hint="eastAsia" w:ascii="宋体" w:hAnsi="宋体"/>
          <w:sz w:val="24"/>
          <w:szCs w:val="24"/>
          <w:highlight w:val="none"/>
        </w:rPr>
        <w:t>3.3与招标人存在利害关系可能影响招标公正性的单位，不得参加投标。单位负责人为同一人或者存在控股、管理关系的不同单位，不得参加同一标段投标，否则相关投标均无效。</w:t>
      </w:r>
    </w:p>
    <w:p w14:paraId="59872AC8">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3.4在“信用中国”网站(https://www.creditchina.gov.cn/)中被列入失信被执行人名单的投标人，不得参加投标。</w:t>
      </w:r>
    </w:p>
    <w:bookmarkEnd w:id="16"/>
    <w:bookmarkEnd w:id="17"/>
    <w:bookmarkEnd w:id="18"/>
    <w:p w14:paraId="31812641">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bookmarkStart w:id="19" w:name="_Toc184704557"/>
      <w:r>
        <w:rPr>
          <w:rFonts w:hint="eastAsia" w:ascii="黑体" w:hAnsi="黑体" w:eastAsia="黑体"/>
          <w:sz w:val="28"/>
          <w:szCs w:val="28"/>
          <w:highlight w:val="none"/>
        </w:rPr>
        <w:t>4.评标办法</w:t>
      </w:r>
    </w:p>
    <w:p w14:paraId="42A55F29">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采用双信封形式的综合评分法。</w:t>
      </w:r>
    </w:p>
    <w:bookmarkEnd w:id="19"/>
    <w:p w14:paraId="543C85D5">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hint="eastAsia" w:ascii="黑体" w:hAnsi="黑体" w:eastAsia="黑体"/>
          <w:sz w:val="28"/>
          <w:szCs w:val="28"/>
          <w:highlight w:val="none"/>
        </w:rPr>
        <w:t>5.招标文件的获取</w:t>
      </w:r>
    </w:p>
    <w:p w14:paraId="30E72368">
      <w:pPr>
        <w:pageBreakBefore w:val="0"/>
        <w:widowControl/>
        <w:kinsoku/>
        <w:wordWrap w:val="0"/>
        <w:overflowPunct/>
        <w:topLinePunct w:val="0"/>
        <w:bidi w:val="0"/>
        <w:spacing w:beforeAutospacing="0" w:afterAutospacing="0" w:line="360" w:lineRule="exact"/>
        <w:ind w:left="0" w:leftChars="0" w:right="0" w:firstLine="480" w:firstLineChars="200"/>
        <w:jc w:val="left"/>
        <w:textAlignment w:val="auto"/>
        <w:rPr>
          <w:rFonts w:hint="eastAsia" w:ascii="宋体" w:hAnsi="宋体" w:cs="宋体"/>
          <w:kern w:val="0"/>
          <w:sz w:val="24"/>
          <w:szCs w:val="24"/>
          <w:highlight w:val="none"/>
        </w:rPr>
      </w:pPr>
      <w:r>
        <w:rPr>
          <w:rFonts w:hint="eastAsia" w:ascii="宋体" w:hAnsi="宋体" w:cs="宋体"/>
          <w:bCs/>
          <w:kern w:val="0"/>
          <w:sz w:val="24"/>
          <w:szCs w:val="24"/>
          <w:highlight w:val="none"/>
        </w:rPr>
        <w:t>5.1</w:t>
      </w:r>
      <w:r>
        <w:rPr>
          <w:rFonts w:hint="eastAsia" w:ascii="宋体" w:hAnsi="宋体" w:cs="宋体"/>
          <w:kern w:val="0"/>
          <w:sz w:val="24"/>
          <w:szCs w:val="24"/>
          <w:highlight w:val="none"/>
        </w:rPr>
        <w:t>凡有意参加投标者，请于2026年</w:t>
      </w:r>
      <w:r>
        <w:rPr>
          <w:rFonts w:hint="eastAsia" w:ascii="宋体" w:hAnsi="宋体" w:cs="宋体"/>
          <w:kern w:val="0"/>
          <w:sz w:val="24"/>
          <w:szCs w:val="24"/>
          <w:highlight w:val="none"/>
        </w:rPr>
        <w:t>7月29日</w:t>
      </w:r>
      <w:r>
        <w:rPr>
          <w:rFonts w:hint="eastAsia" w:ascii="宋体" w:hAnsi="宋体" w:cs="宋体"/>
          <w:kern w:val="0"/>
          <w:sz w:val="24"/>
          <w:szCs w:val="24"/>
          <w:highlight w:val="none"/>
        </w:rPr>
        <w:t>至2026年</w:t>
      </w:r>
      <w:r>
        <w:rPr>
          <w:rFonts w:hint="eastAsia" w:ascii="宋体" w:hAnsi="宋体" w:cs="宋体"/>
          <w:kern w:val="0"/>
          <w:sz w:val="24"/>
          <w:szCs w:val="24"/>
          <w:highlight w:val="none"/>
        </w:rPr>
        <w:t>8月4日</w:t>
      </w:r>
      <w:r>
        <w:rPr>
          <w:rFonts w:hint="eastAsia" w:ascii="宋体" w:hAnsi="宋体" w:cs="宋体"/>
          <w:kern w:val="0"/>
          <w:sz w:val="24"/>
          <w:szCs w:val="24"/>
          <w:highlight w:val="none"/>
        </w:rPr>
        <w:t>，登录吉林省公共资源交易一体化平台（https://www.ggzyyth.jl.cn/TPBidder）（以下简称“一体化平台”）免费下载招标文件。</w:t>
      </w:r>
    </w:p>
    <w:p w14:paraId="2E461D41">
      <w:pPr>
        <w:pageBreakBefore w:val="0"/>
        <w:widowControl/>
        <w:kinsoku/>
        <w:overflowPunct/>
        <w:topLinePunct w:val="0"/>
        <w:bidi w:val="0"/>
        <w:spacing w:beforeAutospacing="0" w:afterAutospacing="0" w:line="360" w:lineRule="exact"/>
        <w:ind w:left="0" w:leftChars="0" w:right="0" w:firstLine="480" w:firstLineChars="200"/>
        <w:jc w:val="left"/>
        <w:textAlignment w:val="auto"/>
        <w:rPr>
          <w:rFonts w:hint="eastAsia" w:ascii="黑体" w:hAnsi="黑体" w:eastAsia="黑体"/>
          <w:sz w:val="24"/>
          <w:szCs w:val="24"/>
          <w:highlight w:val="none"/>
        </w:rPr>
      </w:pPr>
      <w:r>
        <w:rPr>
          <w:rFonts w:hint="eastAsia" w:ascii="宋体" w:hAnsi="宋体" w:cs="宋体"/>
          <w:bCs/>
          <w:kern w:val="0"/>
          <w:sz w:val="24"/>
          <w:szCs w:val="24"/>
          <w:highlight w:val="none"/>
        </w:rPr>
        <w:t>5.2</w:t>
      </w:r>
      <w:r>
        <w:rPr>
          <w:rFonts w:hint="eastAsia" w:ascii="宋体" w:hAnsi="宋体" w:cs="宋体"/>
          <w:kern w:val="0"/>
          <w:sz w:val="24"/>
          <w:szCs w:val="24"/>
          <w:highlight w:val="none"/>
        </w:rPr>
        <w:t>本招标项目采用电子招标投标方式。电子招标投标使用公共资源交易一体化平台系统，具体要求详见《关于做好全省公共资源交易一体化平台全面运行工作的通知》（吉政数联〔2022〕5号）文件。</w:t>
      </w:r>
    </w:p>
    <w:p w14:paraId="52DD2399">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hint="eastAsia" w:ascii="黑体" w:hAnsi="黑体" w:eastAsia="黑体"/>
          <w:sz w:val="28"/>
          <w:szCs w:val="28"/>
          <w:highlight w:val="none"/>
        </w:rPr>
        <w:t>6.投标文件的递交及相关事宜</w:t>
      </w:r>
    </w:p>
    <w:p w14:paraId="08AB8E62">
      <w:pPr>
        <w:pageBreakBefore w:val="0"/>
        <w:kinsoku/>
        <w:overflowPunct/>
        <w:topLinePunct w:val="0"/>
        <w:bidi w:val="0"/>
        <w:spacing w:beforeAutospacing="0" w:afterAutospacing="0" w:line="360" w:lineRule="exact"/>
        <w:ind w:left="0" w:leftChars="0" w:right="0"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6.1招标人不组织进行工程现场踏勘，不组织召开投标预备会。</w:t>
      </w:r>
    </w:p>
    <w:p w14:paraId="38820B5C">
      <w:pPr>
        <w:pageBreakBefore w:val="0"/>
        <w:kinsoku/>
        <w:overflowPunct/>
        <w:topLinePunct w:val="0"/>
        <w:bidi w:val="0"/>
        <w:spacing w:beforeAutospacing="0" w:afterAutospacing="0" w:line="360" w:lineRule="exact"/>
        <w:ind w:left="0" w:leftChars="0" w:right="0"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6.2投标文件递交的截止时间（投标截止时间，下同）为</w:t>
      </w:r>
      <w:r>
        <w:rPr>
          <w:rFonts w:hint="eastAsia" w:ascii="宋体" w:hAnsi="宋体" w:cs="宋体"/>
          <w:color w:val="FF0000"/>
          <w:kern w:val="0"/>
          <w:sz w:val="24"/>
          <w:szCs w:val="24"/>
          <w:highlight w:val="none"/>
        </w:rPr>
        <w:t xml:space="preserve"> </w:t>
      </w:r>
      <w:r>
        <w:rPr>
          <w:rFonts w:hint="eastAsia" w:ascii="宋体" w:hAnsi="宋体" w:cs="宋体"/>
          <w:kern w:val="0"/>
          <w:sz w:val="24"/>
          <w:szCs w:val="24"/>
          <w:highlight w:val="none"/>
        </w:rPr>
        <w:t>2026年</w:t>
      </w:r>
      <w:r>
        <w:rPr>
          <w:rFonts w:hint="eastAsia" w:ascii="宋体" w:hAnsi="宋体" w:cs="宋体"/>
          <w:kern w:val="0"/>
          <w:sz w:val="24"/>
          <w:szCs w:val="24"/>
          <w:highlight w:val="none"/>
        </w:rPr>
        <w:t>8月25日</w:t>
      </w:r>
      <w:r>
        <w:rPr>
          <w:rFonts w:hint="eastAsia" w:ascii="宋体" w:hAnsi="宋体" w:cs="宋体"/>
          <w:sz w:val="24"/>
          <w:szCs w:val="24"/>
          <w:highlight w:val="none"/>
        </w:rPr>
        <w:t>9时00分，投标人应在投标截止时间前将加密的电子投标文件上传至“一体化平台”。逾期上传的电子投标文件，“一体化平台”将予以拒收。</w:t>
      </w:r>
    </w:p>
    <w:p w14:paraId="6FFAA661">
      <w:pPr>
        <w:pageBreakBefore w:val="0"/>
        <w:kinsoku/>
        <w:overflowPunct/>
        <w:topLinePunct w:val="0"/>
        <w:bidi w:val="0"/>
        <w:spacing w:beforeAutospacing="0" w:afterAutospacing="0" w:line="360" w:lineRule="exact"/>
        <w:ind w:left="0" w:leftChars="0" w:right="0"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6.3投标文件第一个信封（商务及技术文件）开标时间：同投标截止时间，开标地点：吉林省公共资源交易中心四楼开标区；投标文件第二个信封（报价文件）开标时间：2026年</w:t>
      </w:r>
      <w:r>
        <w:rPr>
          <w:rFonts w:hint="eastAsia" w:ascii="宋体" w:hAnsi="宋体" w:cs="宋体"/>
          <w:sz w:val="24"/>
          <w:szCs w:val="24"/>
          <w:highlight w:val="none"/>
        </w:rPr>
        <w:t>8月25日</w:t>
      </w:r>
      <w:r>
        <w:rPr>
          <w:rFonts w:hint="eastAsia" w:ascii="宋体" w:hAnsi="宋体" w:cs="宋体"/>
          <w:sz w:val="24"/>
          <w:szCs w:val="24"/>
          <w:highlight w:val="none"/>
        </w:rPr>
        <w:t>12时00分，开标地点：吉林省公共资源交易中心四楼开标区。</w:t>
      </w:r>
    </w:p>
    <w:p w14:paraId="7116B2E5">
      <w:pPr>
        <w:pageBreakBefore w:val="0"/>
        <w:kinsoku/>
        <w:overflowPunct/>
        <w:topLinePunct w:val="0"/>
        <w:bidi w:val="0"/>
        <w:spacing w:beforeAutospacing="0" w:afterAutospacing="0" w:line="360" w:lineRule="exact"/>
        <w:ind w:left="0" w:leftChars="0" w:right="0"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6.4本项目实施网上远程开标，投标人通过“一体化平台”进行远程投标文件解密。</w:t>
      </w:r>
    </w:p>
    <w:p w14:paraId="7DCDCEE5">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bookmarkStart w:id="20" w:name="_Toc184704559"/>
      <w:r>
        <w:rPr>
          <w:rFonts w:hint="eastAsia" w:ascii="黑体" w:hAnsi="黑体" w:eastAsia="黑体"/>
          <w:sz w:val="28"/>
          <w:szCs w:val="28"/>
          <w:highlight w:val="none"/>
        </w:rPr>
        <w:t>7.发布公告的媒介</w:t>
      </w:r>
      <w:bookmarkEnd w:id="20"/>
    </w:p>
    <w:p w14:paraId="5B872A8A">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bookmarkStart w:id="21" w:name="_Toc184704560"/>
      <w:r>
        <w:rPr>
          <w:rFonts w:hint="eastAsia" w:ascii="宋体" w:hAnsi="宋体"/>
          <w:sz w:val="24"/>
          <w:szCs w:val="24"/>
          <w:highlight w:val="none"/>
        </w:rPr>
        <w:t>7.1 本次招标公告同时在中国招标投标公共服务平台、吉林省公共资源交易中心网（同步推送到吉林省公共资源交易公共服务平台）、</w:t>
      </w:r>
      <w:r>
        <w:rPr>
          <w:rFonts w:hint="eastAsia" w:ascii="宋体" w:hAnsi="宋体"/>
          <w:sz w:val="24"/>
          <w:highlight w:val="none"/>
        </w:rPr>
        <w:t>吉林省交通运输厅网站</w:t>
      </w:r>
      <w:r>
        <w:rPr>
          <w:rFonts w:hint="eastAsia" w:ascii="宋体" w:hAnsi="宋体"/>
          <w:sz w:val="24"/>
          <w:szCs w:val="24"/>
          <w:highlight w:val="none"/>
        </w:rPr>
        <w:t>上发布。</w:t>
      </w:r>
    </w:p>
    <w:p w14:paraId="6B77DA01">
      <w:pPr>
        <w:pageBreakBefore w:val="0"/>
        <w:kinsoku/>
        <w:overflowPunct/>
        <w:topLinePunct w:val="0"/>
        <w:bidi w:val="0"/>
        <w:adjustRightInd w:val="0"/>
        <w:snapToGrid w:val="0"/>
        <w:spacing w:beforeAutospacing="0" w:afterAutospacing="0" w:line="360" w:lineRule="exact"/>
        <w:ind w:left="0" w:leftChars="0" w:right="0"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7.2 本次招标文件的关键内容在</w:t>
      </w:r>
      <w:r>
        <w:rPr>
          <w:rFonts w:hint="eastAsia" w:ascii="宋体" w:hAnsi="宋体"/>
          <w:sz w:val="24"/>
          <w:highlight w:val="none"/>
        </w:rPr>
        <w:t>吉林省交通运输厅网站</w:t>
      </w:r>
      <w:r>
        <w:rPr>
          <w:rFonts w:hint="eastAsia" w:ascii="宋体" w:hAnsi="宋体"/>
          <w:sz w:val="24"/>
          <w:szCs w:val="24"/>
          <w:highlight w:val="none"/>
        </w:rPr>
        <w:t>上公开。</w:t>
      </w:r>
    </w:p>
    <w:bookmarkEnd w:id="21"/>
    <w:p w14:paraId="21FA3007">
      <w:pPr>
        <w:pageBreakBefore w:val="0"/>
        <w:kinsoku/>
        <w:overflowPunct/>
        <w:topLinePunct w:val="0"/>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hint="eastAsia" w:ascii="黑体" w:hAnsi="黑体" w:eastAsia="黑体"/>
          <w:sz w:val="28"/>
          <w:szCs w:val="28"/>
          <w:highlight w:val="none"/>
        </w:rPr>
        <w:t>8.</w:t>
      </w:r>
      <w:bookmarkEnd w:id="1"/>
      <w:bookmarkEnd w:id="2"/>
      <w:bookmarkEnd w:id="3"/>
      <w:bookmarkEnd w:id="4"/>
      <w:bookmarkEnd w:id="5"/>
      <w:bookmarkEnd w:id="6"/>
      <w:bookmarkEnd w:id="7"/>
      <w:bookmarkEnd w:id="8"/>
      <w:bookmarkEnd w:id="9"/>
      <w:bookmarkEnd w:id="10"/>
      <w:bookmarkEnd w:id="11"/>
      <w:bookmarkStart w:id="22" w:name="_Toc532300807"/>
      <w:r>
        <w:rPr>
          <w:rFonts w:hint="eastAsia" w:ascii="黑体" w:hAnsi="黑体" w:eastAsia="黑体"/>
          <w:sz w:val="28"/>
          <w:szCs w:val="28"/>
          <w:highlight w:val="none"/>
        </w:rPr>
        <w:t>投标人须知前附表</w:t>
      </w:r>
      <w:bookmarkEnd w:id="22"/>
    </w:p>
    <w:tbl>
      <w:tblPr>
        <w:tblStyle w:val="55"/>
        <w:tblW w:w="990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72"/>
        <w:gridCol w:w="2251"/>
        <w:gridCol w:w="6585"/>
      </w:tblGrid>
      <w:tr w14:paraId="5BA788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tblHeader/>
          <w:jc w:val="center"/>
        </w:trPr>
        <w:tc>
          <w:tcPr>
            <w:tcW w:w="1072" w:type="dxa"/>
            <w:tcBorders>
              <w:tl2br w:val="nil"/>
              <w:tr2bl w:val="nil"/>
            </w:tcBorders>
            <w:vAlign w:val="center"/>
          </w:tcPr>
          <w:p w14:paraId="1611438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ascii="宋体" w:hAnsi="宋体"/>
                <w:b/>
                <w:szCs w:val="21"/>
                <w:highlight w:val="none"/>
              </w:rPr>
              <w:t>条款号</w:t>
            </w:r>
          </w:p>
        </w:tc>
        <w:tc>
          <w:tcPr>
            <w:tcW w:w="2251" w:type="dxa"/>
            <w:tcBorders>
              <w:tl2br w:val="nil"/>
              <w:tr2bl w:val="nil"/>
            </w:tcBorders>
            <w:vAlign w:val="center"/>
          </w:tcPr>
          <w:p w14:paraId="2F575FD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ascii="宋体" w:hAnsi="宋体"/>
                <w:b/>
                <w:szCs w:val="21"/>
                <w:highlight w:val="none"/>
              </w:rPr>
              <w:t>条</w:t>
            </w:r>
            <w:r>
              <w:rPr>
                <w:rFonts w:hint="eastAsia" w:ascii="宋体" w:hAnsi="宋体"/>
                <w:b/>
                <w:szCs w:val="21"/>
                <w:highlight w:val="none"/>
              </w:rPr>
              <w:t xml:space="preserve"> </w:t>
            </w:r>
            <w:r>
              <w:rPr>
                <w:rFonts w:ascii="宋体" w:hAnsi="宋体"/>
                <w:b/>
                <w:szCs w:val="21"/>
                <w:highlight w:val="none"/>
              </w:rPr>
              <w:t>款</w:t>
            </w:r>
            <w:r>
              <w:rPr>
                <w:rFonts w:hint="eastAsia" w:ascii="宋体" w:hAnsi="宋体"/>
                <w:b/>
                <w:szCs w:val="21"/>
                <w:highlight w:val="none"/>
              </w:rPr>
              <w:t xml:space="preserve"> </w:t>
            </w:r>
            <w:r>
              <w:rPr>
                <w:rFonts w:ascii="宋体" w:hAnsi="宋体"/>
                <w:b/>
                <w:szCs w:val="21"/>
                <w:highlight w:val="none"/>
              </w:rPr>
              <w:t>名</w:t>
            </w:r>
            <w:r>
              <w:rPr>
                <w:rFonts w:hint="eastAsia" w:ascii="宋体" w:hAnsi="宋体"/>
                <w:b/>
                <w:szCs w:val="21"/>
                <w:highlight w:val="none"/>
              </w:rPr>
              <w:t xml:space="preserve"> </w:t>
            </w:r>
            <w:r>
              <w:rPr>
                <w:rFonts w:ascii="宋体" w:hAnsi="宋体"/>
                <w:b/>
                <w:szCs w:val="21"/>
                <w:highlight w:val="none"/>
              </w:rPr>
              <w:t>称</w:t>
            </w:r>
          </w:p>
        </w:tc>
        <w:tc>
          <w:tcPr>
            <w:tcW w:w="6585" w:type="dxa"/>
            <w:tcBorders>
              <w:tl2br w:val="nil"/>
              <w:tr2bl w:val="nil"/>
            </w:tcBorders>
            <w:vAlign w:val="center"/>
          </w:tcPr>
          <w:p w14:paraId="46057D5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ascii="宋体" w:hAnsi="宋体"/>
                <w:b/>
                <w:szCs w:val="21"/>
                <w:highlight w:val="none"/>
              </w:rPr>
              <w:t>编</w:t>
            </w:r>
            <w:r>
              <w:rPr>
                <w:rFonts w:hint="eastAsia" w:ascii="宋体" w:hAnsi="宋体"/>
                <w:b/>
                <w:szCs w:val="21"/>
                <w:highlight w:val="none"/>
              </w:rPr>
              <w:t xml:space="preserve"> </w:t>
            </w:r>
            <w:r>
              <w:rPr>
                <w:rFonts w:ascii="宋体" w:hAnsi="宋体"/>
                <w:b/>
                <w:szCs w:val="21"/>
                <w:highlight w:val="none"/>
              </w:rPr>
              <w:t>列</w:t>
            </w:r>
            <w:r>
              <w:rPr>
                <w:rFonts w:hint="eastAsia" w:ascii="宋体" w:hAnsi="宋体"/>
                <w:b/>
                <w:szCs w:val="21"/>
                <w:highlight w:val="none"/>
              </w:rPr>
              <w:t xml:space="preserve"> </w:t>
            </w:r>
            <w:r>
              <w:rPr>
                <w:rFonts w:ascii="宋体" w:hAnsi="宋体"/>
                <w:b/>
                <w:szCs w:val="21"/>
                <w:highlight w:val="none"/>
              </w:rPr>
              <w:t>内</w:t>
            </w:r>
            <w:r>
              <w:rPr>
                <w:rFonts w:hint="eastAsia" w:ascii="宋体" w:hAnsi="宋体"/>
                <w:b/>
                <w:szCs w:val="21"/>
                <w:highlight w:val="none"/>
              </w:rPr>
              <w:t xml:space="preserve"> </w:t>
            </w:r>
            <w:r>
              <w:rPr>
                <w:rFonts w:ascii="宋体" w:hAnsi="宋体"/>
                <w:b/>
                <w:szCs w:val="21"/>
                <w:highlight w:val="none"/>
              </w:rPr>
              <w:t>容</w:t>
            </w:r>
          </w:p>
        </w:tc>
      </w:tr>
      <w:tr w14:paraId="206338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1072" w:type="dxa"/>
            <w:tcBorders>
              <w:tl2br w:val="nil"/>
              <w:tr2bl w:val="nil"/>
            </w:tcBorders>
            <w:vAlign w:val="center"/>
          </w:tcPr>
          <w:p w14:paraId="452941B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1.1.2</w:t>
            </w:r>
          </w:p>
        </w:tc>
        <w:tc>
          <w:tcPr>
            <w:tcW w:w="2251" w:type="dxa"/>
            <w:tcBorders>
              <w:tl2br w:val="nil"/>
              <w:tr2bl w:val="nil"/>
            </w:tcBorders>
            <w:vAlign w:val="center"/>
          </w:tcPr>
          <w:p w14:paraId="5ACB094F">
            <w:pPr>
              <w:pageBreakBefore w:val="0"/>
              <w:kinsoku/>
              <w:overflowPunct/>
              <w:topLinePunct w:val="0"/>
              <w:bidi w:val="0"/>
              <w:spacing w:beforeAutospacing="0" w:afterAutospacing="0" w:line="360" w:lineRule="exact"/>
              <w:ind w:left="0" w:leftChars="0" w:right="0"/>
              <w:jc w:val="center"/>
              <w:textAlignment w:val="auto"/>
              <w:rPr>
                <w:szCs w:val="21"/>
                <w:highlight w:val="none"/>
              </w:rPr>
            </w:pPr>
            <w:r>
              <w:rPr>
                <w:rFonts w:hint="eastAsia"/>
                <w:szCs w:val="21"/>
                <w:highlight w:val="none"/>
              </w:rPr>
              <w:t>招标人</w:t>
            </w:r>
          </w:p>
        </w:tc>
        <w:tc>
          <w:tcPr>
            <w:tcW w:w="6585" w:type="dxa"/>
            <w:tcBorders>
              <w:tl2br w:val="nil"/>
              <w:tr2bl w:val="nil"/>
            </w:tcBorders>
            <w:vAlign w:val="center"/>
          </w:tcPr>
          <w:p w14:paraId="45386ABA">
            <w:pPr>
              <w:pageBreakBefore w:val="0"/>
              <w:kinsoku/>
              <w:overflowPunct/>
              <w:topLinePunct w:val="0"/>
              <w:autoSpaceDE w:val="0"/>
              <w:autoSpaceDN w:val="0"/>
              <w:bidi w:val="0"/>
              <w:adjustRightInd w:val="0"/>
              <w:snapToGrid w:val="0"/>
              <w:spacing w:beforeAutospacing="0" w:afterAutospacing="0" w:line="360" w:lineRule="exact"/>
              <w:ind w:left="0" w:leftChars="0" w:right="0"/>
              <w:jc w:val="left"/>
              <w:textAlignment w:val="auto"/>
              <w:rPr>
                <w:szCs w:val="21"/>
                <w:highlight w:val="none"/>
              </w:rPr>
            </w:pPr>
            <w:r>
              <w:rPr>
                <w:rFonts w:hint="eastAsia" w:ascii="宋体" w:hAnsi="宋体"/>
                <w:szCs w:val="21"/>
                <w:highlight w:val="none"/>
              </w:rPr>
              <w:t>见招标公告</w:t>
            </w:r>
          </w:p>
        </w:tc>
      </w:tr>
      <w:tr w14:paraId="3788FB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1072" w:type="dxa"/>
            <w:tcBorders>
              <w:tl2br w:val="nil"/>
              <w:tr2bl w:val="nil"/>
            </w:tcBorders>
            <w:vAlign w:val="center"/>
          </w:tcPr>
          <w:p w14:paraId="197AE1D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1.1.3</w:t>
            </w:r>
          </w:p>
        </w:tc>
        <w:tc>
          <w:tcPr>
            <w:tcW w:w="2251" w:type="dxa"/>
            <w:tcBorders>
              <w:tl2br w:val="nil"/>
              <w:tr2bl w:val="nil"/>
            </w:tcBorders>
            <w:vAlign w:val="center"/>
          </w:tcPr>
          <w:p w14:paraId="1A379595">
            <w:pPr>
              <w:pageBreakBefore w:val="0"/>
              <w:kinsoku/>
              <w:overflowPunct/>
              <w:topLinePunct w:val="0"/>
              <w:bidi w:val="0"/>
              <w:spacing w:beforeAutospacing="0" w:afterAutospacing="0" w:line="360" w:lineRule="exact"/>
              <w:ind w:left="0" w:leftChars="0" w:right="0"/>
              <w:jc w:val="center"/>
              <w:textAlignment w:val="auto"/>
              <w:rPr>
                <w:szCs w:val="21"/>
                <w:highlight w:val="none"/>
              </w:rPr>
            </w:pPr>
            <w:r>
              <w:rPr>
                <w:rFonts w:hint="eastAsia"/>
                <w:szCs w:val="21"/>
                <w:highlight w:val="none"/>
              </w:rPr>
              <w:t>招标代理机构</w:t>
            </w:r>
          </w:p>
        </w:tc>
        <w:tc>
          <w:tcPr>
            <w:tcW w:w="6585" w:type="dxa"/>
            <w:tcBorders>
              <w:tl2br w:val="nil"/>
              <w:tr2bl w:val="nil"/>
            </w:tcBorders>
            <w:vAlign w:val="center"/>
          </w:tcPr>
          <w:p w14:paraId="3F2CDF8D">
            <w:pPr>
              <w:pageBreakBefore w:val="0"/>
              <w:kinsoku/>
              <w:overflowPunct/>
              <w:topLinePunct w:val="0"/>
              <w:autoSpaceDE w:val="0"/>
              <w:autoSpaceDN w:val="0"/>
              <w:bidi w:val="0"/>
              <w:adjustRightInd w:val="0"/>
              <w:snapToGrid w:val="0"/>
              <w:spacing w:beforeAutospacing="0" w:afterAutospacing="0" w:line="360" w:lineRule="exact"/>
              <w:ind w:left="0" w:leftChars="0" w:right="0"/>
              <w:jc w:val="left"/>
              <w:textAlignment w:val="auto"/>
              <w:rPr>
                <w:szCs w:val="21"/>
                <w:highlight w:val="none"/>
              </w:rPr>
            </w:pPr>
            <w:r>
              <w:rPr>
                <w:rFonts w:hint="eastAsia" w:ascii="宋体" w:hAnsi="宋体"/>
                <w:szCs w:val="21"/>
                <w:highlight w:val="none"/>
              </w:rPr>
              <w:t>见招标公告</w:t>
            </w:r>
          </w:p>
        </w:tc>
      </w:tr>
      <w:tr w14:paraId="1F2BC4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6" w:hRule="exact"/>
          <w:jc w:val="center"/>
        </w:trPr>
        <w:tc>
          <w:tcPr>
            <w:tcW w:w="1072" w:type="dxa"/>
            <w:tcBorders>
              <w:tl2br w:val="nil"/>
              <w:tr2bl w:val="nil"/>
            </w:tcBorders>
            <w:vAlign w:val="center"/>
          </w:tcPr>
          <w:p w14:paraId="1D34213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1.1.4</w:t>
            </w:r>
          </w:p>
        </w:tc>
        <w:tc>
          <w:tcPr>
            <w:tcW w:w="2251" w:type="dxa"/>
            <w:tcBorders>
              <w:tl2br w:val="nil"/>
              <w:tr2bl w:val="nil"/>
            </w:tcBorders>
            <w:vAlign w:val="center"/>
          </w:tcPr>
          <w:p w14:paraId="73EBD89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招标</w:t>
            </w:r>
            <w:r>
              <w:rPr>
                <w:rFonts w:ascii="宋体" w:hAnsi="宋体"/>
                <w:szCs w:val="21"/>
                <w:highlight w:val="none"/>
              </w:rPr>
              <w:t>项目名称</w:t>
            </w:r>
          </w:p>
        </w:tc>
        <w:tc>
          <w:tcPr>
            <w:tcW w:w="6585" w:type="dxa"/>
            <w:tcBorders>
              <w:tl2br w:val="nil"/>
              <w:tr2bl w:val="nil"/>
            </w:tcBorders>
            <w:vAlign w:val="center"/>
          </w:tcPr>
          <w:p w14:paraId="39E19C0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长春绕城高速公路2026年养护专项工程(路面、桥梁部分)</w:t>
            </w:r>
          </w:p>
        </w:tc>
      </w:tr>
      <w:tr w14:paraId="793DBB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5" w:hRule="exact"/>
          <w:jc w:val="center"/>
        </w:trPr>
        <w:tc>
          <w:tcPr>
            <w:tcW w:w="1072" w:type="dxa"/>
            <w:tcBorders>
              <w:tl2br w:val="nil"/>
              <w:tr2bl w:val="nil"/>
            </w:tcBorders>
            <w:vAlign w:val="center"/>
          </w:tcPr>
          <w:p w14:paraId="6D10356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1.1.5</w:t>
            </w:r>
          </w:p>
        </w:tc>
        <w:tc>
          <w:tcPr>
            <w:tcW w:w="2251" w:type="dxa"/>
            <w:tcBorders>
              <w:tl2br w:val="nil"/>
              <w:tr2bl w:val="nil"/>
            </w:tcBorders>
            <w:vAlign w:val="center"/>
          </w:tcPr>
          <w:p w14:paraId="21DD7D3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标段</w:t>
            </w:r>
            <w:r>
              <w:rPr>
                <w:rFonts w:ascii="宋体" w:hAnsi="宋体"/>
                <w:szCs w:val="21"/>
                <w:highlight w:val="none"/>
              </w:rPr>
              <w:t>建设地点</w:t>
            </w:r>
          </w:p>
        </w:tc>
        <w:tc>
          <w:tcPr>
            <w:tcW w:w="6585" w:type="dxa"/>
            <w:tcBorders>
              <w:tl2br w:val="nil"/>
              <w:tr2bl w:val="nil"/>
            </w:tcBorders>
            <w:vAlign w:val="center"/>
          </w:tcPr>
          <w:p w14:paraId="4919AE3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见招标公告</w:t>
            </w:r>
          </w:p>
        </w:tc>
      </w:tr>
      <w:tr w14:paraId="75A73A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5" w:hRule="exact"/>
          <w:jc w:val="center"/>
        </w:trPr>
        <w:tc>
          <w:tcPr>
            <w:tcW w:w="1072" w:type="dxa"/>
            <w:tcBorders>
              <w:tl2br w:val="nil"/>
              <w:tr2bl w:val="nil"/>
            </w:tcBorders>
            <w:vAlign w:val="center"/>
          </w:tcPr>
          <w:p w14:paraId="5052657F">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ascii="宋体" w:hAnsi="宋体"/>
                <w:szCs w:val="21"/>
                <w:highlight w:val="none"/>
              </w:rPr>
              <w:t>1.2.1</w:t>
            </w:r>
          </w:p>
        </w:tc>
        <w:tc>
          <w:tcPr>
            <w:tcW w:w="2251" w:type="dxa"/>
            <w:tcBorders>
              <w:tl2br w:val="nil"/>
              <w:tr2bl w:val="nil"/>
            </w:tcBorders>
            <w:vAlign w:val="center"/>
          </w:tcPr>
          <w:p w14:paraId="040CAAA8">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ascii="宋体" w:hAnsi="宋体"/>
                <w:szCs w:val="21"/>
                <w:highlight w:val="none"/>
              </w:rPr>
              <w:t>资金来源</w:t>
            </w:r>
            <w:r>
              <w:rPr>
                <w:rFonts w:hint="eastAsia" w:ascii="宋体" w:hAnsi="宋体"/>
                <w:szCs w:val="21"/>
                <w:highlight w:val="none"/>
              </w:rPr>
              <w:t>及比例</w:t>
            </w:r>
          </w:p>
        </w:tc>
        <w:tc>
          <w:tcPr>
            <w:tcW w:w="6585" w:type="dxa"/>
            <w:tcBorders>
              <w:tl2br w:val="nil"/>
              <w:tr2bl w:val="nil"/>
            </w:tcBorders>
            <w:vAlign w:val="center"/>
          </w:tcPr>
          <w:p w14:paraId="74FBA99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招标人自筹</w:t>
            </w:r>
            <w:r>
              <w:rPr>
                <w:rFonts w:hint="eastAsia" w:ascii="宋体" w:hAnsi="宋体" w:cs="楷体_GB2312"/>
                <w:szCs w:val="21"/>
                <w:highlight w:val="none"/>
              </w:rPr>
              <w:t>1</w:t>
            </w:r>
            <w:r>
              <w:rPr>
                <w:rFonts w:ascii="宋体" w:hAnsi="宋体" w:cs="楷体_GB2312"/>
                <w:szCs w:val="21"/>
                <w:highlight w:val="none"/>
              </w:rPr>
              <w:t>00%</w:t>
            </w:r>
          </w:p>
        </w:tc>
      </w:tr>
      <w:tr w14:paraId="3B8A6D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55" w:hRule="exact"/>
          <w:jc w:val="center"/>
        </w:trPr>
        <w:tc>
          <w:tcPr>
            <w:tcW w:w="1072" w:type="dxa"/>
            <w:tcBorders>
              <w:tl2br w:val="nil"/>
              <w:tr2bl w:val="nil"/>
            </w:tcBorders>
            <w:vAlign w:val="center"/>
          </w:tcPr>
          <w:p w14:paraId="2B806AA2">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ascii="宋体" w:hAnsi="宋体"/>
                <w:szCs w:val="21"/>
                <w:highlight w:val="none"/>
              </w:rPr>
              <w:t>1.2.2</w:t>
            </w:r>
          </w:p>
        </w:tc>
        <w:tc>
          <w:tcPr>
            <w:tcW w:w="2251" w:type="dxa"/>
            <w:tcBorders>
              <w:tl2br w:val="nil"/>
              <w:tr2bl w:val="nil"/>
            </w:tcBorders>
            <w:vAlign w:val="center"/>
          </w:tcPr>
          <w:p w14:paraId="78879B58">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hint="eastAsia" w:ascii="宋体" w:hAnsi="宋体"/>
                <w:szCs w:val="21"/>
                <w:highlight w:val="none"/>
              </w:rPr>
              <w:t>资金落实情况</w:t>
            </w:r>
          </w:p>
        </w:tc>
        <w:tc>
          <w:tcPr>
            <w:tcW w:w="6585" w:type="dxa"/>
            <w:tcBorders>
              <w:tl2br w:val="nil"/>
              <w:tr2bl w:val="nil"/>
            </w:tcBorders>
            <w:vAlign w:val="center"/>
          </w:tcPr>
          <w:p w14:paraId="055F7EA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已落实</w:t>
            </w:r>
          </w:p>
        </w:tc>
      </w:tr>
      <w:tr w14:paraId="19452C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8" w:hRule="exact"/>
          <w:jc w:val="center"/>
        </w:trPr>
        <w:tc>
          <w:tcPr>
            <w:tcW w:w="1072" w:type="dxa"/>
            <w:tcBorders>
              <w:tl2br w:val="nil"/>
              <w:tr2bl w:val="nil"/>
            </w:tcBorders>
            <w:vAlign w:val="center"/>
          </w:tcPr>
          <w:p w14:paraId="4899FD3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1.3.1</w:t>
            </w:r>
          </w:p>
        </w:tc>
        <w:tc>
          <w:tcPr>
            <w:tcW w:w="2251" w:type="dxa"/>
            <w:tcBorders>
              <w:tl2br w:val="nil"/>
              <w:tr2bl w:val="nil"/>
            </w:tcBorders>
            <w:vAlign w:val="center"/>
          </w:tcPr>
          <w:p w14:paraId="5692E60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招标范围</w:t>
            </w:r>
          </w:p>
        </w:tc>
        <w:tc>
          <w:tcPr>
            <w:tcW w:w="6585" w:type="dxa"/>
            <w:tcBorders>
              <w:tl2br w:val="nil"/>
              <w:tr2bl w:val="nil"/>
            </w:tcBorders>
            <w:vAlign w:val="center"/>
          </w:tcPr>
          <w:p w14:paraId="5C8FF209">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见招标公告</w:t>
            </w:r>
          </w:p>
        </w:tc>
      </w:tr>
      <w:tr w14:paraId="2A22F5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3" w:hRule="atLeast"/>
          <w:jc w:val="center"/>
        </w:trPr>
        <w:tc>
          <w:tcPr>
            <w:tcW w:w="1072" w:type="dxa"/>
            <w:tcBorders>
              <w:tl2br w:val="nil"/>
              <w:tr2bl w:val="nil"/>
            </w:tcBorders>
            <w:vAlign w:val="center"/>
          </w:tcPr>
          <w:p w14:paraId="0DC4F277">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1.3.2</w:t>
            </w:r>
          </w:p>
        </w:tc>
        <w:tc>
          <w:tcPr>
            <w:tcW w:w="2251" w:type="dxa"/>
            <w:tcBorders>
              <w:tl2br w:val="nil"/>
              <w:tr2bl w:val="nil"/>
            </w:tcBorders>
            <w:vAlign w:val="center"/>
          </w:tcPr>
          <w:p w14:paraId="5796758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计划工期</w:t>
            </w:r>
          </w:p>
        </w:tc>
        <w:tc>
          <w:tcPr>
            <w:tcW w:w="6585" w:type="dxa"/>
            <w:tcBorders>
              <w:tl2br w:val="nil"/>
              <w:tr2bl w:val="nil"/>
            </w:tcBorders>
            <w:vAlign w:val="center"/>
          </w:tcPr>
          <w:p w14:paraId="42289683">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见招标公告</w:t>
            </w:r>
          </w:p>
        </w:tc>
      </w:tr>
      <w:tr w14:paraId="0FD4D1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1072" w:type="dxa"/>
            <w:tcBorders>
              <w:tl2br w:val="nil"/>
              <w:tr2bl w:val="nil"/>
            </w:tcBorders>
            <w:vAlign w:val="center"/>
          </w:tcPr>
          <w:p w14:paraId="1A3DC8D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1.3.3</w:t>
            </w:r>
          </w:p>
        </w:tc>
        <w:tc>
          <w:tcPr>
            <w:tcW w:w="2251" w:type="dxa"/>
            <w:tcBorders>
              <w:tl2br w:val="nil"/>
              <w:tr2bl w:val="nil"/>
            </w:tcBorders>
            <w:vAlign w:val="center"/>
          </w:tcPr>
          <w:p w14:paraId="4F4EBF7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质量要求</w:t>
            </w:r>
          </w:p>
        </w:tc>
        <w:tc>
          <w:tcPr>
            <w:tcW w:w="6585" w:type="dxa"/>
            <w:tcBorders>
              <w:tl2br w:val="nil"/>
              <w:tr2bl w:val="nil"/>
            </w:tcBorders>
            <w:vAlign w:val="center"/>
          </w:tcPr>
          <w:p w14:paraId="1B150105">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交工验收的质量评定：合格。</w:t>
            </w:r>
          </w:p>
        </w:tc>
      </w:tr>
      <w:tr w14:paraId="68543C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7" w:hRule="atLeast"/>
          <w:jc w:val="center"/>
        </w:trPr>
        <w:tc>
          <w:tcPr>
            <w:tcW w:w="1072" w:type="dxa"/>
            <w:tcBorders>
              <w:tl2br w:val="nil"/>
              <w:tr2bl w:val="nil"/>
            </w:tcBorders>
            <w:vAlign w:val="center"/>
          </w:tcPr>
          <w:p w14:paraId="72811C5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4</w:t>
            </w:r>
          </w:p>
        </w:tc>
        <w:tc>
          <w:tcPr>
            <w:tcW w:w="2251" w:type="dxa"/>
            <w:tcBorders>
              <w:tl2br w:val="nil"/>
              <w:tr2bl w:val="nil"/>
            </w:tcBorders>
            <w:vAlign w:val="center"/>
          </w:tcPr>
          <w:p w14:paraId="5E28BC9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安全目标</w:t>
            </w:r>
          </w:p>
        </w:tc>
        <w:tc>
          <w:tcPr>
            <w:tcW w:w="6585" w:type="dxa"/>
            <w:tcBorders>
              <w:tl2br w:val="nil"/>
              <w:tr2bl w:val="nil"/>
            </w:tcBorders>
            <w:vAlign w:val="center"/>
          </w:tcPr>
          <w:p w14:paraId="5BD7293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施工期间不发生一般及以上等级生产安全事故。</w:t>
            </w:r>
          </w:p>
        </w:tc>
      </w:tr>
      <w:tr w14:paraId="72BA93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70" w:hRule="atLeast"/>
          <w:jc w:val="center"/>
        </w:trPr>
        <w:tc>
          <w:tcPr>
            <w:tcW w:w="1072" w:type="dxa"/>
            <w:tcBorders>
              <w:tl2br w:val="nil"/>
              <w:tr2bl w:val="nil"/>
            </w:tcBorders>
            <w:vAlign w:val="center"/>
          </w:tcPr>
          <w:p w14:paraId="0295827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vertAlign w:val="superscript"/>
              </w:rPr>
            </w:pPr>
            <w:r>
              <w:rPr>
                <w:rFonts w:ascii="宋体" w:hAnsi="宋体"/>
                <w:szCs w:val="21"/>
                <w:highlight w:val="none"/>
              </w:rPr>
              <w:t>1.4.</w:t>
            </w:r>
            <w:r>
              <w:rPr>
                <w:rFonts w:hint="eastAsia" w:ascii="宋体" w:hAnsi="宋体"/>
                <w:szCs w:val="21"/>
                <w:highlight w:val="none"/>
              </w:rPr>
              <w:t>1</w:t>
            </w:r>
          </w:p>
        </w:tc>
        <w:tc>
          <w:tcPr>
            <w:tcW w:w="2251" w:type="dxa"/>
            <w:tcBorders>
              <w:tl2br w:val="nil"/>
              <w:tr2bl w:val="nil"/>
            </w:tcBorders>
            <w:vAlign w:val="center"/>
          </w:tcPr>
          <w:p w14:paraId="3CBAA2D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szCs w:val="21"/>
                <w:highlight w:val="none"/>
              </w:rPr>
              <w:t>投标人资质条件、能力和信誉</w:t>
            </w:r>
          </w:p>
        </w:tc>
        <w:tc>
          <w:tcPr>
            <w:tcW w:w="6585" w:type="dxa"/>
            <w:tcBorders>
              <w:tl2br w:val="nil"/>
              <w:tr2bl w:val="nil"/>
            </w:tcBorders>
            <w:vAlign w:val="center"/>
          </w:tcPr>
          <w:p w14:paraId="5F06C264">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资质要求：见附录1</w:t>
            </w:r>
          </w:p>
          <w:p w14:paraId="215C5976">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财务要求：见附录2</w:t>
            </w:r>
          </w:p>
          <w:p w14:paraId="6EE0C341">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业绩要求：见附录3</w:t>
            </w:r>
          </w:p>
          <w:p w14:paraId="3FAF8814">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信誉要求：见附录4</w:t>
            </w:r>
          </w:p>
          <w:p w14:paraId="4C043DA8">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项目经理和项目总工资格要求：见附录5</w:t>
            </w:r>
          </w:p>
          <w:p w14:paraId="59BE406E">
            <w:pPr>
              <w:pageBreakBefore w:val="0"/>
              <w:kinsoku/>
              <w:overflowPunct/>
              <w:topLinePunct w:val="0"/>
              <w:bidi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kern w:val="0"/>
                <w:szCs w:val="21"/>
                <w:highlight w:val="none"/>
                <w:lang w:val="zh-CN"/>
              </w:rPr>
              <w:t>其他要求：无</w:t>
            </w:r>
          </w:p>
        </w:tc>
      </w:tr>
      <w:tr w14:paraId="400CA4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1072" w:type="dxa"/>
            <w:tcBorders>
              <w:tl2br w:val="nil"/>
              <w:tr2bl w:val="nil"/>
            </w:tcBorders>
            <w:vAlign w:val="center"/>
          </w:tcPr>
          <w:p w14:paraId="7AAA2FC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1.4.2</w:t>
            </w:r>
          </w:p>
        </w:tc>
        <w:tc>
          <w:tcPr>
            <w:tcW w:w="2251" w:type="dxa"/>
            <w:tcBorders>
              <w:tl2br w:val="nil"/>
              <w:tr2bl w:val="nil"/>
            </w:tcBorders>
            <w:vAlign w:val="center"/>
          </w:tcPr>
          <w:p w14:paraId="6DF89FE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是否接受联合体投标</w:t>
            </w:r>
          </w:p>
        </w:tc>
        <w:tc>
          <w:tcPr>
            <w:tcW w:w="6585" w:type="dxa"/>
            <w:tcBorders>
              <w:tl2br w:val="nil"/>
              <w:tr2bl w:val="nil"/>
            </w:tcBorders>
            <w:vAlign w:val="center"/>
          </w:tcPr>
          <w:p w14:paraId="46798C6A">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 xml:space="preserve">□不接受 </w:t>
            </w:r>
            <w:r>
              <w:rPr>
                <w:rFonts w:hint="eastAsia" w:ascii="MS Gothic" w:hAnsi="MS Gothic" w:eastAsia="MS Gothic" w:cs="MS Gothic"/>
                <w:kern w:val="0"/>
                <w:szCs w:val="21"/>
                <w:highlight w:val="none"/>
                <w:lang w:val="zh-CN"/>
              </w:rPr>
              <w:t>☑</w:t>
            </w:r>
            <w:r>
              <w:rPr>
                <w:rFonts w:hint="eastAsia" w:ascii="宋体" w:hAnsi="宋体"/>
                <w:kern w:val="0"/>
                <w:szCs w:val="21"/>
                <w:highlight w:val="none"/>
                <w:lang w:val="zh-CN"/>
              </w:rPr>
              <w:t>接受，应满足下列要求：</w:t>
            </w:r>
            <w:r>
              <w:rPr>
                <w:rFonts w:hint="eastAsia" w:ascii="宋体" w:hAnsi="宋体"/>
                <w:kern w:val="0"/>
                <w:szCs w:val="21"/>
                <w:highlight w:val="none"/>
              </w:rPr>
              <w:t>见招标公告</w:t>
            </w:r>
          </w:p>
        </w:tc>
      </w:tr>
      <w:tr w14:paraId="00B152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1072" w:type="dxa"/>
            <w:tcBorders>
              <w:tl2br w:val="nil"/>
              <w:tr2bl w:val="nil"/>
            </w:tcBorders>
            <w:vAlign w:val="center"/>
          </w:tcPr>
          <w:p w14:paraId="40204A47">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1.4.3</w:t>
            </w:r>
          </w:p>
        </w:tc>
        <w:tc>
          <w:tcPr>
            <w:tcW w:w="2251" w:type="dxa"/>
            <w:tcBorders>
              <w:tl2br w:val="nil"/>
              <w:tr2bl w:val="nil"/>
            </w:tcBorders>
            <w:vAlign w:val="center"/>
          </w:tcPr>
          <w:p w14:paraId="54E15F67">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Times New Roman" w:hAnsi="宋体"/>
                <w:kern w:val="0"/>
                <w:szCs w:val="21"/>
                <w:highlight w:val="none"/>
                <w:lang w:val="zh-CN"/>
              </w:rPr>
            </w:pPr>
            <w:r>
              <w:rPr>
                <w:rFonts w:ascii="Times New Roman" w:hAnsi="宋体"/>
                <w:kern w:val="0"/>
                <w:szCs w:val="21"/>
                <w:highlight w:val="none"/>
                <w:lang w:val="zh-CN"/>
              </w:rPr>
              <w:t>投标人不得存在的</w:t>
            </w:r>
            <w:r>
              <w:rPr>
                <w:rFonts w:hint="eastAsia" w:ascii="Times New Roman" w:hAnsi="宋体"/>
                <w:kern w:val="0"/>
                <w:szCs w:val="21"/>
                <w:highlight w:val="none"/>
                <w:lang w:val="zh-CN"/>
              </w:rPr>
              <w:t>其他</w:t>
            </w:r>
          </w:p>
          <w:p w14:paraId="6515D459">
            <w:pPr>
              <w:pageBreakBefore w:val="0"/>
              <w:kinsoku/>
              <w:overflowPunct/>
              <w:topLinePunct w:val="0"/>
              <w:bidi w:val="0"/>
              <w:adjustRightInd w:val="0"/>
              <w:spacing w:beforeAutospacing="0" w:afterAutospacing="0" w:line="360" w:lineRule="exact"/>
              <w:ind w:left="0" w:leftChars="0" w:right="0"/>
              <w:jc w:val="center"/>
              <w:textAlignment w:val="auto"/>
              <w:rPr>
                <w:rFonts w:ascii="Times New Roman" w:hAnsi="Times New Roman"/>
                <w:szCs w:val="21"/>
                <w:highlight w:val="none"/>
              </w:rPr>
            </w:pPr>
            <w:r>
              <w:rPr>
                <w:rFonts w:hint="eastAsia" w:ascii="Times New Roman" w:hAnsi="宋体"/>
                <w:kern w:val="0"/>
                <w:szCs w:val="21"/>
                <w:highlight w:val="none"/>
                <w:lang w:val="zh-CN"/>
              </w:rPr>
              <w:t>关联情况</w:t>
            </w:r>
          </w:p>
        </w:tc>
        <w:tc>
          <w:tcPr>
            <w:tcW w:w="6585" w:type="dxa"/>
            <w:tcBorders>
              <w:tl2br w:val="nil"/>
              <w:tr2bl w:val="nil"/>
            </w:tcBorders>
            <w:vAlign w:val="center"/>
          </w:tcPr>
          <w:p w14:paraId="118043AF">
            <w:pPr>
              <w:pStyle w:val="186"/>
              <w:pageBreakBefore w:val="0"/>
              <w:shd w:val="clear" w:color="auto" w:fill="auto"/>
              <w:tabs>
                <w:tab w:val="left" w:pos="1169"/>
              </w:tabs>
              <w:kinsoku/>
              <w:overflowPunct/>
              <w:topLinePunct w:val="0"/>
              <w:bidi w:val="0"/>
              <w:spacing w:before="0" w:beforeAutospacing="0" w:afterAutospacing="0" w:line="360" w:lineRule="exact"/>
              <w:ind w:left="0" w:leftChars="0" w:right="0" w:firstLine="220" w:firstLineChars="100"/>
              <w:jc w:val="left"/>
              <w:textAlignment w:val="auto"/>
              <w:rPr>
                <w:rFonts w:hint="eastAsia"/>
                <w:szCs w:val="21"/>
                <w:highlight w:val="none"/>
                <w:lang w:val="zh-CN"/>
              </w:rPr>
            </w:pPr>
            <w:r>
              <w:rPr>
                <w:rFonts w:hint="eastAsia"/>
                <w:szCs w:val="21"/>
                <w:highlight w:val="none"/>
              </w:rPr>
              <w:t>/</w:t>
            </w:r>
          </w:p>
        </w:tc>
      </w:tr>
      <w:tr w14:paraId="5B97BE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072" w:type="dxa"/>
            <w:tcBorders>
              <w:tl2br w:val="nil"/>
              <w:tr2bl w:val="nil"/>
            </w:tcBorders>
            <w:vAlign w:val="center"/>
          </w:tcPr>
          <w:p w14:paraId="2DC59EC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1.4.4</w:t>
            </w:r>
          </w:p>
        </w:tc>
        <w:tc>
          <w:tcPr>
            <w:tcW w:w="2251" w:type="dxa"/>
            <w:tcBorders>
              <w:tl2br w:val="nil"/>
              <w:tr2bl w:val="nil"/>
            </w:tcBorders>
            <w:vAlign w:val="center"/>
          </w:tcPr>
          <w:p w14:paraId="11697A7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投标人不得存在的其他不良状况或不良信用记录</w:t>
            </w:r>
          </w:p>
        </w:tc>
        <w:tc>
          <w:tcPr>
            <w:tcW w:w="6585" w:type="dxa"/>
            <w:tcBorders>
              <w:tl2br w:val="nil"/>
              <w:tr2bl w:val="nil"/>
            </w:tcBorders>
            <w:vAlign w:val="center"/>
          </w:tcPr>
          <w:p w14:paraId="65ADE785">
            <w:pPr>
              <w:pStyle w:val="186"/>
              <w:pageBreakBefore w:val="0"/>
              <w:shd w:val="clear" w:color="auto" w:fill="auto"/>
              <w:tabs>
                <w:tab w:val="left" w:pos="1169"/>
              </w:tabs>
              <w:kinsoku/>
              <w:overflowPunct/>
              <w:topLinePunct w:val="0"/>
              <w:bidi w:val="0"/>
              <w:spacing w:before="0" w:beforeAutospacing="0" w:afterAutospacing="0" w:line="360" w:lineRule="exact"/>
              <w:ind w:left="0" w:leftChars="0" w:right="0" w:firstLine="220" w:firstLineChars="100"/>
              <w:jc w:val="left"/>
              <w:textAlignment w:val="auto"/>
              <w:rPr>
                <w:rFonts w:hint="eastAsia"/>
                <w:szCs w:val="21"/>
                <w:highlight w:val="none"/>
              </w:rPr>
            </w:pPr>
            <w:r>
              <w:rPr>
                <w:rFonts w:hint="eastAsia"/>
                <w:szCs w:val="21"/>
                <w:highlight w:val="none"/>
              </w:rPr>
              <w:t xml:space="preserve">/ </w:t>
            </w:r>
          </w:p>
        </w:tc>
      </w:tr>
      <w:tr w14:paraId="7E236A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072" w:type="dxa"/>
            <w:tcBorders>
              <w:tl2br w:val="nil"/>
              <w:tr2bl w:val="nil"/>
            </w:tcBorders>
            <w:vAlign w:val="center"/>
          </w:tcPr>
          <w:p w14:paraId="71E15A2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楷体" w:hAnsi="楷体" w:eastAsia="楷体" w:cs="宋体"/>
                <w:szCs w:val="21"/>
                <w:highlight w:val="none"/>
              </w:rPr>
              <w:t>1.4.4（6）</w:t>
            </w:r>
          </w:p>
        </w:tc>
        <w:tc>
          <w:tcPr>
            <w:tcW w:w="2251" w:type="dxa"/>
            <w:tcBorders>
              <w:tl2br w:val="nil"/>
              <w:tr2bl w:val="nil"/>
            </w:tcBorders>
            <w:vAlign w:val="center"/>
          </w:tcPr>
          <w:p w14:paraId="6D4B995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highlight w:val="none"/>
              </w:rPr>
            </w:pPr>
            <w:r>
              <w:rPr>
                <w:rFonts w:hint="eastAsia" w:ascii="楷体" w:hAnsi="楷体" w:eastAsia="楷体"/>
                <w:color w:val="000000"/>
                <w:szCs w:val="21"/>
                <w:highlight w:val="none"/>
              </w:rPr>
              <w:t>行贿犯罪行为</w:t>
            </w:r>
          </w:p>
        </w:tc>
        <w:tc>
          <w:tcPr>
            <w:tcW w:w="6585" w:type="dxa"/>
            <w:tcBorders>
              <w:tl2br w:val="nil"/>
              <w:tr2bl w:val="nil"/>
            </w:tcBorders>
            <w:vAlign w:val="center"/>
          </w:tcPr>
          <w:p w14:paraId="0845F06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kern w:val="0"/>
                <w:szCs w:val="21"/>
                <w:highlight w:val="none"/>
              </w:rPr>
            </w:pPr>
            <w:r>
              <w:rPr>
                <w:rFonts w:hint="eastAsia" w:ascii="楷体" w:hAnsi="楷体" w:eastAsia="楷体"/>
                <w:color w:val="000000"/>
                <w:szCs w:val="21"/>
                <w:highlight w:val="none"/>
              </w:rPr>
              <w:t>本目细化为：投标人或其法定代表人、拟委任的项目经理在近三年内有行贿犯罪行为的；</w:t>
            </w:r>
          </w:p>
        </w:tc>
      </w:tr>
      <w:tr w14:paraId="67AE7C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072" w:type="dxa"/>
            <w:tcBorders>
              <w:tl2br w:val="nil"/>
              <w:tr2bl w:val="nil"/>
            </w:tcBorders>
            <w:vAlign w:val="center"/>
          </w:tcPr>
          <w:p w14:paraId="677CF32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1.4.5</w:t>
            </w:r>
          </w:p>
        </w:tc>
        <w:tc>
          <w:tcPr>
            <w:tcW w:w="2251" w:type="dxa"/>
            <w:tcBorders>
              <w:tl2br w:val="nil"/>
              <w:tr2bl w:val="nil"/>
            </w:tcBorders>
            <w:vAlign w:val="center"/>
          </w:tcPr>
          <w:p w14:paraId="3F8A377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highlight w:val="none"/>
              </w:rPr>
              <w:t>公路工程</w:t>
            </w:r>
            <w:r>
              <w:rPr>
                <w:rFonts w:ascii="宋体" w:hAnsi="宋体"/>
                <w:highlight w:val="none"/>
              </w:rPr>
              <w:t>施工资质</w:t>
            </w:r>
            <w:r>
              <w:rPr>
                <w:rFonts w:hint="eastAsia" w:ascii="宋体" w:hAnsi="宋体"/>
                <w:highlight w:val="none"/>
              </w:rPr>
              <w:t xml:space="preserve">     </w:t>
            </w:r>
            <w:r>
              <w:rPr>
                <w:rFonts w:ascii="宋体" w:hAnsi="宋体"/>
                <w:highlight w:val="none"/>
              </w:rPr>
              <w:t>企业名录</w:t>
            </w:r>
          </w:p>
        </w:tc>
        <w:tc>
          <w:tcPr>
            <w:tcW w:w="6585" w:type="dxa"/>
            <w:tcBorders>
              <w:tl2br w:val="nil"/>
              <w:tr2bl w:val="nil"/>
            </w:tcBorders>
            <w:vAlign w:val="center"/>
          </w:tcPr>
          <w:p w14:paraId="347E2DC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kern w:val="0"/>
                <w:szCs w:val="21"/>
                <w:highlight w:val="none"/>
              </w:rPr>
            </w:pPr>
            <w:r>
              <w:rPr>
                <w:rFonts w:hint="eastAsia" w:ascii="宋体" w:hAnsi="宋体"/>
                <w:kern w:val="0"/>
                <w:szCs w:val="21"/>
                <w:highlight w:val="none"/>
              </w:rPr>
              <w:t>本项目不适用。</w:t>
            </w:r>
          </w:p>
        </w:tc>
      </w:tr>
      <w:tr w14:paraId="770D09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072" w:type="dxa"/>
            <w:vMerge w:val="restart"/>
            <w:tcBorders>
              <w:tl2br w:val="nil"/>
              <w:tr2bl w:val="nil"/>
            </w:tcBorders>
            <w:vAlign w:val="center"/>
          </w:tcPr>
          <w:p w14:paraId="2BF52666">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1.10.2</w:t>
            </w:r>
          </w:p>
        </w:tc>
        <w:tc>
          <w:tcPr>
            <w:tcW w:w="2251" w:type="dxa"/>
            <w:vMerge w:val="restart"/>
            <w:tcBorders>
              <w:tl2br w:val="nil"/>
              <w:tr2bl w:val="nil"/>
            </w:tcBorders>
            <w:vAlign w:val="center"/>
          </w:tcPr>
          <w:p w14:paraId="76CEDD8F">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投标人</w:t>
            </w:r>
            <w:r>
              <w:rPr>
                <w:rFonts w:hint="eastAsia" w:ascii="宋体" w:hAnsi="宋体"/>
                <w:szCs w:val="21"/>
                <w:highlight w:val="none"/>
              </w:rPr>
              <w:t>在投标预备会前提出问题</w:t>
            </w:r>
          </w:p>
        </w:tc>
        <w:tc>
          <w:tcPr>
            <w:tcW w:w="6585" w:type="dxa"/>
            <w:tcBorders>
              <w:tl2br w:val="nil"/>
              <w:tr2bl w:val="nil"/>
            </w:tcBorders>
            <w:vAlign w:val="center"/>
          </w:tcPr>
          <w:p w14:paraId="7916B43A">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szCs w:val="21"/>
                <w:highlight w:val="none"/>
              </w:rPr>
              <w:t>时间：/</w:t>
            </w:r>
          </w:p>
        </w:tc>
      </w:tr>
      <w:tr w14:paraId="7364B0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1072" w:type="dxa"/>
            <w:vMerge w:val="continue"/>
            <w:tcBorders>
              <w:tl2br w:val="nil"/>
              <w:tr2bl w:val="nil"/>
            </w:tcBorders>
            <w:vAlign w:val="center"/>
          </w:tcPr>
          <w:p w14:paraId="4A4103D5">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2251" w:type="dxa"/>
            <w:vMerge w:val="continue"/>
            <w:tcBorders>
              <w:tl2br w:val="nil"/>
              <w:tr2bl w:val="nil"/>
            </w:tcBorders>
            <w:vAlign w:val="center"/>
          </w:tcPr>
          <w:p w14:paraId="3B3CEF6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6585" w:type="dxa"/>
            <w:tcBorders>
              <w:tl2br w:val="nil"/>
              <w:tr2bl w:val="nil"/>
            </w:tcBorders>
            <w:vAlign w:val="center"/>
          </w:tcPr>
          <w:p w14:paraId="2BB900E9">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szCs w:val="21"/>
                <w:highlight w:val="none"/>
              </w:rPr>
              <w:t>形式：/</w:t>
            </w:r>
          </w:p>
        </w:tc>
      </w:tr>
      <w:tr w14:paraId="0FD9BC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1072" w:type="dxa"/>
            <w:tcBorders>
              <w:tl2br w:val="nil"/>
              <w:tr2bl w:val="nil"/>
            </w:tcBorders>
            <w:vAlign w:val="center"/>
          </w:tcPr>
          <w:p w14:paraId="78E17C9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1.11</w:t>
            </w:r>
            <w:r>
              <w:rPr>
                <w:rFonts w:hint="eastAsia" w:ascii="宋体" w:hAnsi="宋体"/>
                <w:szCs w:val="21"/>
                <w:highlight w:val="none"/>
              </w:rPr>
              <w:t>.1</w:t>
            </w:r>
          </w:p>
        </w:tc>
        <w:tc>
          <w:tcPr>
            <w:tcW w:w="2251" w:type="dxa"/>
            <w:tcBorders>
              <w:tl2br w:val="nil"/>
              <w:tr2bl w:val="nil"/>
            </w:tcBorders>
            <w:vAlign w:val="center"/>
          </w:tcPr>
          <w:p w14:paraId="7D75FEE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分</w:t>
            </w:r>
            <w:r>
              <w:rPr>
                <w:rFonts w:hint="eastAsia" w:ascii="宋体" w:hAnsi="宋体"/>
                <w:szCs w:val="21"/>
                <w:highlight w:val="none"/>
              </w:rPr>
              <w:t xml:space="preserve">  </w:t>
            </w:r>
            <w:r>
              <w:rPr>
                <w:rFonts w:ascii="宋体" w:hAnsi="宋体"/>
                <w:szCs w:val="21"/>
                <w:highlight w:val="none"/>
              </w:rPr>
              <w:t>包</w:t>
            </w:r>
          </w:p>
        </w:tc>
        <w:tc>
          <w:tcPr>
            <w:tcW w:w="6585" w:type="dxa"/>
            <w:tcBorders>
              <w:tl2br w:val="nil"/>
              <w:tr2bl w:val="nil"/>
            </w:tcBorders>
            <w:vAlign w:val="center"/>
          </w:tcPr>
          <w:p w14:paraId="32BFDCF9">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cs="宋体"/>
                <w:kern w:val="0"/>
                <w:szCs w:val="21"/>
                <w:highlight w:val="none"/>
              </w:rPr>
              <w:t>☑</w:t>
            </w:r>
            <w:r>
              <w:rPr>
                <w:rFonts w:hint="eastAsia" w:ascii="宋体" w:hAnsi="宋体"/>
                <w:kern w:val="0"/>
                <w:szCs w:val="21"/>
                <w:highlight w:val="none"/>
                <w:lang w:val="zh-CN"/>
              </w:rPr>
              <w:t>不允许</w:t>
            </w:r>
          </w:p>
          <w:p w14:paraId="058D113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MS Gothic" w:hAnsi="MS Gothic" w:cs="MS Gothic"/>
                <w:kern w:val="0"/>
                <w:szCs w:val="21"/>
                <w:highlight w:val="none"/>
              </w:rPr>
              <w:t>□</w:t>
            </w:r>
            <w:r>
              <w:rPr>
                <w:rFonts w:hint="eastAsia" w:ascii="宋体" w:hAnsi="宋体"/>
                <w:szCs w:val="21"/>
                <w:highlight w:val="none"/>
              </w:rPr>
              <w:t>允许</w:t>
            </w:r>
          </w:p>
        </w:tc>
      </w:tr>
      <w:tr w14:paraId="33DD1B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1072" w:type="dxa"/>
            <w:tcBorders>
              <w:tl2br w:val="nil"/>
              <w:tr2bl w:val="nil"/>
            </w:tcBorders>
            <w:vAlign w:val="center"/>
          </w:tcPr>
          <w:p w14:paraId="3A3A86DF">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2.1</w:t>
            </w:r>
          </w:p>
        </w:tc>
        <w:tc>
          <w:tcPr>
            <w:tcW w:w="2251" w:type="dxa"/>
            <w:tcBorders>
              <w:tl2br w:val="nil"/>
              <w:tr2bl w:val="nil"/>
            </w:tcBorders>
            <w:vAlign w:val="center"/>
          </w:tcPr>
          <w:p w14:paraId="7254DFF7">
            <w:pPr>
              <w:pageBreakBefore w:val="0"/>
              <w:kinsoku/>
              <w:overflowPunct/>
              <w:topLinePunct w:val="0"/>
              <w:bidi w:val="0"/>
              <w:adjustRightInd w:val="0"/>
              <w:spacing w:beforeAutospacing="0" w:afterAutospacing="0" w:line="360" w:lineRule="exact"/>
              <w:ind w:left="0" w:leftChars="0" w:right="0"/>
              <w:jc w:val="center"/>
              <w:textAlignment w:val="auto"/>
              <w:rPr>
                <w:rFonts w:ascii="Times New Roman" w:hAnsi="Times New Roman"/>
                <w:szCs w:val="21"/>
                <w:highlight w:val="none"/>
              </w:rPr>
            </w:pPr>
            <w:r>
              <w:rPr>
                <w:rFonts w:ascii="Times New Roman" w:hAnsi="宋体"/>
                <w:szCs w:val="21"/>
                <w:highlight w:val="none"/>
              </w:rPr>
              <w:t>构成招标文件的其他材料</w:t>
            </w:r>
          </w:p>
        </w:tc>
        <w:tc>
          <w:tcPr>
            <w:tcW w:w="6585" w:type="dxa"/>
            <w:tcBorders>
              <w:tl2br w:val="nil"/>
              <w:tr2bl w:val="nil"/>
            </w:tcBorders>
            <w:vAlign w:val="center"/>
          </w:tcPr>
          <w:p w14:paraId="12251681">
            <w:pPr>
              <w:pageBreakBefore w:val="0"/>
              <w:kinsoku/>
              <w:wordWrap w:val="0"/>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highlight w:val="none"/>
              </w:rPr>
              <w:t>图纸扫描件由招标人提供。百度网盘链接：</w:t>
            </w:r>
            <w:r>
              <w:rPr>
                <w:highlight w:val="none"/>
              </w:rPr>
              <w:t>https://pan.baidu.com/s/1tlGJ6hsi93t647WtMXPmkg 提取码: jlwb</w:t>
            </w:r>
            <w:r>
              <w:rPr>
                <w:rFonts w:hint="eastAsia"/>
                <w:highlight w:val="none"/>
              </w:rPr>
              <w:t>，由投标人自行下载。</w:t>
            </w:r>
          </w:p>
        </w:tc>
      </w:tr>
      <w:tr w14:paraId="586A6B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1072" w:type="dxa"/>
            <w:vMerge w:val="restart"/>
            <w:tcBorders>
              <w:tl2br w:val="nil"/>
              <w:tr2bl w:val="nil"/>
            </w:tcBorders>
            <w:vAlign w:val="center"/>
          </w:tcPr>
          <w:p w14:paraId="4473A4C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2.2.1</w:t>
            </w:r>
          </w:p>
        </w:tc>
        <w:tc>
          <w:tcPr>
            <w:tcW w:w="2251" w:type="dxa"/>
            <w:vMerge w:val="restart"/>
            <w:tcBorders>
              <w:tl2br w:val="nil"/>
              <w:tr2bl w:val="nil"/>
            </w:tcBorders>
            <w:vAlign w:val="center"/>
          </w:tcPr>
          <w:p w14:paraId="7637AC7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投标人要求澄清招标文件</w:t>
            </w:r>
          </w:p>
        </w:tc>
        <w:tc>
          <w:tcPr>
            <w:tcW w:w="6585" w:type="dxa"/>
            <w:tcBorders>
              <w:tl2br w:val="nil"/>
              <w:tr2bl w:val="nil"/>
            </w:tcBorders>
            <w:vAlign w:val="center"/>
          </w:tcPr>
          <w:p w14:paraId="50E0BAC8">
            <w:pPr>
              <w:pageBreakBefore w:val="0"/>
              <w:kinsoku/>
              <w:overflowPunct/>
              <w:topLinePunct w:val="0"/>
              <w:bidi w:val="0"/>
              <w:spacing w:beforeAutospacing="0" w:afterAutospacing="0" w:line="360" w:lineRule="exact"/>
              <w:ind w:left="0" w:leftChars="0" w:right="0"/>
              <w:jc w:val="left"/>
              <w:textAlignment w:val="auto"/>
              <w:rPr>
                <w:highlight w:val="none"/>
              </w:rPr>
            </w:pPr>
            <w:r>
              <w:rPr>
                <w:rFonts w:hint="eastAsia" w:ascii="宋体" w:hAnsi="宋体"/>
                <w:szCs w:val="21"/>
                <w:highlight w:val="none"/>
              </w:rPr>
              <w:t>时间：投标截止时间10日前</w:t>
            </w:r>
          </w:p>
        </w:tc>
      </w:tr>
      <w:tr w14:paraId="298B2A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1072" w:type="dxa"/>
            <w:vMerge w:val="continue"/>
            <w:tcBorders>
              <w:tl2br w:val="nil"/>
              <w:tr2bl w:val="nil"/>
            </w:tcBorders>
            <w:vAlign w:val="center"/>
          </w:tcPr>
          <w:p w14:paraId="05A0E22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2251" w:type="dxa"/>
            <w:vMerge w:val="continue"/>
            <w:tcBorders>
              <w:tl2br w:val="nil"/>
              <w:tr2bl w:val="nil"/>
            </w:tcBorders>
            <w:vAlign w:val="center"/>
          </w:tcPr>
          <w:p w14:paraId="081171C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6585" w:type="dxa"/>
            <w:tcBorders>
              <w:tl2br w:val="nil"/>
              <w:tr2bl w:val="nil"/>
            </w:tcBorders>
            <w:vAlign w:val="center"/>
          </w:tcPr>
          <w:p w14:paraId="20459C55">
            <w:pPr>
              <w:pageBreakBefore w:val="0"/>
              <w:kinsoku/>
              <w:wordWrap w:val="0"/>
              <w:overflowPunct/>
              <w:topLinePunct w:val="0"/>
              <w:bidi w:val="0"/>
              <w:spacing w:beforeAutospacing="0" w:afterAutospacing="0" w:line="360" w:lineRule="exact"/>
              <w:ind w:left="0" w:leftChars="0" w:right="0"/>
              <w:jc w:val="left"/>
              <w:textAlignment w:val="auto"/>
              <w:rPr>
                <w:highlight w:val="none"/>
              </w:rPr>
            </w:pPr>
            <w:r>
              <w:rPr>
                <w:rFonts w:hint="eastAsia"/>
                <w:highlight w:val="none"/>
              </w:rPr>
              <w:t>形式：使用 CA 数字证书登录“电子交易平台”，在“投标答疑”菜单以书面形式要求招标人对招标文件予以澄清</w:t>
            </w:r>
          </w:p>
        </w:tc>
      </w:tr>
      <w:tr w14:paraId="2F8EEA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1072" w:type="dxa"/>
            <w:tcBorders>
              <w:tl2br w:val="nil"/>
              <w:tr2bl w:val="nil"/>
            </w:tcBorders>
            <w:vAlign w:val="center"/>
          </w:tcPr>
          <w:p w14:paraId="5AEDC82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2.2.2</w:t>
            </w:r>
          </w:p>
        </w:tc>
        <w:tc>
          <w:tcPr>
            <w:tcW w:w="2251" w:type="dxa"/>
            <w:tcBorders>
              <w:tl2br w:val="nil"/>
              <w:tr2bl w:val="nil"/>
            </w:tcBorders>
            <w:vAlign w:val="center"/>
          </w:tcPr>
          <w:p w14:paraId="6F24968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招标文件澄清发出的形式</w:t>
            </w:r>
          </w:p>
        </w:tc>
        <w:tc>
          <w:tcPr>
            <w:tcW w:w="6585" w:type="dxa"/>
            <w:tcBorders>
              <w:tl2br w:val="nil"/>
              <w:tr2bl w:val="nil"/>
            </w:tcBorders>
            <w:vAlign w:val="center"/>
          </w:tcPr>
          <w:p w14:paraId="69B067E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highlight w:val="none"/>
              </w:rPr>
              <w:t>通过“电子交易平台”发出招标文件澄清</w:t>
            </w:r>
          </w:p>
        </w:tc>
      </w:tr>
      <w:tr w14:paraId="167A54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72" w:type="dxa"/>
            <w:tcBorders>
              <w:tl2br w:val="nil"/>
              <w:tr2bl w:val="nil"/>
            </w:tcBorders>
            <w:vAlign w:val="center"/>
          </w:tcPr>
          <w:p w14:paraId="3B370B2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.2.3</w:t>
            </w:r>
          </w:p>
        </w:tc>
        <w:tc>
          <w:tcPr>
            <w:tcW w:w="2251" w:type="dxa"/>
            <w:tcBorders>
              <w:tl2br w:val="nil"/>
              <w:tr2bl w:val="nil"/>
            </w:tcBorders>
            <w:vAlign w:val="center"/>
          </w:tcPr>
          <w:p w14:paraId="49B42CCA">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投标人获取招标文件澄清</w:t>
            </w:r>
          </w:p>
        </w:tc>
        <w:tc>
          <w:tcPr>
            <w:tcW w:w="6585" w:type="dxa"/>
            <w:tcBorders>
              <w:tl2br w:val="nil"/>
              <w:tr2bl w:val="nil"/>
            </w:tcBorders>
            <w:vAlign w:val="center"/>
          </w:tcPr>
          <w:p w14:paraId="202715C1">
            <w:pPr>
              <w:pageBreakBefore w:val="0"/>
              <w:kinsoku/>
              <w:overflowPunct/>
              <w:topLinePunct w:val="0"/>
              <w:bidi w:val="0"/>
              <w:adjustRightInd w:val="0"/>
              <w:snapToGrid w:val="0"/>
              <w:spacing w:beforeAutospacing="0" w:afterAutospacing="0" w:line="360" w:lineRule="exact"/>
              <w:ind w:left="0" w:leftChars="0" w:right="0"/>
              <w:jc w:val="left"/>
              <w:textAlignment w:val="auto"/>
              <w:rPr>
                <w:highlight w:val="none"/>
              </w:rPr>
            </w:pPr>
            <w:r>
              <w:rPr>
                <w:rFonts w:hint="eastAsia" w:ascii="宋体" w:hAnsi="宋体"/>
                <w:iCs/>
                <w:szCs w:val="21"/>
                <w:highlight w:val="none"/>
              </w:rPr>
              <w:t>投标人应注意及时登录“电子交易平台”获取招标文件澄清，因投标人自身原因未及时获知澄清内容而导致的任何后果将由投标人自行承担。</w:t>
            </w:r>
          </w:p>
        </w:tc>
      </w:tr>
      <w:tr w14:paraId="714B9D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1072" w:type="dxa"/>
            <w:tcBorders>
              <w:tl2br w:val="nil"/>
              <w:tr2bl w:val="nil"/>
            </w:tcBorders>
            <w:vAlign w:val="center"/>
          </w:tcPr>
          <w:p w14:paraId="18BD713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2.3.</w:t>
            </w:r>
            <w:r>
              <w:rPr>
                <w:rFonts w:hint="eastAsia" w:ascii="宋体" w:hAnsi="宋体"/>
                <w:szCs w:val="21"/>
                <w:highlight w:val="none"/>
              </w:rPr>
              <w:t>1</w:t>
            </w:r>
          </w:p>
        </w:tc>
        <w:tc>
          <w:tcPr>
            <w:tcW w:w="2251" w:type="dxa"/>
            <w:tcBorders>
              <w:tl2br w:val="nil"/>
              <w:tr2bl w:val="nil"/>
            </w:tcBorders>
            <w:vAlign w:val="center"/>
          </w:tcPr>
          <w:p w14:paraId="36AD2E43">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招标文件修改发出的形式</w:t>
            </w:r>
          </w:p>
        </w:tc>
        <w:tc>
          <w:tcPr>
            <w:tcW w:w="6585" w:type="dxa"/>
            <w:tcBorders>
              <w:tl2br w:val="nil"/>
              <w:tr2bl w:val="nil"/>
            </w:tcBorders>
            <w:vAlign w:val="center"/>
          </w:tcPr>
          <w:p w14:paraId="2CD48DAB">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cs="Consolas"/>
                <w:i/>
                <w:sz w:val="28"/>
                <w:szCs w:val="28"/>
                <w:highlight w:val="none"/>
              </w:rPr>
            </w:pPr>
            <w:r>
              <w:rPr>
                <w:rFonts w:hint="eastAsia"/>
                <w:highlight w:val="none"/>
              </w:rPr>
              <w:t>通过“电子交易平台”发出招标文件修改</w:t>
            </w:r>
          </w:p>
        </w:tc>
      </w:tr>
      <w:tr w14:paraId="1A8687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1072" w:type="dxa"/>
            <w:tcBorders>
              <w:tl2br w:val="nil"/>
              <w:tr2bl w:val="nil"/>
            </w:tcBorders>
            <w:vAlign w:val="center"/>
          </w:tcPr>
          <w:p w14:paraId="7CF87D3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.3.2</w:t>
            </w:r>
          </w:p>
        </w:tc>
        <w:tc>
          <w:tcPr>
            <w:tcW w:w="2251" w:type="dxa"/>
            <w:tcBorders>
              <w:tl2br w:val="nil"/>
              <w:tr2bl w:val="nil"/>
            </w:tcBorders>
            <w:vAlign w:val="center"/>
          </w:tcPr>
          <w:p w14:paraId="63E9DCC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投标人获取招标文件修改</w:t>
            </w:r>
          </w:p>
        </w:tc>
        <w:tc>
          <w:tcPr>
            <w:tcW w:w="6585" w:type="dxa"/>
            <w:tcBorders>
              <w:tl2br w:val="nil"/>
              <w:tr2bl w:val="nil"/>
            </w:tcBorders>
            <w:vAlign w:val="center"/>
          </w:tcPr>
          <w:p w14:paraId="1DC7F173">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b/>
                <w:szCs w:val="21"/>
                <w:highlight w:val="none"/>
              </w:rPr>
            </w:pPr>
            <w:r>
              <w:rPr>
                <w:rFonts w:hint="eastAsia" w:ascii="宋体" w:hAnsi="宋体"/>
                <w:szCs w:val="21"/>
                <w:highlight w:val="none"/>
              </w:rPr>
              <w:t>投标人应注意及时登录“电子交易平台”获取招标文件修改，因投标人自身原因未及时获知修改内容而导致的任何后果将由投标人自行承担。</w:t>
            </w:r>
          </w:p>
        </w:tc>
      </w:tr>
      <w:tr w14:paraId="674DE3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6" w:hRule="atLeast"/>
          <w:jc w:val="center"/>
        </w:trPr>
        <w:tc>
          <w:tcPr>
            <w:tcW w:w="1072" w:type="dxa"/>
            <w:tcBorders>
              <w:tl2br w:val="nil"/>
              <w:tr2bl w:val="nil"/>
            </w:tcBorders>
            <w:vAlign w:val="center"/>
          </w:tcPr>
          <w:p w14:paraId="7A353BA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3.1.1</w:t>
            </w:r>
          </w:p>
        </w:tc>
        <w:tc>
          <w:tcPr>
            <w:tcW w:w="2251" w:type="dxa"/>
            <w:tcBorders>
              <w:tl2br w:val="nil"/>
              <w:tr2bl w:val="nil"/>
            </w:tcBorders>
            <w:vAlign w:val="center"/>
          </w:tcPr>
          <w:p w14:paraId="673F5288">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投标文件密封形式</w:t>
            </w:r>
          </w:p>
        </w:tc>
        <w:tc>
          <w:tcPr>
            <w:tcW w:w="6585" w:type="dxa"/>
            <w:tcBorders>
              <w:tl2br w:val="nil"/>
              <w:tr2bl w:val="nil"/>
            </w:tcBorders>
            <w:vAlign w:val="center"/>
          </w:tcPr>
          <w:p w14:paraId="034E20D3">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双信封</w:t>
            </w:r>
          </w:p>
        </w:tc>
      </w:tr>
      <w:tr w14:paraId="19B43E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6" w:hRule="atLeast"/>
          <w:jc w:val="center"/>
        </w:trPr>
        <w:tc>
          <w:tcPr>
            <w:tcW w:w="1072" w:type="dxa"/>
            <w:tcBorders>
              <w:tl2br w:val="nil"/>
              <w:tr2bl w:val="nil"/>
            </w:tcBorders>
            <w:vAlign w:val="center"/>
          </w:tcPr>
          <w:p w14:paraId="322F661B">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hint="eastAsia" w:ascii="宋体" w:hAnsi="宋体"/>
                <w:szCs w:val="21"/>
                <w:highlight w:val="none"/>
              </w:rPr>
              <w:t>3.1.1</w:t>
            </w:r>
          </w:p>
        </w:tc>
        <w:tc>
          <w:tcPr>
            <w:tcW w:w="2251" w:type="dxa"/>
            <w:tcBorders>
              <w:tl2br w:val="nil"/>
              <w:tr2bl w:val="nil"/>
            </w:tcBorders>
            <w:vAlign w:val="center"/>
          </w:tcPr>
          <w:p w14:paraId="5F6CEF73">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ascii="宋体" w:hAnsi="宋体"/>
                <w:szCs w:val="21"/>
                <w:highlight w:val="none"/>
              </w:rPr>
              <w:t>构成投标文件的其他材料</w:t>
            </w:r>
          </w:p>
        </w:tc>
        <w:tc>
          <w:tcPr>
            <w:tcW w:w="6585" w:type="dxa"/>
            <w:tcBorders>
              <w:tl2br w:val="nil"/>
              <w:tr2bl w:val="nil"/>
            </w:tcBorders>
            <w:vAlign w:val="center"/>
          </w:tcPr>
          <w:p w14:paraId="712B003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lang w:val="zh-CN"/>
              </w:rPr>
              <w:t>详见第九章“投标文件格式”。</w:t>
            </w:r>
          </w:p>
        </w:tc>
      </w:tr>
      <w:tr w14:paraId="776DFB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98" w:hRule="atLeast"/>
          <w:jc w:val="center"/>
        </w:trPr>
        <w:tc>
          <w:tcPr>
            <w:tcW w:w="1072" w:type="dxa"/>
            <w:vMerge w:val="restart"/>
            <w:tcBorders>
              <w:tl2br w:val="nil"/>
              <w:tr2bl w:val="nil"/>
            </w:tcBorders>
            <w:vAlign w:val="center"/>
          </w:tcPr>
          <w:p w14:paraId="32C8229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3.2.1</w:t>
            </w:r>
          </w:p>
        </w:tc>
        <w:tc>
          <w:tcPr>
            <w:tcW w:w="2251" w:type="dxa"/>
            <w:tcBorders>
              <w:tl2br w:val="nil"/>
              <w:tr2bl w:val="nil"/>
            </w:tcBorders>
            <w:vAlign w:val="center"/>
          </w:tcPr>
          <w:p w14:paraId="42E2C66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增值税税金的计算方法</w:t>
            </w:r>
          </w:p>
        </w:tc>
        <w:tc>
          <w:tcPr>
            <w:tcW w:w="6585" w:type="dxa"/>
            <w:tcBorders>
              <w:tl2br w:val="nil"/>
              <w:tr2bl w:val="nil"/>
            </w:tcBorders>
            <w:vAlign w:val="center"/>
          </w:tcPr>
          <w:p w14:paraId="10E334D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lang w:val="zh-CN"/>
              </w:rPr>
              <w:t>增值税税金的计算</w:t>
            </w:r>
            <w:r>
              <w:rPr>
                <w:rFonts w:hint="eastAsia"/>
                <w:szCs w:val="21"/>
                <w:highlight w:val="none"/>
              </w:rPr>
              <w:t>按国家现行的相关规定执行</w:t>
            </w:r>
          </w:p>
        </w:tc>
      </w:tr>
      <w:tr w14:paraId="66446A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1072" w:type="dxa"/>
            <w:vMerge w:val="continue"/>
            <w:tcBorders>
              <w:tl2br w:val="nil"/>
              <w:tr2bl w:val="nil"/>
            </w:tcBorders>
            <w:vAlign w:val="center"/>
          </w:tcPr>
          <w:p w14:paraId="514367B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2251" w:type="dxa"/>
            <w:tcBorders>
              <w:tl2br w:val="nil"/>
              <w:tr2bl w:val="nil"/>
            </w:tcBorders>
            <w:vAlign w:val="center"/>
          </w:tcPr>
          <w:p w14:paraId="21EE0E2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工程量清单的填写方式</w:t>
            </w:r>
          </w:p>
        </w:tc>
        <w:tc>
          <w:tcPr>
            <w:tcW w:w="6585" w:type="dxa"/>
            <w:tcBorders>
              <w:tl2br w:val="nil"/>
              <w:tr2bl w:val="nil"/>
            </w:tcBorders>
            <w:vAlign w:val="center"/>
          </w:tcPr>
          <w:p w14:paraId="44A0C222">
            <w:pPr>
              <w:pageBreakBefore w:val="0"/>
              <w:kinsoku/>
              <w:overflowPunct/>
              <w:topLinePunct w:val="0"/>
              <w:bidi w:val="0"/>
              <w:spacing w:beforeAutospacing="0" w:afterAutospacing="0" w:line="360" w:lineRule="exact"/>
              <w:ind w:left="0" w:leftChars="0" w:right="0"/>
              <w:jc w:val="left"/>
              <w:textAlignment w:val="auto"/>
              <w:rPr>
                <w:szCs w:val="21"/>
                <w:highlight w:val="none"/>
              </w:rPr>
            </w:pPr>
            <w:r>
              <w:rPr>
                <w:rFonts w:hint="eastAsia" w:ascii="宋体" w:hAnsi="宋体"/>
                <w:szCs w:val="21"/>
                <w:highlight w:val="none"/>
              </w:rPr>
              <w:t>投标人按照招标人上传到“交易一体化平台”的工程量清单电子文件填写工程量清单。</w:t>
            </w:r>
          </w:p>
        </w:tc>
      </w:tr>
      <w:tr w14:paraId="7ADFD4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69B2689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3.2.3</w:t>
            </w:r>
          </w:p>
        </w:tc>
        <w:tc>
          <w:tcPr>
            <w:tcW w:w="2251" w:type="dxa"/>
            <w:tcBorders>
              <w:tl2br w:val="nil"/>
              <w:tr2bl w:val="nil"/>
            </w:tcBorders>
            <w:vAlign w:val="center"/>
          </w:tcPr>
          <w:p w14:paraId="7C62BEF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报价方式</w:t>
            </w:r>
          </w:p>
        </w:tc>
        <w:tc>
          <w:tcPr>
            <w:tcW w:w="6585" w:type="dxa"/>
            <w:tcBorders>
              <w:tl2br w:val="nil"/>
              <w:tr2bl w:val="nil"/>
            </w:tcBorders>
            <w:vAlign w:val="center"/>
          </w:tcPr>
          <w:p w14:paraId="73451BB0">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cs="宋体"/>
                <w:kern w:val="0"/>
                <w:szCs w:val="21"/>
                <w:highlight w:val="none"/>
              </w:rPr>
            </w:pPr>
            <w:r>
              <w:rPr>
                <w:rFonts w:hint="eastAsia" w:ascii="MS Gothic" w:hAnsi="MS Gothic" w:cs="MS Gothic"/>
                <w:kern w:val="0"/>
                <w:szCs w:val="21"/>
                <w:highlight w:val="none"/>
              </w:rPr>
              <w:t>☑</w:t>
            </w:r>
            <w:r>
              <w:rPr>
                <w:rFonts w:hint="eastAsia" w:ascii="宋体" w:hAnsi="宋体" w:cs="宋体"/>
                <w:kern w:val="0"/>
                <w:szCs w:val="21"/>
                <w:highlight w:val="none"/>
              </w:rPr>
              <w:t xml:space="preserve">单价 </w:t>
            </w:r>
          </w:p>
          <w:p w14:paraId="3D4428D9">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cs="宋体"/>
                <w:kern w:val="0"/>
                <w:szCs w:val="21"/>
                <w:highlight w:val="none"/>
              </w:rPr>
              <w:t>□总价</w:t>
            </w:r>
          </w:p>
        </w:tc>
      </w:tr>
      <w:tr w14:paraId="7834A0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77EF453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3.2.6</w:t>
            </w:r>
          </w:p>
        </w:tc>
        <w:tc>
          <w:tcPr>
            <w:tcW w:w="2251" w:type="dxa"/>
            <w:tcBorders>
              <w:tl2br w:val="nil"/>
              <w:tr2bl w:val="nil"/>
            </w:tcBorders>
            <w:vAlign w:val="center"/>
          </w:tcPr>
          <w:p w14:paraId="313E605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是否接受调价函</w:t>
            </w:r>
          </w:p>
        </w:tc>
        <w:tc>
          <w:tcPr>
            <w:tcW w:w="6585" w:type="dxa"/>
            <w:tcBorders>
              <w:tl2br w:val="nil"/>
              <w:tr2bl w:val="nil"/>
            </w:tcBorders>
            <w:vAlign w:val="center"/>
          </w:tcPr>
          <w:p w14:paraId="4101AC1D">
            <w:pPr>
              <w:pageBreakBefore w:val="0"/>
              <w:kinsoku/>
              <w:overflowPunct/>
              <w:topLinePunct w:val="0"/>
              <w:bidi w:val="0"/>
              <w:spacing w:beforeAutospacing="0" w:afterAutospacing="0" w:line="360" w:lineRule="exact"/>
              <w:ind w:left="0" w:leftChars="0" w:right="0"/>
              <w:jc w:val="left"/>
              <w:textAlignment w:val="auto"/>
              <w:rPr>
                <w:szCs w:val="21"/>
                <w:highlight w:val="none"/>
              </w:rPr>
            </w:pPr>
            <w:r>
              <w:rPr>
                <w:rFonts w:hint="eastAsia"/>
                <w:szCs w:val="21"/>
                <w:highlight w:val="none"/>
              </w:rPr>
              <w:t>否</w:t>
            </w:r>
          </w:p>
        </w:tc>
      </w:tr>
      <w:tr w14:paraId="7B06B4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8" w:hRule="atLeast"/>
          <w:jc w:val="center"/>
        </w:trPr>
        <w:tc>
          <w:tcPr>
            <w:tcW w:w="1072" w:type="dxa"/>
            <w:tcBorders>
              <w:tl2br w:val="nil"/>
              <w:tr2bl w:val="nil"/>
            </w:tcBorders>
            <w:vAlign w:val="center"/>
          </w:tcPr>
          <w:p w14:paraId="15F322F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3.</w:t>
            </w:r>
            <w:r>
              <w:rPr>
                <w:rFonts w:hint="eastAsia" w:ascii="宋体" w:hAnsi="宋体"/>
                <w:szCs w:val="21"/>
                <w:highlight w:val="none"/>
              </w:rPr>
              <w:t>2.8</w:t>
            </w:r>
          </w:p>
        </w:tc>
        <w:tc>
          <w:tcPr>
            <w:tcW w:w="2251" w:type="dxa"/>
            <w:tcBorders>
              <w:tl2br w:val="nil"/>
              <w:tr2bl w:val="nil"/>
            </w:tcBorders>
            <w:vAlign w:val="center"/>
          </w:tcPr>
          <w:p w14:paraId="2B9228F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最高投标限价</w:t>
            </w:r>
          </w:p>
        </w:tc>
        <w:tc>
          <w:tcPr>
            <w:tcW w:w="6585" w:type="dxa"/>
            <w:tcBorders>
              <w:tl2br w:val="nil"/>
              <w:tr2bl w:val="nil"/>
            </w:tcBorders>
            <w:vAlign w:val="center"/>
          </w:tcPr>
          <w:p w14:paraId="213B4D0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b/>
                <w:bCs/>
                <w:szCs w:val="21"/>
                <w:highlight w:val="none"/>
              </w:rPr>
            </w:pPr>
            <w:r>
              <w:rPr>
                <w:rFonts w:hint="eastAsia" w:ascii="宋体" w:hAnsi="宋体"/>
                <w:szCs w:val="21"/>
                <w:highlight w:val="none"/>
              </w:rPr>
              <w:t>有，最高投标限价</w:t>
            </w:r>
            <w:r>
              <w:rPr>
                <w:rFonts w:hint="eastAsia" w:ascii="宋体" w:hAnsi="宋体"/>
                <w:b/>
                <w:bCs/>
                <w:szCs w:val="21"/>
                <w:highlight w:val="none"/>
              </w:rPr>
              <w:t>：9,807,238元（含暂列金额3%）</w:t>
            </w:r>
            <w:r>
              <w:rPr>
                <w:rFonts w:hint="eastAsia" w:ascii="宋体" w:hAnsi="宋体"/>
                <w:color w:val="000000"/>
                <w:szCs w:val="21"/>
                <w:highlight w:val="none"/>
              </w:rPr>
              <w:t>。</w:t>
            </w:r>
          </w:p>
        </w:tc>
      </w:tr>
      <w:tr w14:paraId="14B95B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072" w:type="dxa"/>
            <w:tcBorders>
              <w:tl2br w:val="nil"/>
              <w:tr2bl w:val="nil"/>
            </w:tcBorders>
            <w:vAlign w:val="center"/>
          </w:tcPr>
          <w:p w14:paraId="4B3CCEC4">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3.2.9</w:t>
            </w:r>
          </w:p>
        </w:tc>
        <w:tc>
          <w:tcPr>
            <w:tcW w:w="2251" w:type="dxa"/>
            <w:tcBorders>
              <w:tl2br w:val="nil"/>
              <w:tr2bl w:val="nil"/>
            </w:tcBorders>
            <w:vAlign w:val="center"/>
          </w:tcPr>
          <w:p w14:paraId="76D509F2">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投标报价的</w:t>
            </w:r>
            <w:r>
              <w:rPr>
                <w:rFonts w:ascii="宋体" w:hAnsi="宋体"/>
                <w:szCs w:val="21"/>
                <w:highlight w:val="none"/>
              </w:rPr>
              <w:br w:type="textWrapping"/>
            </w:r>
            <w:r>
              <w:rPr>
                <w:rFonts w:hint="eastAsia" w:ascii="宋体" w:hAnsi="宋体"/>
                <w:szCs w:val="21"/>
                <w:highlight w:val="none"/>
              </w:rPr>
              <w:t>其他要求</w:t>
            </w:r>
          </w:p>
        </w:tc>
        <w:tc>
          <w:tcPr>
            <w:tcW w:w="6585" w:type="dxa"/>
            <w:tcBorders>
              <w:tl2br w:val="nil"/>
              <w:tr2bl w:val="nil"/>
            </w:tcBorders>
            <w:vAlign w:val="center"/>
          </w:tcPr>
          <w:p w14:paraId="65EB7376">
            <w:pPr>
              <w:pageBreakBefore w:val="0"/>
              <w:kinsoku/>
              <w:overflowPunct/>
              <w:topLinePunct w:val="0"/>
              <w:bidi w:val="0"/>
              <w:adjustRightInd w:val="0"/>
              <w:snapToGrid w:val="0"/>
              <w:spacing w:beforeAutospacing="0" w:afterAutospacing="0" w:line="360" w:lineRule="exact"/>
              <w:ind w:left="0" w:leftChars="0" w:right="0" w:firstLine="211" w:firstLineChars="100"/>
              <w:jc w:val="left"/>
              <w:textAlignment w:val="auto"/>
              <w:rPr>
                <w:rFonts w:hint="eastAsia" w:ascii="宋体" w:hAnsi="宋体"/>
                <w:szCs w:val="21"/>
                <w:highlight w:val="none"/>
              </w:rPr>
            </w:pPr>
            <w:r>
              <w:rPr>
                <w:rFonts w:hint="eastAsia" w:ascii="宋体" w:hAnsi="宋体"/>
                <w:b/>
                <w:bCs/>
                <w:color w:val="000000"/>
                <w:szCs w:val="21"/>
                <w:highlight w:val="none"/>
              </w:rPr>
              <w:t>/</w:t>
            </w:r>
          </w:p>
        </w:tc>
      </w:tr>
      <w:tr w14:paraId="535014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072" w:type="dxa"/>
            <w:tcBorders>
              <w:tl2br w:val="nil"/>
              <w:tr2bl w:val="nil"/>
            </w:tcBorders>
            <w:vAlign w:val="center"/>
          </w:tcPr>
          <w:p w14:paraId="25E890C5">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3.3.1</w:t>
            </w:r>
          </w:p>
        </w:tc>
        <w:tc>
          <w:tcPr>
            <w:tcW w:w="2251" w:type="dxa"/>
            <w:tcBorders>
              <w:tl2br w:val="nil"/>
              <w:tr2bl w:val="nil"/>
            </w:tcBorders>
            <w:vAlign w:val="center"/>
          </w:tcPr>
          <w:p w14:paraId="6606A25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hAnsi="宋体"/>
                <w:szCs w:val="21"/>
                <w:highlight w:val="none"/>
              </w:rPr>
              <w:t>投标有效期</w:t>
            </w:r>
          </w:p>
        </w:tc>
        <w:tc>
          <w:tcPr>
            <w:tcW w:w="6585" w:type="dxa"/>
            <w:tcBorders>
              <w:tl2br w:val="nil"/>
              <w:tr2bl w:val="nil"/>
            </w:tcBorders>
            <w:vAlign w:val="center"/>
          </w:tcPr>
          <w:p w14:paraId="278FD0F5">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hAnsi="宋体"/>
                <w:szCs w:val="21"/>
                <w:highlight w:val="none"/>
              </w:rPr>
              <w:t>自投标人提交投标文件截止之日起计算</w:t>
            </w:r>
            <w:r>
              <w:rPr>
                <w:rFonts w:hint="eastAsia" w:ascii="宋体" w:hAnsi="宋体" w:cs="宋体"/>
                <w:szCs w:val="21"/>
                <w:highlight w:val="none"/>
              </w:rPr>
              <w:t>90</w:t>
            </w:r>
            <w:r>
              <w:rPr>
                <w:rFonts w:hint="eastAsia" w:hAnsi="宋体"/>
                <w:szCs w:val="21"/>
                <w:highlight w:val="none"/>
              </w:rPr>
              <w:t>日</w:t>
            </w:r>
          </w:p>
        </w:tc>
      </w:tr>
      <w:tr w14:paraId="37AAA2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45" w:hRule="atLeast"/>
          <w:jc w:val="center"/>
        </w:trPr>
        <w:tc>
          <w:tcPr>
            <w:tcW w:w="1072" w:type="dxa"/>
            <w:tcBorders>
              <w:tl2br w:val="nil"/>
              <w:tr2bl w:val="nil"/>
            </w:tcBorders>
            <w:vAlign w:val="center"/>
          </w:tcPr>
          <w:p w14:paraId="4231655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3.4.1</w:t>
            </w:r>
          </w:p>
        </w:tc>
        <w:tc>
          <w:tcPr>
            <w:tcW w:w="2251" w:type="dxa"/>
            <w:tcBorders>
              <w:tl2br w:val="nil"/>
              <w:tr2bl w:val="nil"/>
            </w:tcBorders>
            <w:vAlign w:val="center"/>
          </w:tcPr>
          <w:p w14:paraId="7C09F865">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投标保证金</w:t>
            </w:r>
          </w:p>
          <w:p w14:paraId="258B3E91">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的递交</w:t>
            </w:r>
          </w:p>
        </w:tc>
        <w:tc>
          <w:tcPr>
            <w:tcW w:w="6585" w:type="dxa"/>
            <w:tcBorders>
              <w:tl2br w:val="nil"/>
              <w:tr2bl w:val="nil"/>
            </w:tcBorders>
            <w:vAlign w:val="center"/>
          </w:tcPr>
          <w:p w14:paraId="69EC0E86">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cs="宋体"/>
                <w:kern w:val="0"/>
                <w:szCs w:val="21"/>
                <w:highlight w:val="none"/>
              </w:rPr>
            </w:pPr>
            <w:r>
              <w:rPr>
                <w:rFonts w:hint="eastAsia" w:ascii="宋体" w:hAnsi="宋体" w:cs="宋体"/>
                <w:kern w:val="0"/>
                <w:szCs w:val="21"/>
                <w:highlight w:val="none"/>
              </w:rPr>
              <w:t xml:space="preserve">是否要求投标人递交投标保证金： </w:t>
            </w:r>
          </w:p>
          <w:p w14:paraId="1FF62052">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cs="宋体"/>
                <w:kern w:val="0"/>
                <w:szCs w:val="21"/>
                <w:highlight w:val="none"/>
              </w:rPr>
            </w:pPr>
            <w:r>
              <w:rPr>
                <w:rFonts w:hint="eastAsia" w:ascii="MS Gothic" w:hAnsi="MS Gothic" w:eastAsia="MS Gothic" w:cs="MS Gothic"/>
                <w:kern w:val="0"/>
                <w:szCs w:val="21"/>
                <w:highlight w:val="none"/>
              </w:rPr>
              <w:t>☑</w:t>
            </w:r>
            <w:r>
              <w:rPr>
                <w:rFonts w:hint="eastAsia" w:ascii="宋体" w:hAnsi="宋体" w:cs="宋体"/>
                <w:kern w:val="0"/>
                <w:szCs w:val="21"/>
                <w:highlight w:val="none"/>
              </w:rPr>
              <w:t>要求，投标保证金的金额：</w:t>
            </w:r>
            <w:r>
              <w:rPr>
                <w:rFonts w:hint="eastAsia" w:ascii="黑体" w:hAnsi="黑体" w:eastAsia="黑体" w:cs="黑体"/>
                <w:kern w:val="0"/>
                <w:szCs w:val="21"/>
                <w:highlight w:val="none"/>
              </w:rPr>
              <w:t>10万元/投标人</w:t>
            </w:r>
            <w:r>
              <w:rPr>
                <w:rFonts w:hint="eastAsia" w:ascii="宋体" w:hAnsi="宋体" w:cs="宋体"/>
                <w:kern w:val="0"/>
                <w:szCs w:val="21"/>
                <w:highlight w:val="none"/>
              </w:rPr>
              <w:t>。</w:t>
            </w:r>
          </w:p>
          <w:p w14:paraId="4042A402">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kern w:val="0"/>
                <w:szCs w:val="18"/>
                <w:highlight w:val="none"/>
                <w:lang w:val="zh-CN"/>
              </w:rPr>
            </w:pPr>
            <w:r>
              <w:rPr>
                <w:rFonts w:hint="eastAsia" w:ascii="宋体" w:hAnsi="宋体" w:cs="宋体"/>
                <w:kern w:val="0"/>
                <w:szCs w:val="21"/>
                <w:highlight w:val="none"/>
              </w:rPr>
              <w:t>投标保证金可采用的其他形式：</w:t>
            </w:r>
            <w:r>
              <w:rPr>
                <w:rFonts w:hint="eastAsia" w:ascii="宋体" w:hAnsi="宋体"/>
                <w:kern w:val="0"/>
                <w:szCs w:val="18"/>
                <w:highlight w:val="none"/>
                <w:lang w:val="zh-CN"/>
              </w:rPr>
              <w:t>现金、支</w:t>
            </w:r>
            <w:r>
              <w:rPr>
                <w:rFonts w:hint="eastAsia" w:ascii="宋体" w:hAnsi="宋体"/>
                <w:kern w:val="0"/>
                <w:szCs w:val="18"/>
                <w:highlight w:val="none"/>
              </w:rPr>
              <w:t>票或电子保函或保单。</w:t>
            </w:r>
          </w:p>
          <w:p w14:paraId="3BA702E7">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kern w:val="0"/>
                <w:szCs w:val="18"/>
                <w:highlight w:val="none"/>
                <w:lang w:val="zh-CN"/>
              </w:rPr>
            </w:pPr>
            <w:r>
              <w:rPr>
                <w:rFonts w:hint="eastAsia" w:ascii="宋体" w:hAnsi="宋体"/>
                <w:kern w:val="0"/>
                <w:szCs w:val="18"/>
                <w:highlight w:val="none"/>
                <w:lang w:val="zh-CN"/>
              </w:rPr>
              <w:t>（1）若采用</w:t>
            </w:r>
            <w:r>
              <w:rPr>
                <w:rFonts w:hint="eastAsia" w:ascii="宋体" w:hAnsi="宋体"/>
                <w:kern w:val="0"/>
                <w:szCs w:val="18"/>
                <w:highlight w:val="none"/>
              </w:rPr>
              <w:t>现金或支票形式</w:t>
            </w:r>
            <w:r>
              <w:rPr>
                <w:rFonts w:hint="eastAsia" w:ascii="宋体" w:hAnsi="宋体"/>
                <w:kern w:val="0"/>
                <w:szCs w:val="18"/>
                <w:highlight w:val="none"/>
                <w:lang w:val="zh-CN"/>
              </w:rPr>
              <w:t>，投标人应在投标截止时间之前，将投标保证金由投标人的基本账户一次性转入并到达招标人指定账户，否则视为投标保证金无效。</w:t>
            </w:r>
          </w:p>
          <w:p w14:paraId="579ABFBC">
            <w:pPr>
              <w:pageBreakBefore w:val="0"/>
              <w:widowControl/>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kern w:val="0"/>
                <w:szCs w:val="18"/>
                <w:highlight w:val="none"/>
                <w:lang w:val="zh-CN"/>
              </w:rPr>
            </w:pPr>
            <w:r>
              <w:rPr>
                <w:rFonts w:hint="eastAsia" w:ascii="宋体" w:hAnsi="宋体"/>
                <w:kern w:val="0"/>
                <w:szCs w:val="18"/>
                <w:highlight w:val="none"/>
                <w:lang w:val="zh-CN"/>
              </w:rPr>
              <w:t>招标人指定的开户银行及账号如下：</w:t>
            </w:r>
          </w:p>
          <w:p w14:paraId="3947FE53">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 xml:space="preserve">开户名称：吉林省伟邦公路技术有限公司 </w:t>
            </w:r>
          </w:p>
          <w:p w14:paraId="19F48295">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 xml:space="preserve">开户银行：建设银行九台支行 </w:t>
            </w:r>
          </w:p>
          <w:p w14:paraId="30706744">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银行账号：22001390100055001391</w:t>
            </w:r>
          </w:p>
          <w:p w14:paraId="1771DB11">
            <w:pPr>
              <w:pageBreakBefore w:val="0"/>
              <w:widowControl/>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cs="宋体"/>
                <w:kern w:val="0"/>
                <w:szCs w:val="21"/>
                <w:highlight w:val="none"/>
              </w:rPr>
            </w:pPr>
            <w:r>
              <w:rPr>
                <w:rFonts w:hint="eastAsia" w:ascii="宋体" w:hAnsi="宋体"/>
                <w:kern w:val="0"/>
                <w:szCs w:val="18"/>
                <w:highlight w:val="none"/>
                <w:lang w:val="zh-CN"/>
              </w:rPr>
              <w:t>银行转账业务备注一栏可填写</w:t>
            </w:r>
            <w:r>
              <w:rPr>
                <w:rFonts w:hint="eastAsia" w:ascii="宋体" w:hAnsi="宋体"/>
                <w:szCs w:val="21"/>
                <w:highlight w:val="none"/>
              </w:rPr>
              <w:t>：“</w:t>
            </w:r>
            <w:r>
              <w:rPr>
                <w:rFonts w:hint="eastAsia" w:ascii="宋体" w:hAnsi="宋体"/>
                <w:szCs w:val="21"/>
                <w:highlight w:val="none"/>
              </w:rPr>
              <w:t>长春高速2026年养护专项投标保证金”</w:t>
            </w:r>
            <w:r>
              <w:rPr>
                <w:rFonts w:hint="eastAsia" w:ascii="宋体" w:hAnsi="宋体" w:cs="宋体"/>
                <w:kern w:val="0"/>
                <w:szCs w:val="21"/>
                <w:highlight w:val="none"/>
              </w:rPr>
              <w:t xml:space="preserve"> </w:t>
            </w:r>
          </w:p>
          <w:p w14:paraId="05EDD600">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若采用电子保函或保单，应</w:t>
            </w:r>
            <w:r>
              <w:rPr>
                <w:rFonts w:hint="eastAsia" w:ascii="宋体" w:hAnsi="宋体"/>
                <w:kern w:val="0"/>
                <w:szCs w:val="18"/>
                <w:highlight w:val="none"/>
              </w:rPr>
              <w:t>符合吉林省政务服务和数字化建 设管理局发布的“关于调整吉林省公共资源交易一体化平台电子保函担保业务的公告”规定。</w:t>
            </w:r>
          </w:p>
          <w:p w14:paraId="103761AB">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cs="宋体"/>
                <w:kern w:val="0"/>
                <w:szCs w:val="21"/>
                <w:highlight w:val="none"/>
              </w:rPr>
              <w:t>□不要求</w:t>
            </w:r>
          </w:p>
        </w:tc>
      </w:tr>
      <w:tr w14:paraId="0D80AA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696" w:hRule="atLeast"/>
          <w:jc w:val="center"/>
        </w:trPr>
        <w:tc>
          <w:tcPr>
            <w:tcW w:w="1072" w:type="dxa"/>
            <w:tcBorders>
              <w:tl2br w:val="nil"/>
              <w:tr2bl w:val="nil"/>
            </w:tcBorders>
            <w:vAlign w:val="center"/>
          </w:tcPr>
          <w:p w14:paraId="282070B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3.4.3</w:t>
            </w:r>
          </w:p>
        </w:tc>
        <w:tc>
          <w:tcPr>
            <w:tcW w:w="2251" w:type="dxa"/>
            <w:tcBorders>
              <w:tl2br w:val="nil"/>
              <w:tr2bl w:val="nil"/>
            </w:tcBorders>
            <w:vAlign w:val="center"/>
          </w:tcPr>
          <w:p w14:paraId="7F91A832">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投标保证金的返还及利息计算原则</w:t>
            </w:r>
          </w:p>
        </w:tc>
        <w:tc>
          <w:tcPr>
            <w:tcW w:w="6585" w:type="dxa"/>
            <w:tcBorders>
              <w:tl2br w:val="nil"/>
              <w:tr2bl w:val="nil"/>
            </w:tcBorders>
            <w:vAlign w:val="center"/>
          </w:tcPr>
          <w:p w14:paraId="11EE8672">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利息计算原则如下：</w:t>
            </w:r>
          </w:p>
          <w:p w14:paraId="06A875B2">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kern w:val="0"/>
                <w:szCs w:val="21"/>
                <w:highlight w:val="none"/>
                <w:lang w:val="zh-CN"/>
              </w:rPr>
            </w:pPr>
            <w:r>
              <w:rPr>
                <w:rFonts w:ascii="宋体" w:hAnsi="宋体"/>
                <w:kern w:val="0"/>
                <w:szCs w:val="21"/>
                <w:highlight w:val="none"/>
                <w:lang w:val="zh-CN"/>
              </w:rPr>
              <w:t>(1)计算利息的起始日期为投标截止当日，终止日期为招标人退还投标保证金日期的前一日；</w:t>
            </w:r>
          </w:p>
          <w:p w14:paraId="07B7DC93">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kern w:val="0"/>
                <w:szCs w:val="21"/>
                <w:highlight w:val="none"/>
                <w:lang w:val="zh-CN"/>
              </w:rPr>
            </w:pPr>
            <w:r>
              <w:rPr>
                <w:rFonts w:ascii="宋体" w:hAnsi="宋体"/>
                <w:kern w:val="0"/>
                <w:szCs w:val="21"/>
                <w:highlight w:val="none"/>
                <w:lang w:val="zh-CN"/>
              </w:rPr>
              <w:t>(2)投标保证金的利息按照第(1)款所述计息时间段内招标人指定汇入银行公告的活期存款利率计付，并扣除招标人汇款手续费；</w:t>
            </w:r>
          </w:p>
          <w:p w14:paraId="33959BA4">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ascii="宋体" w:hAnsi="宋体"/>
                <w:kern w:val="0"/>
                <w:szCs w:val="21"/>
                <w:highlight w:val="none"/>
                <w:lang w:val="zh-CN"/>
              </w:rPr>
              <w:t>(3)利息金额计算至分位，分以下尾数四舍五入。</w:t>
            </w:r>
          </w:p>
        </w:tc>
      </w:tr>
      <w:tr w14:paraId="27777B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81" w:hRule="atLeast"/>
          <w:jc w:val="center"/>
        </w:trPr>
        <w:tc>
          <w:tcPr>
            <w:tcW w:w="1072" w:type="dxa"/>
            <w:tcBorders>
              <w:tl2br w:val="nil"/>
              <w:tr2bl w:val="nil"/>
            </w:tcBorders>
            <w:vAlign w:val="center"/>
          </w:tcPr>
          <w:p w14:paraId="1C25A4F0">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3.4.4</w:t>
            </w:r>
          </w:p>
        </w:tc>
        <w:tc>
          <w:tcPr>
            <w:tcW w:w="2251" w:type="dxa"/>
            <w:tcBorders>
              <w:tl2br w:val="nil"/>
              <w:tr2bl w:val="nil"/>
            </w:tcBorders>
            <w:vAlign w:val="center"/>
          </w:tcPr>
          <w:p w14:paraId="6B354794">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其他可以不予退还投标保证金情形</w:t>
            </w:r>
          </w:p>
        </w:tc>
        <w:tc>
          <w:tcPr>
            <w:tcW w:w="6585" w:type="dxa"/>
            <w:tcBorders>
              <w:tl2br w:val="nil"/>
              <w:tr2bl w:val="nil"/>
            </w:tcBorders>
            <w:vAlign w:val="center"/>
          </w:tcPr>
          <w:p w14:paraId="7607E209">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szCs w:val="21"/>
                <w:highlight w:val="none"/>
              </w:rPr>
              <w:t>/</w:t>
            </w:r>
          </w:p>
        </w:tc>
      </w:tr>
      <w:tr w14:paraId="55F543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072" w:type="dxa"/>
            <w:tcBorders>
              <w:tl2br w:val="nil"/>
              <w:tr2bl w:val="nil"/>
            </w:tcBorders>
            <w:vAlign w:val="center"/>
          </w:tcPr>
          <w:p w14:paraId="2DC66CFF">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3.5</w:t>
            </w:r>
          </w:p>
        </w:tc>
        <w:tc>
          <w:tcPr>
            <w:tcW w:w="2251" w:type="dxa"/>
            <w:tcBorders>
              <w:tl2br w:val="nil"/>
              <w:tr2bl w:val="nil"/>
            </w:tcBorders>
            <w:vAlign w:val="center"/>
          </w:tcPr>
          <w:p w14:paraId="30504429">
            <w:pPr>
              <w:pageBreakBefore w:val="0"/>
              <w:kinsoku/>
              <w:overflowPunct/>
              <w:topLinePunct w:val="0"/>
              <w:autoSpaceDE w:val="0"/>
              <w:autoSpaceDN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Times New Roman" w:hAnsi="宋体"/>
                <w:szCs w:val="21"/>
                <w:highlight w:val="none"/>
              </w:rPr>
              <w:t>资格审查资料</w:t>
            </w:r>
            <w:r>
              <w:rPr>
                <w:rFonts w:ascii="Times New Roman" w:hAnsi="宋体"/>
                <w:szCs w:val="21"/>
                <w:highlight w:val="none"/>
              </w:rPr>
              <w:br w:type="textWrapping"/>
            </w:r>
            <w:r>
              <w:rPr>
                <w:rFonts w:hint="eastAsia" w:ascii="Times New Roman" w:hAnsi="宋体"/>
                <w:szCs w:val="21"/>
                <w:highlight w:val="none"/>
              </w:rPr>
              <w:t>的特殊要求</w:t>
            </w:r>
          </w:p>
        </w:tc>
        <w:tc>
          <w:tcPr>
            <w:tcW w:w="6585" w:type="dxa"/>
            <w:tcBorders>
              <w:tl2br w:val="nil"/>
              <w:tr2bl w:val="nil"/>
            </w:tcBorders>
            <w:vAlign w:val="center"/>
          </w:tcPr>
          <w:p w14:paraId="1253A45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ascii="宋体" w:hAnsi="宋体" w:cs="Segoe UI Symbol"/>
                <w:szCs w:val="21"/>
                <w:highlight w:val="none"/>
              </w:rPr>
              <w:t>□无</w:t>
            </w:r>
            <w:r>
              <w:rPr>
                <w:rFonts w:ascii="宋体" w:hAnsi="宋体"/>
                <w:szCs w:val="21"/>
                <w:highlight w:val="none"/>
              </w:rPr>
              <w:t xml:space="preserve"> </w:t>
            </w:r>
          </w:p>
          <w:p w14:paraId="2DD4C0CD">
            <w:pPr>
              <w:pageBreakBefore w:val="0"/>
              <w:widowControl/>
              <w:kinsoku/>
              <w:overflowPunct/>
              <w:topLinePunct w:val="0"/>
              <w:bidi w:val="0"/>
              <w:spacing w:beforeAutospacing="0" w:afterAutospacing="0" w:line="360" w:lineRule="exact"/>
              <w:ind w:left="0" w:leftChars="0" w:right="0"/>
              <w:jc w:val="left"/>
              <w:textAlignment w:val="auto"/>
              <w:rPr>
                <w:rFonts w:hint="eastAsia" w:ascii="楷体" w:hAnsi="楷体" w:eastAsia="楷体"/>
                <w:szCs w:val="21"/>
                <w:highlight w:val="none"/>
              </w:rPr>
            </w:pPr>
            <w:r>
              <w:rPr>
                <w:rFonts w:ascii="Segoe UI Symbol" w:hAnsi="Segoe UI Symbol" w:cs="Segoe UI Symbol"/>
                <w:szCs w:val="21"/>
                <w:highlight w:val="none"/>
              </w:rPr>
              <w:t>☑</w:t>
            </w:r>
            <w:r>
              <w:rPr>
                <w:rFonts w:ascii="宋体" w:hAnsi="宋体" w:cs="Segoe UI Symbol"/>
                <w:szCs w:val="21"/>
                <w:highlight w:val="none"/>
              </w:rPr>
              <w:t>有</w:t>
            </w:r>
            <w:r>
              <w:rPr>
                <w:rFonts w:ascii="宋体" w:hAnsi="宋体"/>
                <w:szCs w:val="21"/>
                <w:highlight w:val="none"/>
              </w:rPr>
              <w:t>，投标人须按招标文件要求提供资格审查资料，以证明其满足本章第 1.4款规定的资质、财务、业绩、信誉等要求。招标文件中要求投标人提供的各类证照复印件均指彩色扫描件，其他资料的复印件可为彩色</w:t>
            </w:r>
            <w:r>
              <w:rPr>
                <w:rFonts w:hint="eastAsia" w:ascii="宋体" w:hAnsi="宋体"/>
                <w:szCs w:val="21"/>
                <w:highlight w:val="none"/>
              </w:rPr>
              <w:t>扫描件或</w:t>
            </w:r>
            <w:r>
              <w:rPr>
                <w:rFonts w:ascii="宋体" w:hAnsi="宋体"/>
                <w:szCs w:val="21"/>
                <w:highlight w:val="none"/>
              </w:rPr>
              <w:t>黑白</w:t>
            </w:r>
            <w:r>
              <w:rPr>
                <w:rFonts w:hint="eastAsia" w:ascii="宋体" w:hAnsi="宋体"/>
                <w:szCs w:val="21"/>
                <w:highlight w:val="none"/>
              </w:rPr>
              <w:t>扫描件</w:t>
            </w:r>
            <w:r>
              <w:rPr>
                <w:rFonts w:ascii="宋体" w:hAnsi="宋体"/>
                <w:szCs w:val="21"/>
                <w:highlight w:val="none"/>
              </w:rPr>
              <w:t>。</w:t>
            </w:r>
          </w:p>
        </w:tc>
      </w:tr>
      <w:tr w14:paraId="67C929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14" w:hRule="atLeast"/>
          <w:jc w:val="center"/>
        </w:trPr>
        <w:tc>
          <w:tcPr>
            <w:tcW w:w="1072" w:type="dxa"/>
            <w:tcBorders>
              <w:tl2br w:val="nil"/>
              <w:tr2bl w:val="nil"/>
            </w:tcBorders>
            <w:vAlign w:val="center"/>
          </w:tcPr>
          <w:p w14:paraId="3D2A7257">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3.5.1</w:t>
            </w:r>
          </w:p>
        </w:tc>
        <w:tc>
          <w:tcPr>
            <w:tcW w:w="2251" w:type="dxa"/>
            <w:tcBorders>
              <w:tl2br w:val="nil"/>
              <w:tr2bl w:val="nil"/>
            </w:tcBorders>
            <w:vAlign w:val="center"/>
          </w:tcPr>
          <w:p w14:paraId="2071575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投标人基本情况</w:t>
            </w:r>
          </w:p>
          <w:p w14:paraId="37304F0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所附证明材料</w:t>
            </w:r>
          </w:p>
        </w:tc>
        <w:tc>
          <w:tcPr>
            <w:tcW w:w="6585" w:type="dxa"/>
            <w:tcBorders>
              <w:tl2br w:val="nil"/>
              <w:tr2bl w:val="nil"/>
            </w:tcBorders>
            <w:vAlign w:val="center"/>
          </w:tcPr>
          <w:p w14:paraId="53541EF3">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本项内容修改为：</w:t>
            </w:r>
          </w:p>
          <w:p w14:paraId="5D342997">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kern w:val="0"/>
                <w:szCs w:val="21"/>
                <w:highlight w:val="none"/>
                <w:lang w:val="zh-CN"/>
              </w:rPr>
              <w:t>3.5.1</w:t>
            </w:r>
            <w:r>
              <w:rPr>
                <w:rFonts w:ascii="宋体" w:hAnsi="宋体"/>
                <w:szCs w:val="21"/>
                <w:highlight w:val="none"/>
              </w:rPr>
              <w:t xml:space="preserve"> “投标人基本情况表”应附</w:t>
            </w:r>
            <w:r>
              <w:rPr>
                <w:rFonts w:hint="eastAsia" w:ascii="宋体" w:hAnsi="宋体"/>
                <w:szCs w:val="21"/>
                <w:highlight w:val="none"/>
              </w:rPr>
              <w:t>以下资料：</w:t>
            </w:r>
          </w:p>
          <w:p w14:paraId="352C737A">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（1）企业法人</w:t>
            </w:r>
            <w:r>
              <w:rPr>
                <w:rFonts w:ascii="宋体" w:hAnsi="宋体"/>
                <w:szCs w:val="21"/>
                <w:highlight w:val="none"/>
              </w:rPr>
              <w:t>营业执照</w:t>
            </w:r>
            <w:r>
              <w:rPr>
                <w:rFonts w:hint="eastAsia" w:ascii="宋体" w:hAnsi="宋体"/>
                <w:kern w:val="0"/>
                <w:szCs w:val="21"/>
                <w:highlight w:val="none"/>
                <w:lang w:val="zh-CN"/>
              </w:rPr>
              <w:t>副本</w:t>
            </w:r>
            <w:r>
              <w:rPr>
                <w:rFonts w:hint="eastAsia" w:ascii="宋体" w:hAnsi="宋体"/>
                <w:szCs w:val="21"/>
                <w:highlight w:val="none"/>
              </w:rPr>
              <w:t>或电子证书的复印件；</w:t>
            </w:r>
          </w:p>
          <w:p w14:paraId="0556DF33">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（2）施工资质证书副本或电子证书的复印件；</w:t>
            </w:r>
          </w:p>
          <w:p w14:paraId="70BD4CC4">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（3）安全生产许可证副本或电子证书的复印件；</w:t>
            </w:r>
          </w:p>
          <w:p w14:paraId="2936DF9C">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（4）基本账户开户许可证（或基本账户开户证明材料）；</w:t>
            </w:r>
          </w:p>
          <w:p w14:paraId="392D266F">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（5）投标人在国家企业信用信息公示系统中基础信息（体现股东及出资详细信息）的网页截图复印件。</w:t>
            </w:r>
          </w:p>
          <w:p w14:paraId="14284419">
            <w:pPr>
              <w:pageBreakBefore w:val="0"/>
              <w:widowControl/>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kern w:val="0"/>
                <w:szCs w:val="21"/>
                <w:highlight w:val="none"/>
                <w:lang w:val="zh-CN"/>
              </w:rPr>
              <w:t>企业法人营业执照副本、施工资质证书副本、安全生产许可证副本、基本账户开户许可证（或基本账户开户证明材料）的复印件应提供全本（证书封面、封底、空白页除外），应包括投标人名称、投标人其他相关信息、颁发机构名称、投标人信息变更情况等关键页在内。</w:t>
            </w:r>
          </w:p>
        </w:tc>
      </w:tr>
      <w:tr w14:paraId="6E4599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1072" w:type="dxa"/>
            <w:tcBorders>
              <w:tl2br w:val="nil"/>
              <w:tr2bl w:val="nil"/>
            </w:tcBorders>
            <w:vAlign w:val="center"/>
          </w:tcPr>
          <w:p w14:paraId="2B4648B5">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ascii="宋体" w:hAnsi="宋体"/>
                <w:szCs w:val="21"/>
                <w:highlight w:val="none"/>
              </w:rPr>
              <w:t>3.5.2</w:t>
            </w:r>
          </w:p>
        </w:tc>
        <w:tc>
          <w:tcPr>
            <w:tcW w:w="2251" w:type="dxa"/>
            <w:tcBorders>
              <w:tl2br w:val="nil"/>
              <w:tr2bl w:val="nil"/>
            </w:tcBorders>
            <w:vAlign w:val="center"/>
          </w:tcPr>
          <w:p w14:paraId="000A7A61">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Times New Roman" w:hAnsi="宋体"/>
                <w:szCs w:val="21"/>
                <w:highlight w:val="none"/>
              </w:rPr>
            </w:pPr>
            <w:r>
              <w:rPr>
                <w:rFonts w:hint="eastAsia" w:ascii="Times New Roman" w:hAnsi="宋体"/>
                <w:szCs w:val="21"/>
                <w:highlight w:val="none"/>
              </w:rPr>
              <w:t>投标人财务状况</w:t>
            </w:r>
          </w:p>
          <w:p w14:paraId="7C6B9C18">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ascii="Times New Roman" w:hAnsi="Times New Roman"/>
                <w:szCs w:val="21"/>
                <w:highlight w:val="none"/>
              </w:rPr>
            </w:pPr>
            <w:r>
              <w:rPr>
                <w:rFonts w:hint="eastAsia" w:ascii="Times New Roman" w:hAnsi="宋体"/>
                <w:szCs w:val="21"/>
                <w:highlight w:val="none"/>
              </w:rPr>
              <w:t>应附证明材料</w:t>
            </w:r>
          </w:p>
        </w:tc>
        <w:tc>
          <w:tcPr>
            <w:tcW w:w="6585" w:type="dxa"/>
            <w:tcBorders>
              <w:tl2br w:val="nil"/>
              <w:tr2bl w:val="nil"/>
            </w:tcBorders>
            <w:vAlign w:val="center"/>
          </w:tcPr>
          <w:p w14:paraId="171A4CB7">
            <w:pPr>
              <w:pageBreakBefore w:val="0"/>
              <w:kinsoku/>
              <w:overflowPunct/>
              <w:topLinePunct w:val="0"/>
              <w:autoSpaceDE w:val="0"/>
              <w:autoSpaceDN w:val="0"/>
              <w:bidi w:val="0"/>
              <w:adjustRightInd w:val="0"/>
              <w:snapToGrid w:val="0"/>
              <w:spacing w:beforeAutospacing="0" w:afterAutospacing="0" w:line="360" w:lineRule="exact"/>
              <w:ind w:left="0" w:leftChars="0" w:right="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本项修改为：</w:t>
            </w:r>
          </w:p>
          <w:p w14:paraId="03F75EDA">
            <w:pPr>
              <w:pageBreakBefore w:val="0"/>
              <w:kinsoku/>
              <w:overflowPunct/>
              <w:topLinePunct w:val="0"/>
              <w:autoSpaceDE w:val="0"/>
              <w:autoSpaceDN w:val="0"/>
              <w:bidi w:val="0"/>
              <w:adjustRightInd w:val="0"/>
              <w:snapToGrid w:val="0"/>
              <w:spacing w:beforeAutospacing="0" w:afterAutospacing="0" w:line="360" w:lineRule="exact"/>
              <w:ind w:left="0" w:leftChars="0" w:right="0"/>
              <w:jc w:val="left"/>
              <w:textAlignment w:val="auto"/>
              <w:rPr>
                <w:rFonts w:hint="eastAsia" w:ascii="宋体" w:hAnsi="宋体"/>
                <w:kern w:val="0"/>
                <w:szCs w:val="21"/>
                <w:highlight w:val="none"/>
                <w:lang w:val="zh-CN"/>
              </w:rPr>
            </w:pPr>
            <w:r>
              <w:rPr>
                <w:rFonts w:hint="eastAsia" w:ascii="宋体" w:hAnsi="宋体"/>
                <w:kern w:val="0"/>
                <w:szCs w:val="21"/>
                <w:highlight w:val="none"/>
                <w:lang w:val="zh-CN"/>
              </w:rPr>
              <w:t>3</w:t>
            </w:r>
            <w:r>
              <w:rPr>
                <w:rFonts w:ascii="宋体" w:hAnsi="宋体"/>
                <w:kern w:val="0"/>
                <w:szCs w:val="21"/>
                <w:highlight w:val="none"/>
                <w:lang w:val="zh-CN"/>
              </w:rPr>
              <w:t>.5.2</w:t>
            </w:r>
            <w:r>
              <w:rPr>
                <w:rFonts w:hint="eastAsia" w:ascii="宋体" w:hAnsi="宋体"/>
                <w:kern w:val="0"/>
                <w:szCs w:val="21"/>
                <w:highlight w:val="none"/>
                <w:lang w:val="zh-CN"/>
              </w:rPr>
              <w:t>“投标人财务状况”应附</w:t>
            </w:r>
            <w:r>
              <w:rPr>
                <w:rFonts w:hint="eastAsia" w:ascii="宋体" w:hAnsi="宋体"/>
                <w:b/>
                <w:bCs/>
                <w:kern w:val="0"/>
                <w:szCs w:val="21"/>
                <w:highlight w:val="none"/>
                <w:lang w:val="zh-CN"/>
              </w:rPr>
              <w:t>财务状况承诺函（须加盖承诺单位的单位章后上传彩色扫描件或使用CA数字证书加盖承诺单位电子印章）。</w:t>
            </w:r>
            <w:r>
              <w:rPr>
                <w:rFonts w:hint="eastAsia" w:ascii="宋体" w:hAnsi="宋体"/>
                <w:kern w:val="0"/>
                <w:szCs w:val="21"/>
                <w:highlight w:val="none"/>
                <w:lang w:val="zh-CN"/>
              </w:rPr>
              <w:t>除财务状况承诺函外，投标人无须再提供任何财务证明材料。</w:t>
            </w:r>
          </w:p>
          <w:p w14:paraId="47504A77">
            <w:pPr>
              <w:pageBreakBefore w:val="0"/>
              <w:kinsoku/>
              <w:overflowPunct/>
              <w:topLinePunct w:val="0"/>
              <w:autoSpaceDE w:val="0"/>
              <w:autoSpaceDN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p>
        </w:tc>
      </w:tr>
      <w:tr w14:paraId="1AAC5F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55" w:hRule="atLeast"/>
          <w:jc w:val="center"/>
        </w:trPr>
        <w:tc>
          <w:tcPr>
            <w:tcW w:w="1072" w:type="dxa"/>
            <w:tcBorders>
              <w:tl2br w:val="nil"/>
              <w:tr2bl w:val="nil"/>
            </w:tcBorders>
            <w:vAlign w:val="center"/>
          </w:tcPr>
          <w:p w14:paraId="7F2E61F2">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3.5.3</w:t>
            </w:r>
          </w:p>
        </w:tc>
        <w:tc>
          <w:tcPr>
            <w:tcW w:w="2251" w:type="dxa"/>
            <w:tcBorders>
              <w:tl2br w:val="nil"/>
              <w:tr2bl w:val="nil"/>
            </w:tcBorders>
            <w:vAlign w:val="center"/>
          </w:tcPr>
          <w:p w14:paraId="31708D1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近年完成类似项目的要求</w:t>
            </w:r>
          </w:p>
        </w:tc>
        <w:tc>
          <w:tcPr>
            <w:tcW w:w="6585" w:type="dxa"/>
            <w:tcBorders>
              <w:tl2br w:val="nil"/>
              <w:tr2bl w:val="nil"/>
            </w:tcBorders>
            <w:vAlign w:val="center"/>
          </w:tcPr>
          <w:p w14:paraId="45E218F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本项内容修改为：</w:t>
            </w:r>
          </w:p>
          <w:p w14:paraId="0DE421C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近年</w:t>
            </w:r>
            <w:r>
              <w:rPr>
                <w:rFonts w:ascii="宋体" w:hAnsi="宋体"/>
                <w:szCs w:val="21"/>
                <w:highlight w:val="none"/>
              </w:rPr>
              <w:t>完成的类似项目”应附</w:t>
            </w:r>
            <w:r>
              <w:rPr>
                <w:rFonts w:hint="eastAsia" w:ascii="宋体" w:hAnsi="宋体"/>
                <w:szCs w:val="21"/>
                <w:highlight w:val="none"/>
              </w:rPr>
              <w:t>2021年1月1日后（两阶段验收工程以交工时间为准，一阶段验收工程以交工或竣工时间为准）已完成的高速公路养护工程施工业绩的下述资料的复印件</w:t>
            </w:r>
            <w:r>
              <w:rPr>
                <w:rFonts w:hint="eastAsia" w:ascii="宋体" w:hAnsi="宋体"/>
                <w:szCs w:val="21"/>
                <w:highlight w:val="none"/>
              </w:rPr>
              <w:t>：</w:t>
            </w:r>
          </w:p>
          <w:p w14:paraId="03F1BB86">
            <w:pPr>
              <w:pStyle w:val="26"/>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hAnsi="宋体"/>
                <w:highlight w:val="none"/>
              </w:rPr>
            </w:pPr>
            <w:r>
              <w:rPr>
                <w:rFonts w:hAnsi="宋体"/>
                <w:highlight w:val="none"/>
              </w:rPr>
              <w:t>1.</w:t>
            </w:r>
            <w:r>
              <w:rPr>
                <w:rFonts w:hint="eastAsia" w:hAnsi="宋体"/>
                <w:highlight w:val="none"/>
              </w:rPr>
              <w:t>若列入交通运输部“全国公路建设市场监督管理系统”或省级交通运输主管部门“公路建设市场信用信息管理系统”已完成业绩，需附网页截图，若不能查找出满足招标文件要求的数据和内容时，投标人应补充相应的项目法人出具的证明材料。</w:t>
            </w:r>
          </w:p>
          <w:p w14:paraId="6BB3B56E">
            <w:pPr>
              <w:pStyle w:val="26"/>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hAnsi="宋体"/>
                <w:highlight w:val="none"/>
              </w:rPr>
            </w:pPr>
            <w:r>
              <w:rPr>
                <w:rFonts w:hAnsi="宋体"/>
                <w:highlight w:val="none"/>
              </w:rPr>
              <w:t>2.</w:t>
            </w:r>
            <w:r>
              <w:rPr>
                <w:rFonts w:hint="eastAsia" w:hAnsi="宋体"/>
                <w:highlight w:val="none"/>
              </w:rPr>
              <w:t>若未列入交通运输部“全国公路建设市场监督管理系统”或省级交通运输主管部门“公路建设市场信用信息管理系统”已完成业绩，需附合同协议书及交（竣）工验收证书（两阶段验收工程以交工时间为准，一阶段验收工程以交工或竣工时间为准）的复印件。若不能查找出满足招标文件要求的数据和内容时，投标人应补充相应的项目法人出具的证明材料。</w:t>
            </w:r>
          </w:p>
          <w:p w14:paraId="68442E2D">
            <w:pPr>
              <w:pStyle w:val="26"/>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hAnsi="宋体"/>
                <w:highlight w:val="none"/>
              </w:rPr>
            </w:pPr>
            <w:r>
              <w:rPr>
                <w:rFonts w:hint="eastAsia" w:hAnsi="宋体"/>
                <w:highlight w:val="none"/>
              </w:rPr>
              <w:t>投标人填报某项业绩提供的证明材料不符合以上要求时，则该项业绩视为无效业绩，不作为评审依据。</w:t>
            </w:r>
          </w:p>
        </w:tc>
      </w:tr>
      <w:tr w14:paraId="415D8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16" w:hRule="atLeast"/>
          <w:jc w:val="center"/>
        </w:trPr>
        <w:tc>
          <w:tcPr>
            <w:tcW w:w="1072" w:type="dxa"/>
            <w:tcBorders>
              <w:tl2br w:val="nil"/>
              <w:tr2bl w:val="nil"/>
            </w:tcBorders>
            <w:vAlign w:val="center"/>
          </w:tcPr>
          <w:p w14:paraId="61E6BA9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3.5.4</w:t>
            </w:r>
          </w:p>
        </w:tc>
        <w:tc>
          <w:tcPr>
            <w:tcW w:w="2251" w:type="dxa"/>
            <w:tcBorders>
              <w:tl2br w:val="nil"/>
              <w:tr2bl w:val="nil"/>
            </w:tcBorders>
            <w:vAlign w:val="center"/>
          </w:tcPr>
          <w:p w14:paraId="6B90FEC1">
            <w:pPr>
              <w:keepLines/>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投标人的</w:t>
            </w:r>
          </w:p>
          <w:p w14:paraId="348A3264">
            <w:pPr>
              <w:keepLines/>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信誉情况</w:t>
            </w:r>
          </w:p>
        </w:tc>
        <w:tc>
          <w:tcPr>
            <w:tcW w:w="6585" w:type="dxa"/>
            <w:tcBorders>
              <w:tl2br w:val="nil"/>
              <w:tr2bl w:val="nil"/>
            </w:tcBorders>
            <w:vAlign w:val="center"/>
          </w:tcPr>
          <w:p w14:paraId="34BBFEF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本项内容修改为：</w:t>
            </w:r>
          </w:p>
          <w:p w14:paraId="2B31455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 xml:space="preserve"> “投标人的信誉情况表”应附以下资料的复印件：</w:t>
            </w:r>
          </w:p>
          <w:p w14:paraId="1C3ECF63">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1）投标人在国家企业信用信息公示系统中未被列入严重违法失信企业名单的网页截图复印件；</w:t>
            </w:r>
          </w:p>
          <w:p w14:paraId="30A6D13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ascii="宋体" w:hAnsi="宋体"/>
                <w:szCs w:val="21"/>
                <w:highlight w:val="none"/>
              </w:rPr>
              <w:t>（</w:t>
            </w:r>
            <w:r>
              <w:rPr>
                <w:rFonts w:hint="eastAsia" w:ascii="宋体" w:hAnsi="宋体"/>
                <w:szCs w:val="21"/>
                <w:highlight w:val="none"/>
              </w:rPr>
              <w:t>2）投标人在“信用中国”网站中未被列入失信被执行人的网页截图复印件；</w:t>
            </w:r>
          </w:p>
          <w:p w14:paraId="274496B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b/>
                <w:bCs/>
                <w:szCs w:val="21"/>
                <w:highlight w:val="none"/>
              </w:rPr>
            </w:pPr>
            <w:r>
              <w:rPr>
                <w:rFonts w:ascii="宋体" w:hAnsi="宋体"/>
                <w:szCs w:val="21"/>
                <w:highlight w:val="none"/>
              </w:rPr>
              <w:t>（</w:t>
            </w:r>
            <w:r>
              <w:rPr>
                <w:rFonts w:hint="eastAsia" w:ascii="宋体" w:hAnsi="宋体"/>
                <w:szCs w:val="21"/>
                <w:highlight w:val="none"/>
              </w:rPr>
              <w:t>3）由投标人出具的近三年内投标人及其法定代表人、拟委任的项目经理均无行贿犯罪行为的书面承诺并加盖投标人单位章（</w:t>
            </w:r>
            <w:r>
              <w:rPr>
                <w:rFonts w:hint="eastAsia" w:ascii="宋体" w:hAnsi="宋体"/>
                <w:b/>
                <w:bCs/>
                <w:szCs w:val="21"/>
                <w:highlight w:val="none"/>
              </w:rPr>
              <w:t>格式自拟，须加盖承诺单位的单位章后上传彩色扫描件或使用CA数字证书加盖承诺单位电子印章）。</w:t>
            </w:r>
          </w:p>
          <w:p w14:paraId="0AB448E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4）若投标人在投标截止时间前有评标办法前附表2.2.4（4）目所述的信用评价结果，应附相应网页截图或证明材料复印件；若投标人在投标截止时间前无评标办法前附表2.2.4（4）目所述的信用评价结果，应附在“全国公路建设市场监督管理系统--不良行为记录”查询的网页截图复印件。</w:t>
            </w:r>
          </w:p>
        </w:tc>
      </w:tr>
      <w:tr w14:paraId="5320B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7" w:hRule="atLeast"/>
          <w:jc w:val="center"/>
        </w:trPr>
        <w:tc>
          <w:tcPr>
            <w:tcW w:w="1072" w:type="dxa"/>
            <w:tcBorders>
              <w:tl2br w:val="nil"/>
              <w:tr2bl w:val="nil"/>
            </w:tcBorders>
            <w:vAlign w:val="center"/>
          </w:tcPr>
          <w:p w14:paraId="3B5CF9F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3.5.5</w:t>
            </w:r>
          </w:p>
        </w:tc>
        <w:tc>
          <w:tcPr>
            <w:tcW w:w="2251" w:type="dxa"/>
            <w:tcBorders>
              <w:tl2br w:val="nil"/>
              <w:tr2bl w:val="nil"/>
            </w:tcBorders>
            <w:vAlign w:val="center"/>
          </w:tcPr>
          <w:p w14:paraId="78EEA729">
            <w:pPr>
              <w:keepLines/>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拟委任的项目经理和项目总工资历</w:t>
            </w:r>
          </w:p>
        </w:tc>
        <w:tc>
          <w:tcPr>
            <w:tcW w:w="6585" w:type="dxa"/>
            <w:tcBorders>
              <w:tl2br w:val="nil"/>
              <w:tr2bl w:val="nil"/>
            </w:tcBorders>
            <w:vAlign w:val="center"/>
          </w:tcPr>
          <w:p w14:paraId="768FCAB3">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本款修改为：</w:t>
            </w:r>
          </w:p>
          <w:p w14:paraId="05602A2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“拟委任的项目经理和项目总工资历表”应附项目经理和项目总工的以下资料：</w:t>
            </w:r>
          </w:p>
          <w:p w14:paraId="553D7D5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（1）身份证、职称资格证书（</w:t>
            </w:r>
            <w:r>
              <w:rPr>
                <w:rFonts w:hint="eastAsia" w:ascii="黑体" w:hAnsi="黑体" w:eastAsia="黑体" w:cs="黑体"/>
                <w:szCs w:val="21"/>
                <w:highlight w:val="none"/>
              </w:rPr>
              <w:t>如职称资格证书上无专业时，应提供毕业证书复印件</w:t>
            </w:r>
            <w:r>
              <w:rPr>
                <w:rFonts w:hint="eastAsia" w:ascii="宋体" w:hAnsi="宋体"/>
                <w:szCs w:val="21"/>
                <w:highlight w:val="none"/>
              </w:rPr>
              <w:t>）以及资格审查条件所要求的其他相关证书（如建造师注册证书、安全生产考核合格证书等）的复印件；</w:t>
            </w:r>
          </w:p>
          <w:p w14:paraId="32FD8F40">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（2）建造师注册证书、安全生产考核合格证书在政府相关部门网站上公开信息的网页截图复印件；</w:t>
            </w:r>
          </w:p>
          <w:p w14:paraId="446D69A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（3）投标人社保系统打印的本单位人员缴费明细复印件</w:t>
            </w:r>
            <w:r>
              <w:rPr>
                <w:rFonts w:hint="eastAsia" w:ascii="宋体" w:hAnsi="宋体"/>
                <w:color w:val="000000"/>
                <w:szCs w:val="21"/>
                <w:highlight w:val="none"/>
              </w:rPr>
              <w:t>（</w:t>
            </w:r>
            <w:r>
              <w:rPr>
                <w:rFonts w:hint="eastAsia" w:ascii="宋体" w:hAnsi="宋体"/>
                <w:szCs w:val="21"/>
                <w:highlight w:val="none"/>
                <w:u w:val="wave"/>
              </w:rPr>
              <w:t>人力资源服务机构等其他单位缴纳或个人缴纳社会保险不予认可）。</w:t>
            </w:r>
            <w:r>
              <w:rPr>
                <w:rFonts w:hint="eastAsia" w:ascii="宋体" w:hAnsi="宋体"/>
                <w:szCs w:val="21"/>
                <w:highlight w:val="none"/>
              </w:rPr>
              <w:t>如果投标人属事业法人单位，则由投标人的上级行政主管部门出具拟委任的项目经理和项目总工是投标人单位职工的有效书面证明材料，书面证明材料必须加盖上级行政主管部门单位章或人事专用章，不得使用电子制版印章；</w:t>
            </w:r>
            <w:r>
              <w:rPr>
                <w:rFonts w:ascii="黑体" w:hAnsi="黑体" w:eastAsia="黑体"/>
                <w:color w:val="000000"/>
                <w:szCs w:val="21"/>
                <w:highlight w:val="none"/>
                <w:lang w:val="zh-CN"/>
              </w:rPr>
              <w:t>退休人员不予认可</w:t>
            </w:r>
            <w:r>
              <w:rPr>
                <w:rFonts w:hint="eastAsia" w:ascii="黑体" w:hAnsi="黑体" w:eastAsia="黑体"/>
                <w:color w:val="000000"/>
                <w:szCs w:val="21"/>
                <w:highlight w:val="none"/>
                <w:lang w:val="zh-CN"/>
              </w:rPr>
              <w:t>。</w:t>
            </w:r>
          </w:p>
          <w:p w14:paraId="3507E892">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4）“拟委任的项目经理和项目总工资历表”还应附交通运输部“全国公路建设市场监督管理系统”中载明的、能够证明项目经理和项目总工具有相关业绩的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若无上述网页截图复印件，投标人需附合同协议书及交（竣）工验收证书（两阶段验收工程以交工时间为准，一阶段验收工程以交工或竣工时间为准）的复印件，若不能查找出满足招标文件要求的数据和内容时，投标人应补充相应的项目法人出具的证明材料。</w:t>
            </w:r>
          </w:p>
          <w:p w14:paraId="347A4E7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（5）如项目经理或项目总工目前仍在其他项目上任职，则投标人应提供上述人员能够从该项目撤离的书面承诺，需加盖投标人单位章（格式自拟）。</w:t>
            </w:r>
          </w:p>
        </w:tc>
      </w:tr>
      <w:tr w14:paraId="4C2FED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1072" w:type="dxa"/>
            <w:tcBorders>
              <w:tl2br w:val="nil"/>
              <w:tr2bl w:val="nil"/>
            </w:tcBorders>
            <w:vAlign w:val="center"/>
          </w:tcPr>
          <w:p w14:paraId="7825A95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w:t>
            </w:r>
            <w:r>
              <w:rPr>
                <w:rFonts w:ascii="宋体" w:hAnsi="宋体"/>
                <w:szCs w:val="21"/>
                <w:highlight w:val="none"/>
              </w:rPr>
              <w:t>.5.8</w:t>
            </w:r>
          </w:p>
        </w:tc>
        <w:tc>
          <w:tcPr>
            <w:tcW w:w="2251" w:type="dxa"/>
            <w:tcBorders>
              <w:tl2br w:val="nil"/>
              <w:tr2bl w:val="nil"/>
            </w:tcBorders>
            <w:vAlign w:val="center"/>
          </w:tcPr>
          <w:p w14:paraId="57DF61B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联合体投标所附资料</w:t>
            </w:r>
          </w:p>
        </w:tc>
        <w:tc>
          <w:tcPr>
            <w:tcW w:w="6585" w:type="dxa"/>
            <w:tcBorders>
              <w:tl2br w:val="nil"/>
              <w:tr2bl w:val="nil"/>
            </w:tcBorders>
            <w:vAlign w:val="center"/>
          </w:tcPr>
          <w:p w14:paraId="2FB4F53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本招标项目接受联合体投标，本章第3.5.1项至第3.5.7项规定的表格和资料应包括联合体各方相关情况。</w:t>
            </w:r>
          </w:p>
        </w:tc>
      </w:tr>
      <w:tr w14:paraId="25D478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1072" w:type="dxa"/>
            <w:tcBorders>
              <w:tl2br w:val="nil"/>
              <w:tr2bl w:val="nil"/>
            </w:tcBorders>
            <w:vAlign w:val="center"/>
          </w:tcPr>
          <w:p w14:paraId="2986570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3.6.1</w:t>
            </w:r>
          </w:p>
        </w:tc>
        <w:tc>
          <w:tcPr>
            <w:tcW w:w="2251" w:type="dxa"/>
            <w:tcBorders>
              <w:tl2br w:val="nil"/>
              <w:tr2bl w:val="nil"/>
            </w:tcBorders>
            <w:vAlign w:val="center"/>
          </w:tcPr>
          <w:p w14:paraId="21C687C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是否允许递交备选</w:t>
            </w:r>
          </w:p>
          <w:p w14:paraId="5853D96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投标方案</w:t>
            </w:r>
          </w:p>
        </w:tc>
        <w:tc>
          <w:tcPr>
            <w:tcW w:w="6585" w:type="dxa"/>
            <w:tcBorders>
              <w:tl2br w:val="nil"/>
              <w:tr2bl w:val="nil"/>
            </w:tcBorders>
            <w:vAlign w:val="center"/>
          </w:tcPr>
          <w:p w14:paraId="23C709E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u w:val="single"/>
              </w:rPr>
            </w:pPr>
            <w:r>
              <w:rPr>
                <w:rFonts w:ascii="宋体" w:hAnsi="宋体"/>
                <w:szCs w:val="21"/>
                <w:highlight w:val="none"/>
              </w:rPr>
              <w:t>不允许</w:t>
            </w:r>
          </w:p>
        </w:tc>
      </w:tr>
      <w:tr w14:paraId="704D63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74" w:hRule="atLeast"/>
          <w:jc w:val="center"/>
        </w:trPr>
        <w:tc>
          <w:tcPr>
            <w:tcW w:w="1072" w:type="dxa"/>
            <w:tcBorders>
              <w:tl2br w:val="nil"/>
              <w:tr2bl w:val="nil"/>
            </w:tcBorders>
            <w:vAlign w:val="center"/>
          </w:tcPr>
          <w:p w14:paraId="63238BED">
            <w:pPr>
              <w:pageBreakBefore w:val="0"/>
              <w:kinsoku/>
              <w:overflowPunct/>
              <w:topLinePunct w:val="0"/>
              <w:bidi w:val="0"/>
              <w:spacing w:beforeAutospacing="0" w:afterAutospacing="0" w:line="360" w:lineRule="exact"/>
              <w:ind w:left="0" w:leftChars="0" w:right="0"/>
              <w:contextualSpacing/>
              <w:jc w:val="center"/>
              <w:textAlignment w:val="auto"/>
              <w:rPr>
                <w:rFonts w:hint="eastAsia" w:ascii="宋体" w:hAnsi="宋体"/>
                <w:szCs w:val="21"/>
                <w:highlight w:val="none"/>
              </w:rPr>
            </w:pPr>
            <w:r>
              <w:rPr>
                <w:rFonts w:hint="eastAsia" w:ascii="宋体" w:hAnsi="宋体"/>
                <w:szCs w:val="21"/>
                <w:highlight w:val="none"/>
              </w:rPr>
              <w:t>3</w:t>
            </w:r>
            <w:r>
              <w:rPr>
                <w:rFonts w:ascii="宋体" w:hAnsi="宋体"/>
                <w:szCs w:val="21"/>
                <w:highlight w:val="none"/>
              </w:rPr>
              <w:t>.7.3</w:t>
            </w:r>
          </w:p>
        </w:tc>
        <w:tc>
          <w:tcPr>
            <w:tcW w:w="2251" w:type="dxa"/>
            <w:tcBorders>
              <w:tl2br w:val="nil"/>
              <w:tr2bl w:val="nil"/>
            </w:tcBorders>
            <w:vAlign w:val="center"/>
          </w:tcPr>
          <w:p w14:paraId="65BBF716">
            <w:pPr>
              <w:pageBreakBefore w:val="0"/>
              <w:kinsoku/>
              <w:overflowPunct/>
              <w:topLinePunct w:val="0"/>
              <w:bidi w:val="0"/>
              <w:spacing w:beforeAutospacing="0" w:afterAutospacing="0" w:line="360" w:lineRule="exact"/>
              <w:ind w:left="0" w:leftChars="0" w:right="0"/>
              <w:contextualSpacing/>
              <w:jc w:val="center"/>
              <w:textAlignment w:val="auto"/>
              <w:rPr>
                <w:rFonts w:hint="eastAsia" w:ascii="宋体" w:hAnsi="宋体"/>
                <w:szCs w:val="21"/>
                <w:highlight w:val="none"/>
              </w:rPr>
            </w:pPr>
            <w:r>
              <w:rPr>
                <w:rFonts w:hint="eastAsia" w:ascii="宋体" w:hAnsi="宋体"/>
                <w:szCs w:val="21"/>
                <w:highlight w:val="none"/>
              </w:rPr>
              <w:t>投标文件的制作</w:t>
            </w:r>
          </w:p>
        </w:tc>
        <w:tc>
          <w:tcPr>
            <w:tcW w:w="6585" w:type="dxa"/>
            <w:tcBorders>
              <w:tl2br w:val="nil"/>
              <w:tr2bl w:val="nil"/>
            </w:tcBorders>
            <w:vAlign w:val="center"/>
          </w:tcPr>
          <w:p w14:paraId="4930263D">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szCs w:val="21"/>
                <w:highlight w:val="none"/>
              </w:rPr>
            </w:pPr>
            <w:r>
              <w:rPr>
                <w:rFonts w:hint="eastAsia" w:ascii="楷体" w:hAnsi="楷体" w:eastAsia="楷体"/>
                <w:szCs w:val="21"/>
                <w:highlight w:val="none"/>
              </w:rPr>
              <w:t>本项第（3）目修改如下：</w:t>
            </w:r>
          </w:p>
          <w:p w14:paraId="5737DB82">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szCs w:val="21"/>
                <w:highlight w:val="none"/>
              </w:rPr>
            </w:pPr>
            <w:r>
              <w:rPr>
                <w:rFonts w:hint="eastAsia" w:ascii="楷体" w:hAnsi="楷体" w:eastAsia="楷体"/>
                <w:szCs w:val="21"/>
                <w:highlight w:val="none"/>
              </w:rPr>
              <w:t>（3）投标文件中证明资料的“复印件”均为“原件的扫描件”。</w:t>
            </w:r>
          </w:p>
          <w:p w14:paraId="14ECF2E8">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szCs w:val="21"/>
                <w:highlight w:val="none"/>
              </w:rPr>
            </w:pPr>
            <w:r>
              <w:rPr>
                <w:rFonts w:hint="eastAsia" w:ascii="楷体" w:hAnsi="楷体" w:eastAsia="楷体"/>
                <w:szCs w:val="21"/>
                <w:highlight w:val="none"/>
              </w:rPr>
              <w:t>本项第（5）目修改如下：</w:t>
            </w:r>
          </w:p>
          <w:p w14:paraId="612F583D">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（5）</w:t>
            </w:r>
            <w:r>
              <w:rPr>
                <w:rFonts w:hint="eastAsia" w:ascii="楷体" w:hAnsi="楷体" w:eastAsia="楷体"/>
                <w:szCs w:val="21"/>
                <w:highlight w:val="none"/>
              </w:rPr>
              <w:t>除招标文件有特殊说明外（如联合体协议书），</w:t>
            </w:r>
            <w:r>
              <w:rPr>
                <w:rFonts w:hint="eastAsia" w:ascii="宋体" w:hAnsi="宋体"/>
                <w:szCs w:val="21"/>
                <w:highlight w:val="none"/>
              </w:rPr>
              <w:t>第九章“投标文件格式”中要求盖投标人单位章和（或）法定代表人签字的地方，投标人均应使用CA数字证书加盖投标人的单位电子印章和（或）法定代表人的个人电子印章或电子签名章</w:t>
            </w:r>
            <w:r>
              <w:rPr>
                <w:rFonts w:hint="eastAsia" w:ascii="宋体" w:hAnsi="宋体"/>
                <w:b/>
                <w:bCs/>
                <w:szCs w:val="21"/>
                <w:highlight w:val="none"/>
              </w:rPr>
              <w:t>（无须法定代表人另行签字）</w:t>
            </w:r>
            <w:r>
              <w:rPr>
                <w:rFonts w:hint="eastAsia" w:ascii="宋体" w:hAnsi="宋体"/>
                <w:szCs w:val="21"/>
                <w:highlight w:val="none"/>
              </w:rPr>
              <w:t>。联合体投标的，投标文件由联合体牵头人按上述规定加盖联合体牵头人单位电子印章和（或）法定代表人的个人电子印章或电子签名章。</w:t>
            </w:r>
          </w:p>
          <w:p w14:paraId="45809127">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除第九章“投标文件格式”中明确要求盖单位章和（或）签字的地方外，投标人的其他电子签章（如有）宜尽量加盖在页面角落等不影响（遮盖）投标文件实质性内容的位置。因投标人电子签章影响（遮盖）投标文件实质性内容而导致的任何后果将由投标人自行承担。</w:t>
            </w:r>
          </w:p>
        </w:tc>
      </w:tr>
      <w:tr w14:paraId="1915A5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1072" w:type="dxa"/>
            <w:tcBorders>
              <w:tl2br w:val="nil"/>
              <w:tr2bl w:val="nil"/>
            </w:tcBorders>
            <w:vAlign w:val="center"/>
          </w:tcPr>
          <w:p w14:paraId="63E39A2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3.7.4</w:t>
            </w:r>
          </w:p>
        </w:tc>
        <w:tc>
          <w:tcPr>
            <w:tcW w:w="2251" w:type="dxa"/>
            <w:tcBorders>
              <w:tl2br w:val="nil"/>
              <w:tr2bl w:val="nil"/>
            </w:tcBorders>
            <w:vAlign w:val="center"/>
          </w:tcPr>
          <w:p w14:paraId="2D9DC97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投标文件副本份数</w:t>
            </w:r>
          </w:p>
          <w:p w14:paraId="1946F1B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及其他要求</w:t>
            </w:r>
          </w:p>
        </w:tc>
        <w:tc>
          <w:tcPr>
            <w:tcW w:w="6585" w:type="dxa"/>
            <w:tcBorders>
              <w:tl2br w:val="nil"/>
              <w:tr2bl w:val="nil"/>
            </w:tcBorders>
            <w:vAlign w:val="center"/>
          </w:tcPr>
          <w:p w14:paraId="51B49DC6">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cs="宋体"/>
                <w:szCs w:val="21"/>
                <w:highlight w:val="none"/>
              </w:rPr>
              <w:t>投标阶段仅提交电子投标文件（格式为**.***)，如中标再提供纸质投标文件（份数按发包人要求提供）。</w:t>
            </w:r>
          </w:p>
        </w:tc>
      </w:tr>
      <w:tr w14:paraId="2B1EBC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1072" w:type="dxa"/>
            <w:tcBorders>
              <w:tl2br w:val="nil"/>
              <w:tr2bl w:val="nil"/>
            </w:tcBorders>
            <w:vAlign w:val="center"/>
          </w:tcPr>
          <w:p w14:paraId="6E68A6D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4.2.3</w:t>
            </w:r>
          </w:p>
        </w:tc>
        <w:tc>
          <w:tcPr>
            <w:tcW w:w="2251" w:type="dxa"/>
            <w:tcBorders>
              <w:tl2br w:val="nil"/>
              <w:tr2bl w:val="nil"/>
            </w:tcBorders>
            <w:vAlign w:val="center"/>
          </w:tcPr>
          <w:p w14:paraId="3FD4F01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是否退还投标文件</w:t>
            </w:r>
          </w:p>
        </w:tc>
        <w:tc>
          <w:tcPr>
            <w:tcW w:w="6585" w:type="dxa"/>
            <w:tcBorders>
              <w:tl2br w:val="nil"/>
              <w:tr2bl w:val="nil"/>
            </w:tcBorders>
            <w:vAlign w:val="center"/>
          </w:tcPr>
          <w:p w14:paraId="670AF9D1">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szCs w:val="21"/>
                <w:highlight w:val="none"/>
              </w:rPr>
            </w:pPr>
            <w:r>
              <w:rPr>
                <w:rFonts w:hint="eastAsia" w:ascii="宋体" w:hAnsi="宋体"/>
                <w:szCs w:val="21"/>
                <w:highlight w:val="none"/>
              </w:rPr>
              <w:t>否</w:t>
            </w:r>
          </w:p>
        </w:tc>
      </w:tr>
      <w:tr w14:paraId="11EBBA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1072" w:type="dxa"/>
            <w:tcBorders>
              <w:tl2br w:val="nil"/>
              <w:tr2bl w:val="nil"/>
            </w:tcBorders>
            <w:vAlign w:val="center"/>
          </w:tcPr>
          <w:p w14:paraId="5540406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5.1</w:t>
            </w:r>
          </w:p>
        </w:tc>
        <w:tc>
          <w:tcPr>
            <w:tcW w:w="2251" w:type="dxa"/>
            <w:tcBorders>
              <w:tl2br w:val="nil"/>
              <w:tr2bl w:val="nil"/>
            </w:tcBorders>
            <w:vAlign w:val="center"/>
          </w:tcPr>
          <w:p w14:paraId="1CF297C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开标时间和地点</w:t>
            </w:r>
          </w:p>
        </w:tc>
        <w:tc>
          <w:tcPr>
            <w:tcW w:w="6585" w:type="dxa"/>
            <w:tcBorders>
              <w:tl2br w:val="nil"/>
              <w:tr2bl w:val="nil"/>
            </w:tcBorders>
            <w:vAlign w:val="center"/>
          </w:tcPr>
          <w:p w14:paraId="21B4FB78">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highlight w:val="none"/>
              </w:rPr>
            </w:pPr>
            <w:r>
              <w:rPr>
                <w:highlight w:val="none"/>
              </w:rPr>
              <w:t>投标文件第一个信封（商务及技术文件）开标时间：同投标截止时间</w:t>
            </w:r>
          </w:p>
          <w:p w14:paraId="371FE616">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highlight w:val="none"/>
              </w:rPr>
            </w:pPr>
            <w:r>
              <w:rPr>
                <w:highlight w:val="none"/>
              </w:rPr>
              <w:t>投标文件第一个信封（商务及技术文件）开标地点：同</w:t>
            </w:r>
            <w:r>
              <w:rPr>
                <w:rFonts w:hint="eastAsia"/>
                <w:highlight w:val="none"/>
              </w:rPr>
              <w:t>递交投标文件地点</w:t>
            </w:r>
          </w:p>
          <w:p w14:paraId="5DCABC5F">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highlight w:val="none"/>
              </w:rPr>
            </w:pPr>
            <w:r>
              <w:rPr>
                <w:highlight w:val="none"/>
              </w:rPr>
              <w:t>投标文件第二个信封（</w:t>
            </w:r>
            <w:r>
              <w:rPr>
                <w:rFonts w:hint="eastAsia"/>
                <w:highlight w:val="none"/>
              </w:rPr>
              <w:t>报价文件</w:t>
            </w:r>
            <w:r>
              <w:rPr>
                <w:highlight w:val="none"/>
              </w:rPr>
              <w:t>）开标时间：</w:t>
            </w:r>
            <w:r>
              <w:rPr>
                <w:rFonts w:hint="eastAsia"/>
                <w:highlight w:val="none"/>
              </w:rPr>
              <w:t>见第一章“招标公告”</w:t>
            </w:r>
          </w:p>
          <w:p w14:paraId="45A9754F">
            <w:pPr>
              <w:pageBreakBefore w:val="0"/>
              <w:kinsoku/>
              <w:overflowPunct/>
              <w:topLinePunct w:val="0"/>
              <w:bidi w:val="0"/>
              <w:adjustRightInd w:val="0"/>
              <w:snapToGrid w:val="0"/>
              <w:spacing w:beforeAutospacing="0" w:afterAutospacing="0" w:line="360" w:lineRule="exact"/>
              <w:ind w:left="0" w:leftChars="0" w:right="0" w:firstLine="105" w:firstLineChars="50"/>
              <w:jc w:val="left"/>
              <w:textAlignment w:val="auto"/>
              <w:rPr>
                <w:highlight w:val="none"/>
              </w:rPr>
            </w:pPr>
            <w:r>
              <w:rPr>
                <w:highlight w:val="none"/>
              </w:rPr>
              <w:t>投标文件第</w:t>
            </w:r>
            <w:r>
              <w:rPr>
                <w:rFonts w:hint="eastAsia"/>
                <w:highlight w:val="none"/>
              </w:rPr>
              <w:t>二</w:t>
            </w:r>
            <w:r>
              <w:rPr>
                <w:highlight w:val="none"/>
              </w:rPr>
              <w:t>个信封（</w:t>
            </w:r>
            <w:r>
              <w:rPr>
                <w:rFonts w:hint="eastAsia"/>
                <w:highlight w:val="none"/>
              </w:rPr>
              <w:t>报价文件</w:t>
            </w:r>
            <w:r>
              <w:rPr>
                <w:highlight w:val="none"/>
              </w:rPr>
              <w:t>）开标地点：</w:t>
            </w:r>
            <w:r>
              <w:rPr>
                <w:rFonts w:hint="eastAsia"/>
                <w:highlight w:val="none"/>
              </w:rPr>
              <w:t>见第一章“招标公告”</w:t>
            </w:r>
          </w:p>
          <w:p w14:paraId="342BDDE0">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highlight w:val="none"/>
              </w:rPr>
            </w:pPr>
          </w:p>
        </w:tc>
      </w:tr>
      <w:tr w14:paraId="1FEB64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53AC699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5.2.3</w:t>
            </w:r>
          </w:p>
        </w:tc>
        <w:tc>
          <w:tcPr>
            <w:tcW w:w="2251" w:type="dxa"/>
            <w:tcBorders>
              <w:tl2br w:val="nil"/>
              <w:tr2bl w:val="nil"/>
            </w:tcBorders>
            <w:vAlign w:val="center"/>
          </w:tcPr>
          <w:p w14:paraId="185CB2AF">
            <w:pPr>
              <w:pageBreakBefore w:val="0"/>
              <w:kinsoku/>
              <w:overflowPunct/>
              <w:topLinePunct w:val="0"/>
              <w:bidi w:val="0"/>
              <w:adjustRightIn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第二个信封（报价文件）开标程序</w:t>
            </w:r>
          </w:p>
        </w:tc>
        <w:tc>
          <w:tcPr>
            <w:tcW w:w="6585" w:type="dxa"/>
            <w:tcBorders>
              <w:tl2br w:val="nil"/>
              <w:tr2bl w:val="nil"/>
            </w:tcBorders>
            <w:vAlign w:val="center"/>
          </w:tcPr>
          <w:p w14:paraId="3EC2927A">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本项第（2）目修改为：</w:t>
            </w:r>
          </w:p>
          <w:p w14:paraId="373FA6B6">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cs="楷体"/>
                <w:highlight w:val="none"/>
              </w:rPr>
            </w:pPr>
            <w:r>
              <w:rPr>
                <w:rFonts w:hint="eastAsia" w:ascii="楷体" w:hAnsi="楷体" w:eastAsia="楷体"/>
                <w:szCs w:val="21"/>
                <w:highlight w:val="none"/>
              </w:rPr>
              <w:t>（2）宣布通过投标文件第一个信封（商务及技术文件）评审的投标人名单；</w:t>
            </w:r>
          </w:p>
        </w:tc>
      </w:tr>
      <w:tr w14:paraId="497AF7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2476323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5.3.1</w:t>
            </w:r>
          </w:p>
        </w:tc>
        <w:tc>
          <w:tcPr>
            <w:tcW w:w="2251" w:type="dxa"/>
            <w:tcBorders>
              <w:tl2br w:val="nil"/>
              <w:tr2bl w:val="nil"/>
            </w:tcBorders>
            <w:vAlign w:val="center"/>
          </w:tcPr>
          <w:p w14:paraId="6571D13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开标补救措施</w:t>
            </w:r>
          </w:p>
        </w:tc>
        <w:tc>
          <w:tcPr>
            <w:tcW w:w="6585" w:type="dxa"/>
            <w:tcBorders>
              <w:tl2br w:val="nil"/>
              <w:tr2bl w:val="nil"/>
            </w:tcBorders>
            <w:vAlign w:val="center"/>
          </w:tcPr>
          <w:p w14:paraId="5A74AF6E">
            <w:pPr>
              <w:pageBreakBefore w:val="0"/>
              <w:widowControl/>
              <w:kinsoku/>
              <w:overflowPunct/>
              <w:topLinePunct w:val="0"/>
              <w:bidi w:val="0"/>
              <w:spacing w:beforeAutospacing="0" w:afterAutospacing="0" w:line="360" w:lineRule="exact"/>
              <w:ind w:left="0" w:leftChars="0" w:right="0" w:firstLine="210" w:firstLineChars="100"/>
              <w:jc w:val="left"/>
              <w:textAlignment w:val="auto"/>
              <w:rPr>
                <w:rFonts w:hint="eastAsia" w:ascii="楷体" w:hAnsi="楷体" w:eastAsia="楷体" w:cs="楷体"/>
                <w:highlight w:val="none"/>
              </w:rPr>
            </w:pPr>
            <w:r>
              <w:rPr>
                <w:rFonts w:hint="eastAsia" w:ascii="宋体" w:hAnsi="宋体" w:cs="宋体"/>
                <w:color w:val="000000"/>
                <w:kern w:val="0"/>
                <w:szCs w:val="21"/>
                <w:highlight w:val="none"/>
                <w:lang w:bidi="ar"/>
              </w:rPr>
              <w:t>开标过程中因本章第 5.3.3 项所列原因，导致系统无法正常运行，将由“吉林省公共资源交易一体化平台”技术人员采取补救措施。</w:t>
            </w:r>
          </w:p>
        </w:tc>
      </w:tr>
      <w:tr w14:paraId="5DBD40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072" w:type="dxa"/>
            <w:tcBorders>
              <w:tl2br w:val="nil"/>
              <w:tr2bl w:val="nil"/>
            </w:tcBorders>
            <w:vAlign w:val="center"/>
          </w:tcPr>
          <w:p w14:paraId="0D7538C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6.1.1</w:t>
            </w:r>
          </w:p>
        </w:tc>
        <w:tc>
          <w:tcPr>
            <w:tcW w:w="2251" w:type="dxa"/>
            <w:tcBorders>
              <w:tl2br w:val="nil"/>
              <w:tr2bl w:val="nil"/>
            </w:tcBorders>
            <w:vAlign w:val="center"/>
          </w:tcPr>
          <w:p w14:paraId="6510C16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评标委员会的组建</w:t>
            </w:r>
          </w:p>
        </w:tc>
        <w:tc>
          <w:tcPr>
            <w:tcW w:w="6585" w:type="dxa"/>
            <w:tcBorders>
              <w:tl2br w:val="nil"/>
              <w:tr2bl w:val="nil"/>
            </w:tcBorders>
            <w:vAlign w:val="center"/>
          </w:tcPr>
          <w:p w14:paraId="4ED85758">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评标委员会构成：</w:t>
            </w:r>
            <w:r>
              <w:rPr>
                <w:rFonts w:hint="eastAsia" w:ascii="宋体" w:hAnsi="宋体"/>
                <w:szCs w:val="21"/>
                <w:highlight w:val="none"/>
              </w:rPr>
              <w:t>9人，其中招标人代表3人，专家6人。</w:t>
            </w:r>
          </w:p>
          <w:p w14:paraId="5C9BBD62">
            <w:pPr>
              <w:pageBreakBefore w:val="0"/>
              <w:widowControl/>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评标专家确定方式：评标专家依法从相应评标专家库中随机抽取。</w:t>
            </w:r>
          </w:p>
        </w:tc>
      </w:tr>
      <w:tr w14:paraId="3D3345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405E728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6.3.2</w:t>
            </w:r>
          </w:p>
        </w:tc>
        <w:tc>
          <w:tcPr>
            <w:tcW w:w="2251" w:type="dxa"/>
            <w:tcBorders>
              <w:tl2br w:val="nil"/>
              <w:tr2bl w:val="nil"/>
            </w:tcBorders>
            <w:vAlign w:val="center"/>
          </w:tcPr>
          <w:p w14:paraId="025CEE28">
            <w:pPr>
              <w:pageBreakBefore w:val="0"/>
              <w:kinsoku/>
              <w:overflowPunct/>
              <w:topLinePunct w:val="0"/>
              <w:bidi w:val="0"/>
              <w:spacing w:beforeAutospacing="0" w:afterAutospacing="0" w:line="360" w:lineRule="exact"/>
              <w:ind w:left="0" w:leftChars="0" w:right="0" w:firstLine="90" w:firstLineChars="43"/>
              <w:jc w:val="center"/>
              <w:textAlignment w:val="auto"/>
              <w:rPr>
                <w:rFonts w:hint="eastAsia" w:ascii="宋体" w:hAnsi="宋体"/>
                <w:szCs w:val="21"/>
                <w:highlight w:val="none"/>
              </w:rPr>
            </w:pPr>
            <w:r>
              <w:rPr>
                <w:rFonts w:hint="eastAsia" w:ascii="宋体" w:hAnsi="宋体"/>
                <w:szCs w:val="21"/>
                <w:highlight w:val="none"/>
              </w:rPr>
              <w:t>评标委员会推荐中标候选人的人数</w:t>
            </w:r>
          </w:p>
        </w:tc>
        <w:tc>
          <w:tcPr>
            <w:tcW w:w="6585" w:type="dxa"/>
            <w:tcBorders>
              <w:tl2br w:val="nil"/>
              <w:tr2bl w:val="nil"/>
            </w:tcBorders>
            <w:vAlign w:val="center"/>
          </w:tcPr>
          <w:p w14:paraId="422915B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3名（如不足3名，按相应的数量推荐）</w:t>
            </w:r>
          </w:p>
        </w:tc>
      </w:tr>
      <w:tr w14:paraId="18A6CE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730F9A1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7.1</w:t>
            </w:r>
          </w:p>
        </w:tc>
        <w:tc>
          <w:tcPr>
            <w:tcW w:w="2251" w:type="dxa"/>
            <w:tcBorders>
              <w:tl2br w:val="nil"/>
              <w:tr2bl w:val="nil"/>
            </w:tcBorders>
            <w:vAlign w:val="center"/>
          </w:tcPr>
          <w:p w14:paraId="38989A7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中标候选人公示</w:t>
            </w:r>
          </w:p>
          <w:p w14:paraId="516A7CC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媒介及期限</w:t>
            </w:r>
          </w:p>
        </w:tc>
        <w:tc>
          <w:tcPr>
            <w:tcW w:w="6585" w:type="dxa"/>
            <w:tcBorders>
              <w:tl2br w:val="nil"/>
              <w:tr2bl w:val="nil"/>
            </w:tcBorders>
            <w:vAlign w:val="center"/>
          </w:tcPr>
          <w:p w14:paraId="7D42BFC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公示媒介：中国招标投标公共服务平台、吉林省公共资源交易中心网（同步推送到吉林省公共资源交易公共服务平台）、吉林省交通运输厅网站</w:t>
            </w:r>
          </w:p>
          <w:p w14:paraId="04C51AEE">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公示期限：3日</w:t>
            </w:r>
          </w:p>
        </w:tc>
      </w:tr>
      <w:tr w14:paraId="299DD4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525BBDA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7.4</w:t>
            </w:r>
          </w:p>
        </w:tc>
        <w:tc>
          <w:tcPr>
            <w:tcW w:w="2251" w:type="dxa"/>
            <w:tcBorders>
              <w:tl2br w:val="nil"/>
              <w:tr2bl w:val="nil"/>
            </w:tcBorders>
            <w:vAlign w:val="center"/>
          </w:tcPr>
          <w:p w14:paraId="248835D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是否授权评标委员会</w:t>
            </w:r>
          </w:p>
          <w:p w14:paraId="1886687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确定中标人</w:t>
            </w:r>
          </w:p>
        </w:tc>
        <w:tc>
          <w:tcPr>
            <w:tcW w:w="6585" w:type="dxa"/>
            <w:tcBorders>
              <w:tl2br w:val="nil"/>
              <w:tr2bl w:val="nil"/>
            </w:tcBorders>
            <w:vAlign w:val="center"/>
          </w:tcPr>
          <w:p w14:paraId="7761DA77">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 xml:space="preserve">□是 </w:t>
            </w:r>
          </w:p>
          <w:p w14:paraId="00070D8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MS Gothic" w:hAnsi="MS Gothic" w:eastAsia="MS Gothic" w:cs="MS Gothic"/>
                <w:kern w:val="0"/>
                <w:sz w:val="24"/>
                <w:szCs w:val="24"/>
                <w:highlight w:val="none"/>
              </w:rPr>
              <w:t>☑</w:t>
            </w:r>
            <w:r>
              <w:rPr>
                <w:rFonts w:hint="eastAsia" w:ascii="宋体" w:hAnsi="宋体" w:cs="宋体"/>
                <w:kern w:val="0"/>
                <w:sz w:val="24"/>
                <w:szCs w:val="24"/>
                <w:highlight w:val="none"/>
              </w:rPr>
              <w:t>否</w:t>
            </w:r>
          </w:p>
        </w:tc>
      </w:tr>
      <w:tr w14:paraId="7D09C3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72" w:type="dxa"/>
            <w:tcBorders>
              <w:tl2br w:val="nil"/>
              <w:tr2bl w:val="nil"/>
            </w:tcBorders>
            <w:vAlign w:val="center"/>
          </w:tcPr>
          <w:p w14:paraId="26EED72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7.6</w:t>
            </w:r>
          </w:p>
        </w:tc>
        <w:tc>
          <w:tcPr>
            <w:tcW w:w="2251" w:type="dxa"/>
            <w:tcBorders>
              <w:tl2br w:val="nil"/>
              <w:tr2bl w:val="nil"/>
            </w:tcBorders>
            <w:vAlign w:val="center"/>
          </w:tcPr>
          <w:p w14:paraId="33C186D5">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hint="eastAsia" w:ascii="宋体" w:hAnsi="宋体"/>
                <w:szCs w:val="21"/>
                <w:highlight w:val="none"/>
              </w:rPr>
              <w:t>中标结果公告媒介及期限</w:t>
            </w:r>
          </w:p>
        </w:tc>
        <w:tc>
          <w:tcPr>
            <w:tcW w:w="6585" w:type="dxa"/>
            <w:tcBorders>
              <w:tl2br w:val="nil"/>
              <w:tr2bl w:val="nil"/>
            </w:tcBorders>
            <w:vAlign w:val="center"/>
          </w:tcPr>
          <w:p w14:paraId="225E56A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公告媒介：中国招标投标公共服务平台、</w:t>
            </w:r>
            <w:r>
              <w:rPr>
                <w:rFonts w:ascii="宋体" w:hAnsi="宋体"/>
                <w:szCs w:val="21"/>
                <w:highlight w:val="none"/>
              </w:rPr>
              <w:t>吉林省公共资源交易中心网（同步推送到吉林省公共资源交易公共服务平台）、</w:t>
            </w:r>
            <w:r>
              <w:rPr>
                <w:rFonts w:hint="eastAsia" w:ascii="宋体" w:hAnsi="宋体"/>
                <w:szCs w:val="21"/>
                <w:highlight w:val="none"/>
              </w:rPr>
              <w:t>吉林省交通运输厅网站</w:t>
            </w:r>
          </w:p>
          <w:p w14:paraId="182FCE4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公告期限：3日</w:t>
            </w:r>
          </w:p>
        </w:tc>
      </w:tr>
      <w:tr w14:paraId="6FF62B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57" w:hRule="atLeast"/>
          <w:jc w:val="center"/>
        </w:trPr>
        <w:tc>
          <w:tcPr>
            <w:tcW w:w="1072" w:type="dxa"/>
            <w:tcBorders>
              <w:tl2br w:val="nil"/>
              <w:tr2bl w:val="nil"/>
            </w:tcBorders>
            <w:vAlign w:val="center"/>
          </w:tcPr>
          <w:p w14:paraId="7A9DDE7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7.7.1</w:t>
            </w:r>
          </w:p>
        </w:tc>
        <w:tc>
          <w:tcPr>
            <w:tcW w:w="2251" w:type="dxa"/>
            <w:tcBorders>
              <w:tl2br w:val="nil"/>
              <w:tr2bl w:val="nil"/>
            </w:tcBorders>
            <w:vAlign w:val="center"/>
          </w:tcPr>
          <w:p w14:paraId="156B5FE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履约保证金</w:t>
            </w:r>
          </w:p>
        </w:tc>
        <w:tc>
          <w:tcPr>
            <w:tcW w:w="6585" w:type="dxa"/>
            <w:tcBorders>
              <w:tl2br w:val="nil"/>
              <w:tr2bl w:val="nil"/>
            </w:tcBorders>
            <w:vAlign w:val="center"/>
          </w:tcPr>
          <w:p w14:paraId="012917A2">
            <w:pPr>
              <w:pageBreakBefore w:val="0"/>
              <w:widowControl/>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MS Gothic" w:hAnsi="MS Gothic" w:eastAsia="MS Gothic" w:cs="MS Gothic"/>
                <w:kern w:val="0"/>
                <w:sz w:val="24"/>
                <w:szCs w:val="24"/>
                <w:highlight w:val="none"/>
              </w:rPr>
              <w:t>☑</w:t>
            </w:r>
            <w:r>
              <w:rPr>
                <w:rFonts w:hint="eastAsia" w:ascii="宋体" w:hAnsi="宋体"/>
                <w:szCs w:val="21"/>
                <w:highlight w:val="none"/>
              </w:rPr>
              <w:t>要求，履约保证金的形式：现金、支票、银行保函、担保机构保函或招标人认可的其他形式。履约保证金的金额：</w:t>
            </w:r>
            <w:r>
              <w:rPr>
                <w:rFonts w:hint="eastAsia" w:ascii="宋体" w:hAnsi="宋体"/>
                <w:szCs w:val="21"/>
                <w:highlight w:val="none"/>
              </w:rPr>
              <w:t>5%签约合同价。</w:t>
            </w:r>
          </w:p>
          <w:p w14:paraId="207C4765">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注意：</w:t>
            </w:r>
          </w:p>
          <w:p w14:paraId="5ACBA13E">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（1）采用现金、支票形式时，应由中标人的基本账户汇入发包人指定账户。</w:t>
            </w:r>
          </w:p>
          <w:p w14:paraId="50F5ABAA">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（2）采用银行保函时，</w:t>
            </w:r>
            <w:r>
              <w:rPr>
                <w:rFonts w:hint="eastAsia" w:ascii="宋体" w:hAnsi="宋体" w:cs="宋体"/>
                <w:kern w:val="0"/>
                <w:szCs w:val="21"/>
                <w:highlight w:val="none"/>
              </w:rPr>
              <w:t>出具保函的银行级别：应由“工商银行、农业银行、中国银行、建设银行、交通银行、中国邮政储蓄银行”六大国有商业银行之一或全国性股份制商业银行开具，银行应为地市级分行或以上级别</w:t>
            </w:r>
            <w:r>
              <w:rPr>
                <w:rFonts w:hint="eastAsia" w:ascii="宋体" w:hAnsi="宋体"/>
                <w:szCs w:val="21"/>
                <w:highlight w:val="none"/>
              </w:rPr>
              <w:t>，所需的费用由中标人承担，中标人应保证银行保函真实有效。</w:t>
            </w:r>
          </w:p>
          <w:p w14:paraId="7BC77CB5">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（3）采用担保机构出具的保函，担保机构应满足相关规定，所需费用由中标人承担，中标人应保证保函真实有效。</w:t>
            </w:r>
          </w:p>
          <w:p w14:paraId="2F0837CC">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宋体" w:hAnsi="宋体"/>
                <w:szCs w:val="21"/>
                <w:highlight w:val="none"/>
              </w:rPr>
              <w:t>（4）保函格式应按招标文件第四章“合同条款及格式”规定的履约保证金格式出具。</w:t>
            </w:r>
          </w:p>
          <w:p w14:paraId="6951535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cs="宋体"/>
                <w:kern w:val="0"/>
                <w:sz w:val="24"/>
                <w:szCs w:val="24"/>
                <w:highlight w:val="none"/>
              </w:rPr>
              <w:t>□</w:t>
            </w:r>
            <w:r>
              <w:rPr>
                <w:rFonts w:hint="eastAsia" w:ascii="宋体" w:hAnsi="宋体"/>
                <w:szCs w:val="21"/>
                <w:highlight w:val="none"/>
              </w:rPr>
              <w:t>不要求</w:t>
            </w:r>
          </w:p>
        </w:tc>
      </w:tr>
      <w:tr w14:paraId="69E79F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89" w:hRule="atLeast"/>
          <w:jc w:val="center"/>
        </w:trPr>
        <w:tc>
          <w:tcPr>
            <w:tcW w:w="1072" w:type="dxa"/>
            <w:tcBorders>
              <w:tl2br w:val="nil"/>
              <w:tr2bl w:val="nil"/>
            </w:tcBorders>
            <w:vAlign w:val="center"/>
          </w:tcPr>
          <w:p w14:paraId="51FC6950">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hint="eastAsia" w:ascii="宋体" w:hAnsi="宋体"/>
                <w:szCs w:val="21"/>
                <w:highlight w:val="none"/>
              </w:rPr>
              <w:t>8.5.1</w:t>
            </w:r>
          </w:p>
        </w:tc>
        <w:tc>
          <w:tcPr>
            <w:tcW w:w="2251" w:type="dxa"/>
            <w:tcBorders>
              <w:tl2br w:val="nil"/>
              <w:tr2bl w:val="nil"/>
            </w:tcBorders>
            <w:vAlign w:val="center"/>
          </w:tcPr>
          <w:p w14:paraId="5B61014C">
            <w:pPr>
              <w:pageBreakBefore w:val="0"/>
              <w:kinsoku/>
              <w:overflowPunct/>
              <w:topLinePunct w:val="0"/>
              <w:bidi w:val="0"/>
              <w:spacing w:beforeAutospacing="0" w:afterAutospacing="0" w:line="360" w:lineRule="exact"/>
              <w:ind w:left="10" w:leftChars="0" w:right="0" w:hanging="10" w:hangingChars="5"/>
              <w:jc w:val="center"/>
              <w:textAlignment w:val="auto"/>
              <w:rPr>
                <w:rFonts w:hint="eastAsia" w:ascii="宋体" w:hAnsi="宋体"/>
                <w:szCs w:val="21"/>
                <w:highlight w:val="none"/>
              </w:rPr>
            </w:pPr>
            <w:r>
              <w:rPr>
                <w:rFonts w:hint="eastAsia" w:ascii="宋体" w:hAnsi="宋体"/>
                <w:szCs w:val="21"/>
                <w:highlight w:val="none"/>
              </w:rPr>
              <w:t>监督部门</w:t>
            </w:r>
          </w:p>
        </w:tc>
        <w:tc>
          <w:tcPr>
            <w:tcW w:w="6585" w:type="dxa"/>
            <w:tcBorders>
              <w:tl2br w:val="nil"/>
              <w:tr2bl w:val="nil"/>
            </w:tcBorders>
            <w:vAlign w:val="center"/>
          </w:tcPr>
          <w:p w14:paraId="337B954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行政监督：吉林省交通运输厅公路管理处</w:t>
            </w:r>
          </w:p>
          <w:p w14:paraId="271AA860">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电　　话：0431-85097540</w:t>
            </w:r>
          </w:p>
          <w:p w14:paraId="44BA2DB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地　　址：吉林省长春市解放大路2518号交通大厦</w:t>
            </w:r>
          </w:p>
          <w:p w14:paraId="357879D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邮　　编：130021</w:t>
            </w:r>
          </w:p>
        </w:tc>
      </w:tr>
      <w:tr w14:paraId="1F1FEA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93" w:hRule="atLeast"/>
          <w:jc w:val="center"/>
        </w:trPr>
        <w:tc>
          <w:tcPr>
            <w:tcW w:w="1072" w:type="dxa"/>
            <w:tcBorders>
              <w:tl2br w:val="nil"/>
              <w:tr2bl w:val="nil"/>
            </w:tcBorders>
            <w:vAlign w:val="center"/>
          </w:tcPr>
          <w:p w14:paraId="75D05CE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9</w:t>
            </w:r>
          </w:p>
        </w:tc>
        <w:tc>
          <w:tcPr>
            <w:tcW w:w="2251" w:type="dxa"/>
            <w:tcBorders>
              <w:tl2br w:val="nil"/>
              <w:tr2bl w:val="nil"/>
            </w:tcBorders>
            <w:vAlign w:val="center"/>
          </w:tcPr>
          <w:p w14:paraId="5589C2D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是否采用电子招标投标</w:t>
            </w:r>
          </w:p>
        </w:tc>
        <w:tc>
          <w:tcPr>
            <w:tcW w:w="6585" w:type="dxa"/>
            <w:tcBorders>
              <w:tl2br w:val="nil"/>
              <w:tr2bl w:val="nil"/>
            </w:tcBorders>
            <w:vAlign w:val="center"/>
          </w:tcPr>
          <w:p w14:paraId="4C5800C9">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是</w:t>
            </w:r>
          </w:p>
          <w:p w14:paraId="6723066B">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本次电子招标投标使用公共资源交易一体化平台系统，具体要求详见《关于做好全省公共资源交易一体化平台全面运行工作的通知》（吉政数联〔2022〕5号）文件。</w:t>
            </w:r>
          </w:p>
          <w:p w14:paraId="45BA2A30">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一体化平台技术咨询服务电话：0431-82752720或4009980000。</w:t>
            </w:r>
          </w:p>
          <w:p w14:paraId="2708FEB3">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本次电子招标投标执行“吉林省交通运输厅关于征集公路养护项目从业企业信息有关情况的公告”相关规定。咨询电话 17390034503。</w:t>
            </w:r>
          </w:p>
        </w:tc>
      </w:tr>
      <w:tr w14:paraId="568B0F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2" w:hRule="atLeast"/>
          <w:jc w:val="center"/>
        </w:trPr>
        <w:tc>
          <w:tcPr>
            <w:tcW w:w="9908" w:type="dxa"/>
            <w:gridSpan w:val="3"/>
            <w:tcBorders>
              <w:tl2br w:val="nil"/>
              <w:tr2bl w:val="nil"/>
            </w:tcBorders>
            <w:vAlign w:val="center"/>
          </w:tcPr>
          <w:p w14:paraId="18B4436B">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b/>
                <w:bCs/>
                <w:kern w:val="0"/>
                <w:szCs w:val="21"/>
                <w:highlight w:val="none"/>
                <w:lang w:val="zh-CN"/>
              </w:rPr>
            </w:pPr>
            <w:r>
              <w:rPr>
                <w:rFonts w:hint="eastAsia" w:ascii="楷体" w:hAnsi="楷体" w:eastAsia="楷体"/>
                <w:b/>
                <w:bCs/>
                <w:kern w:val="0"/>
                <w:szCs w:val="21"/>
                <w:highlight w:val="none"/>
                <w:lang w:val="zh-CN"/>
              </w:rPr>
              <w:t>需要补充的其他内容</w:t>
            </w:r>
          </w:p>
        </w:tc>
      </w:tr>
      <w:tr w14:paraId="70BDA2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072" w:type="dxa"/>
            <w:tcBorders>
              <w:tl2br w:val="nil"/>
              <w:tr2bl w:val="nil"/>
            </w:tcBorders>
            <w:vAlign w:val="center"/>
          </w:tcPr>
          <w:p w14:paraId="2661CF95">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10.2</w:t>
            </w:r>
          </w:p>
        </w:tc>
        <w:tc>
          <w:tcPr>
            <w:tcW w:w="2251" w:type="dxa"/>
            <w:tcBorders>
              <w:tl2br w:val="nil"/>
              <w:tr2bl w:val="nil"/>
            </w:tcBorders>
            <w:vAlign w:val="center"/>
          </w:tcPr>
          <w:p w14:paraId="11655415">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楷体" w:hAnsi="楷体" w:eastAsia="楷体"/>
                <w:b/>
                <w:bCs/>
                <w:kern w:val="0"/>
                <w:szCs w:val="21"/>
                <w:highlight w:val="none"/>
                <w:lang w:val="zh-CN"/>
              </w:rPr>
              <w:t>是否采用“双盲”评审方式</w:t>
            </w:r>
          </w:p>
        </w:tc>
        <w:tc>
          <w:tcPr>
            <w:tcW w:w="6585" w:type="dxa"/>
            <w:tcBorders>
              <w:tl2br w:val="nil"/>
              <w:tr2bl w:val="nil"/>
            </w:tcBorders>
            <w:vAlign w:val="center"/>
          </w:tcPr>
          <w:p w14:paraId="7757720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cs="宋体"/>
                <w:kern w:val="0"/>
                <w:szCs w:val="21"/>
                <w:highlight w:val="none"/>
              </w:rPr>
            </w:pPr>
            <w:r>
              <w:rPr>
                <w:rFonts w:hint="eastAsia" w:ascii="楷体" w:hAnsi="楷体" w:eastAsia="楷体"/>
                <w:b/>
                <w:bCs/>
                <w:kern w:val="0"/>
                <w:szCs w:val="21"/>
                <w:highlight w:val="none"/>
                <w:lang w:val="zh-CN"/>
              </w:rPr>
              <w:t>本项目采用“双盲”评审，即评标专家“盲抽”和“盲评”，投标文件的施工组织设计部分采用“暗标”形式，投标人应严格按照“第九章投标文件格式”中的要求编制施工组织设计。如果施工组织设计出现能识别投标人的内容，经评标委员会确定后，将否决其投标。</w:t>
            </w:r>
          </w:p>
        </w:tc>
      </w:tr>
      <w:tr w14:paraId="1FEC7B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072" w:type="dxa"/>
            <w:tcBorders>
              <w:tl2br w:val="nil"/>
              <w:tr2bl w:val="nil"/>
            </w:tcBorders>
            <w:vAlign w:val="center"/>
          </w:tcPr>
          <w:p w14:paraId="30905132">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楷体" w:hAnsi="楷体" w:eastAsia="楷体"/>
                <w:szCs w:val="21"/>
                <w:highlight w:val="none"/>
              </w:rPr>
              <w:t>1</w:t>
            </w:r>
            <w:r>
              <w:rPr>
                <w:rFonts w:ascii="楷体" w:hAnsi="楷体" w:eastAsia="楷体"/>
                <w:szCs w:val="21"/>
                <w:highlight w:val="none"/>
              </w:rPr>
              <w:t>0.3</w:t>
            </w:r>
          </w:p>
        </w:tc>
        <w:tc>
          <w:tcPr>
            <w:tcW w:w="2251" w:type="dxa"/>
            <w:tcBorders>
              <w:tl2br w:val="nil"/>
              <w:tr2bl w:val="nil"/>
            </w:tcBorders>
            <w:vAlign w:val="center"/>
          </w:tcPr>
          <w:p w14:paraId="2B87A5C2">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楷体" w:hAnsi="楷体" w:eastAsia="楷体" w:cs="宋体"/>
                <w:szCs w:val="21"/>
                <w:highlight w:val="none"/>
              </w:rPr>
              <w:t>远程开标</w:t>
            </w:r>
          </w:p>
        </w:tc>
        <w:tc>
          <w:tcPr>
            <w:tcW w:w="6585" w:type="dxa"/>
            <w:tcBorders>
              <w:tl2br w:val="nil"/>
              <w:tr2bl w:val="nil"/>
            </w:tcBorders>
            <w:vAlign w:val="center"/>
          </w:tcPr>
          <w:p w14:paraId="43A26705">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szCs w:val="21"/>
                <w:highlight w:val="none"/>
              </w:rPr>
            </w:pPr>
            <w:r>
              <w:rPr>
                <w:rFonts w:hint="eastAsia" w:ascii="楷体" w:hAnsi="楷体" w:eastAsia="楷体"/>
                <w:szCs w:val="21"/>
                <w:highlight w:val="none"/>
              </w:rPr>
              <w:t>本项目通过“吉林省不见面开标大厅”实施网上远程开标，投标人进行投标文件远程解密。开标前，投标人应在准备解密的电脑端提前安装好CA驱动并且能正常登录系统。开标时在代理机构工作人员发出开始解密指令后进行解密，由投标人选择对应的项目，进入“开标远程解密”菜单，点击远程解密并输入CA 密码，成功解密后状态会显示“已解密”。投标文件解密时需插上生成投标文件的CA 锁进行解密，且正确输入密码，投标人未在规定的时间内完成解密的视为无效投标。投标人由于数字证书遗失、损坏、更换、续期等自身原因情况导致投标文件无法解密，由投标人自行承担责任。</w:t>
            </w:r>
          </w:p>
          <w:p w14:paraId="0DEEDEF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楷体" w:hAnsi="楷体" w:eastAsia="楷体"/>
                <w:szCs w:val="21"/>
                <w:highlight w:val="none"/>
              </w:rPr>
              <w:t>投标人未参加开标会议的，或未参加开标会议全过程的，视为认同开标会议结果。</w:t>
            </w:r>
          </w:p>
        </w:tc>
      </w:tr>
      <w:tr w14:paraId="74DC4F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53" w:hRule="atLeast"/>
          <w:jc w:val="center"/>
        </w:trPr>
        <w:tc>
          <w:tcPr>
            <w:tcW w:w="1072" w:type="dxa"/>
            <w:tcBorders>
              <w:tl2br w:val="nil"/>
              <w:tr2bl w:val="nil"/>
            </w:tcBorders>
            <w:vAlign w:val="center"/>
          </w:tcPr>
          <w:p w14:paraId="5F92A28C">
            <w:pPr>
              <w:pageBreakBefore w:val="0"/>
              <w:kinsoku/>
              <w:overflowPunct/>
              <w:topLinePunct w:val="0"/>
              <w:bidi w:val="0"/>
              <w:spacing w:beforeAutospacing="0" w:afterAutospacing="0" w:line="360" w:lineRule="exact"/>
              <w:ind w:left="0" w:leftChars="0" w:right="0"/>
              <w:jc w:val="center"/>
              <w:textAlignment w:val="auto"/>
              <w:rPr>
                <w:rFonts w:hint="eastAsia" w:ascii="楷体" w:hAnsi="楷体" w:eastAsia="楷体"/>
                <w:szCs w:val="21"/>
                <w:highlight w:val="none"/>
              </w:rPr>
            </w:pPr>
            <w:r>
              <w:rPr>
                <w:rFonts w:hint="eastAsia" w:ascii="楷体" w:hAnsi="楷体" w:eastAsia="楷体"/>
                <w:szCs w:val="21"/>
                <w:highlight w:val="none"/>
              </w:rPr>
              <w:t>10.4</w:t>
            </w:r>
          </w:p>
        </w:tc>
        <w:tc>
          <w:tcPr>
            <w:tcW w:w="2251" w:type="dxa"/>
            <w:tcBorders>
              <w:tl2br w:val="nil"/>
              <w:tr2bl w:val="nil"/>
            </w:tcBorders>
            <w:vAlign w:val="center"/>
          </w:tcPr>
          <w:p w14:paraId="1772B598">
            <w:pPr>
              <w:pageBreakBefore w:val="0"/>
              <w:kinsoku/>
              <w:overflowPunct/>
              <w:topLinePunct w:val="0"/>
              <w:autoSpaceDE w:val="0"/>
              <w:autoSpaceDN w:val="0"/>
              <w:bidi w:val="0"/>
              <w:snapToGrid w:val="0"/>
              <w:spacing w:beforeAutospacing="0" w:afterAutospacing="0" w:line="360" w:lineRule="exact"/>
              <w:ind w:left="0" w:leftChars="0" w:right="0"/>
              <w:jc w:val="center"/>
              <w:textAlignment w:val="auto"/>
              <w:rPr>
                <w:rFonts w:hint="eastAsia" w:ascii="楷体" w:hAnsi="楷体" w:eastAsia="楷体"/>
                <w:szCs w:val="21"/>
                <w:highlight w:val="none"/>
              </w:rPr>
            </w:pPr>
            <w:r>
              <w:rPr>
                <w:rFonts w:hint="eastAsia" w:ascii="楷体" w:hAnsi="楷体" w:eastAsia="楷体"/>
                <w:szCs w:val="21"/>
                <w:highlight w:val="none"/>
              </w:rPr>
              <w:t>词语定义</w:t>
            </w:r>
          </w:p>
        </w:tc>
        <w:tc>
          <w:tcPr>
            <w:tcW w:w="6585" w:type="dxa"/>
            <w:tcBorders>
              <w:tl2br w:val="nil"/>
              <w:tr2bl w:val="nil"/>
            </w:tcBorders>
            <w:vAlign w:val="center"/>
          </w:tcPr>
          <w:p w14:paraId="26AD4ECE">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楷体" w:hAnsi="楷体" w:eastAsia="楷体"/>
                <w:szCs w:val="21"/>
                <w:highlight w:val="none"/>
              </w:rPr>
              <w:t>（1）本文件中所称的“以上”、“以下”、“以内”，包括本数；所称的“以外”，不包括本数。</w:t>
            </w:r>
          </w:p>
          <w:p w14:paraId="1583C464">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楷体" w:hAnsi="楷体" w:eastAsia="楷体"/>
                <w:szCs w:val="21"/>
                <w:highlight w:val="none"/>
              </w:rPr>
              <w:t>（2）除有特殊说明外，本文件中所称的“近3年”或“近5年”等，是指自投标截止时间所在年度起逆推3年或5年。如：投标截止时间所在年度为2025年，“近3年”的年限从2023年1月1日算起,“近5年”的年限从2021年1月1日算起。</w:t>
            </w:r>
          </w:p>
          <w:p w14:paraId="6FBF134B">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楷体" w:hAnsi="楷体" w:eastAsia="楷体" w:cs="宋体"/>
                <w:kern w:val="0"/>
                <w:szCs w:val="21"/>
                <w:highlight w:val="none"/>
                <w:lang w:val="zh-CN"/>
              </w:rPr>
            </w:pPr>
            <w:r>
              <w:rPr>
                <w:rFonts w:hint="eastAsia" w:ascii="楷体" w:hAnsi="楷体" w:eastAsia="楷体" w:cs="宋体"/>
                <w:kern w:val="0"/>
                <w:szCs w:val="21"/>
                <w:highlight w:val="none"/>
                <w:lang w:val="zh-CN"/>
              </w:rPr>
              <w:t>（3）“电子交易平台”指“吉林省公共资源交易一体化平台”。</w:t>
            </w:r>
          </w:p>
          <w:p w14:paraId="61B4EC5B">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楷体" w:hAnsi="楷体" w:eastAsia="楷体" w:cs="宋体"/>
                <w:kern w:val="0"/>
                <w:szCs w:val="21"/>
                <w:highlight w:val="none"/>
                <w:lang w:val="zh-CN"/>
              </w:rPr>
              <w:t>（4）本文件中的“全国公路建设市场信用信息管理系统”均应为“全国公路建设市场监督管理系统”。</w:t>
            </w:r>
          </w:p>
        </w:tc>
      </w:tr>
      <w:tr w14:paraId="5E4FA6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53" w:hRule="atLeast"/>
          <w:jc w:val="center"/>
        </w:trPr>
        <w:tc>
          <w:tcPr>
            <w:tcW w:w="1072" w:type="dxa"/>
            <w:tcBorders>
              <w:tl2br w:val="nil"/>
              <w:tr2bl w:val="nil"/>
            </w:tcBorders>
            <w:vAlign w:val="center"/>
          </w:tcPr>
          <w:p w14:paraId="5C42A721">
            <w:pPr>
              <w:pageBreakBefore w:val="0"/>
              <w:kinsoku/>
              <w:overflowPunct/>
              <w:topLinePunct w:val="0"/>
              <w:autoSpaceDE w:val="0"/>
              <w:autoSpaceDN w:val="0"/>
              <w:bidi w:val="0"/>
              <w:adjustRightInd w:val="0"/>
              <w:snapToGrid w:val="0"/>
              <w:spacing w:beforeAutospacing="0" w:afterAutospacing="0" w:line="360" w:lineRule="exact"/>
              <w:ind w:left="0" w:leftChars="0" w:right="0"/>
              <w:jc w:val="center"/>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10.</w:t>
            </w:r>
            <w:r>
              <w:rPr>
                <w:rFonts w:ascii="楷体" w:hAnsi="楷体" w:eastAsia="楷体"/>
                <w:color w:val="000000"/>
                <w:szCs w:val="21"/>
                <w:highlight w:val="none"/>
              </w:rPr>
              <w:t>5</w:t>
            </w:r>
          </w:p>
        </w:tc>
        <w:tc>
          <w:tcPr>
            <w:tcW w:w="2251" w:type="dxa"/>
            <w:tcBorders>
              <w:tl2br w:val="nil"/>
              <w:tr2bl w:val="nil"/>
            </w:tcBorders>
            <w:vAlign w:val="center"/>
          </w:tcPr>
          <w:p w14:paraId="0412824C">
            <w:pPr>
              <w:pageBreakBefore w:val="0"/>
              <w:kinsoku/>
              <w:overflowPunct/>
              <w:topLinePunct w:val="0"/>
              <w:autoSpaceDE w:val="0"/>
              <w:autoSpaceDN w:val="0"/>
              <w:bidi w:val="0"/>
              <w:adjustRightInd w:val="0"/>
              <w:snapToGrid w:val="0"/>
              <w:spacing w:beforeAutospacing="0" w:afterAutospacing="0" w:line="360" w:lineRule="exact"/>
              <w:ind w:left="0" w:leftChars="0" w:right="0"/>
              <w:jc w:val="center"/>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中标人提供纸质投标文件</w:t>
            </w:r>
          </w:p>
        </w:tc>
        <w:tc>
          <w:tcPr>
            <w:tcW w:w="6585" w:type="dxa"/>
            <w:tcBorders>
              <w:tl2br w:val="nil"/>
              <w:tr2bl w:val="nil"/>
            </w:tcBorders>
            <w:vAlign w:val="center"/>
          </w:tcPr>
          <w:p w14:paraId="461AD080">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如投标人中标，须再提供纸质投标文件正本一份，副本一份；中标人提供的纸质投标文件需与投标时提供的电子投标文件保持一致，如有不一致，以电子投标文件为准。</w:t>
            </w:r>
          </w:p>
          <w:p w14:paraId="551D40E6">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highlight w:val="none"/>
              </w:rPr>
            </w:pPr>
            <w:r>
              <w:rPr>
                <w:rFonts w:hint="eastAsia" w:ascii="楷体" w:hAnsi="楷体" w:eastAsia="楷体"/>
                <w:color w:val="000000"/>
                <w:szCs w:val="21"/>
                <w:highlight w:val="none"/>
              </w:rPr>
              <w:t>中标人递交的纸质投标文件应是电子投标文件的打印件，正本应按招标文件要求加盖投标人单位公章，纸质投标文件应标注页码，且不得采用活页夹装订。</w:t>
            </w:r>
          </w:p>
        </w:tc>
      </w:tr>
      <w:tr w14:paraId="1CD9A9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59" w:hRule="atLeast"/>
          <w:jc w:val="center"/>
        </w:trPr>
        <w:tc>
          <w:tcPr>
            <w:tcW w:w="1072" w:type="dxa"/>
            <w:tcBorders>
              <w:tl2br w:val="nil"/>
              <w:tr2bl w:val="nil"/>
            </w:tcBorders>
            <w:vAlign w:val="center"/>
          </w:tcPr>
          <w:p w14:paraId="42EC59C8">
            <w:pPr>
              <w:pageBreakBefore w:val="0"/>
              <w:kinsoku/>
              <w:overflowPunct/>
              <w:topLinePunct w:val="0"/>
              <w:bidi w:val="0"/>
              <w:adjustRightInd w:val="0"/>
              <w:snapToGrid w:val="0"/>
              <w:spacing w:beforeAutospacing="0" w:afterAutospacing="0" w:line="360" w:lineRule="exact"/>
              <w:ind w:left="0" w:leftChars="0" w:right="0" w:firstLine="210" w:firstLineChars="100"/>
              <w:jc w:val="center"/>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10.6</w:t>
            </w:r>
          </w:p>
        </w:tc>
        <w:tc>
          <w:tcPr>
            <w:tcW w:w="2251" w:type="dxa"/>
            <w:tcBorders>
              <w:tl2br w:val="nil"/>
              <w:tr2bl w:val="nil"/>
            </w:tcBorders>
            <w:vAlign w:val="center"/>
          </w:tcPr>
          <w:p w14:paraId="003D3031">
            <w:pPr>
              <w:pageBreakBefore w:val="0"/>
              <w:kinsoku/>
              <w:overflowPunct/>
              <w:topLinePunct w:val="0"/>
              <w:bidi w:val="0"/>
              <w:snapToGrid w:val="0"/>
              <w:spacing w:beforeAutospacing="0" w:afterAutospacing="0" w:line="360" w:lineRule="exact"/>
              <w:ind w:left="0" w:leftChars="0" w:right="0" w:firstLine="210" w:firstLineChars="100"/>
              <w:jc w:val="center"/>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招标代理服务费</w:t>
            </w:r>
          </w:p>
        </w:tc>
        <w:tc>
          <w:tcPr>
            <w:tcW w:w="6585" w:type="dxa"/>
            <w:tcBorders>
              <w:tl2br w:val="nil"/>
              <w:tr2bl w:val="nil"/>
            </w:tcBorders>
            <w:vAlign w:val="center"/>
          </w:tcPr>
          <w:p w14:paraId="466E75CF">
            <w:pPr>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收取方式：用于本项目的招标代理服务费由中标人支付，投标人应将此费用计入投标报价内，不得单独报价。</w:t>
            </w:r>
          </w:p>
          <w:p w14:paraId="16AA4DE9">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ascii="楷体" w:hAnsi="楷体" w:eastAsia="楷体"/>
                <w:color w:val="000000"/>
                <w:szCs w:val="21"/>
                <w:highlight w:val="none"/>
              </w:rPr>
              <w:t>收取金额</w:t>
            </w:r>
            <w:r>
              <w:rPr>
                <w:rFonts w:hint="eastAsia" w:ascii="楷体" w:hAnsi="楷体" w:eastAsia="楷体"/>
                <w:color w:val="000000"/>
                <w:szCs w:val="21"/>
                <w:highlight w:val="none"/>
              </w:rPr>
              <w:t>：参考原国家计委《招标代理服务收费管理暂行办法》（计价格〔2002〕1980号）规定的招标代理服务收费标准，以中标价为基数按差额定率累进法计算基准代理费，再以基准代理费为基数按照下表收费折扣系数采用差额定率累进法计算的结果为实际收取金额。</w:t>
            </w:r>
          </w:p>
          <w:p w14:paraId="1E7B9EFD">
            <w:pPr>
              <w:pageBreakBefore w:val="0"/>
              <w:widowControl/>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招标代理服务收费折扣系数表(工程类)</w:t>
            </w:r>
          </w:p>
          <w:tbl>
            <w:tblPr>
              <w:tblStyle w:val="55"/>
              <w:tblW w:w="6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099"/>
              <w:gridCol w:w="799"/>
              <w:gridCol w:w="982"/>
              <w:gridCol w:w="1019"/>
              <w:gridCol w:w="1125"/>
            </w:tblGrid>
            <w:tr w14:paraId="4DA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56" w:type="dxa"/>
                  <w:vAlign w:val="center"/>
                </w:tcPr>
                <w:p w14:paraId="078F245C">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基准代理费</w:t>
                  </w:r>
                </w:p>
              </w:tc>
              <w:tc>
                <w:tcPr>
                  <w:tcW w:w="1099" w:type="dxa"/>
                  <w:vAlign w:val="center"/>
                </w:tcPr>
                <w:p w14:paraId="197285BC">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2万以下</w:t>
                  </w:r>
                </w:p>
              </w:tc>
              <w:tc>
                <w:tcPr>
                  <w:tcW w:w="799" w:type="dxa"/>
                  <w:vAlign w:val="center"/>
                </w:tcPr>
                <w:p w14:paraId="59814C7F">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2-5万</w:t>
                  </w:r>
                </w:p>
              </w:tc>
              <w:tc>
                <w:tcPr>
                  <w:tcW w:w="982" w:type="dxa"/>
                  <w:vAlign w:val="center"/>
                </w:tcPr>
                <w:p w14:paraId="50607DC0">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5-10万</w:t>
                  </w:r>
                </w:p>
              </w:tc>
              <w:tc>
                <w:tcPr>
                  <w:tcW w:w="1019" w:type="dxa"/>
                  <w:vAlign w:val="center"/>
                </w:tcPr>
                <w:p w14:paraId="20C511E2">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10-50万</w:t>
                  </w:r>
                </w:p>
              </w:tc>
              <w:tc>
                <w:tcPr>
                  <w:tcW w:w="1125" w:type="dxa"/>
                  <w:vAlign w:val="center"/>
                </w:tcPr>
                <w:p w14:paraId="434BCA7E">
                  <w:pPr>
                    <w:pageBreakBefore w:val="0"/>
                    <w:kinsoku/>
                    <w:overflowPunct/>
                    <w:topLinePunct w:val="0"/>
                    <w:bidi w:val="0"/>
                    <w:snapToGrid w:val="0"/>
                    <w:spacing w:beforeAutospacing="0" w:afterAutospacing="0" w:line="360" w:lineRule="exact"/>
                    <w:ind w:left="0" w:leftChars="0" w:right="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50万以上</w:t>
                  </w:r>
                </w:p>
              </w:tc>
            </w:tr>
            <w:tr w14:paraId="78A1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356" w:type="dxa"/>
                  <w:vAlign w:val="center"/>
                </w:tcPr>
                <w:p w14:paraId="2A2837B2">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折扣系数</w:t>
                  </w:r>
                </w:p>
              </w:tc>
              <w:tc>
                <w:tcPr>
                  <w:tcW w:w="1099" w:type="dxa"/>
                  <w:vAlign w:val="center"/>
                </w:tcPr>
                <w:p w14:paraId="63ED64BB">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1.0</w:t>
                  </w:r>
                </w:p>
              </w:tc>
              <w:tc>
                <w:tcPr>
                  <w:tcW w:w="799" w:type="dxa"/>
                  <w:vAlign w:val="center"/>
                </w:tcPr>
                <w:p w14:paraId="253E3533">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0.8</w:t>
                  </w:r>
                </w:p>
              </w:tc>
              <w:tc>
                <w:tcPr>
                  <w:tcW w:w="982" w:type="dxa"/>
                  <w:vAlign w:val="center"/>
                </w:tcPr>
                <w:p w14:paraId="5E8BA225">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0.7</w:t>
                  </w:r>
                </w:p>
              </w:tc>
              <w:tc>
                <w:tcPr>
                  <w:tcW w:w="1019" w:type="dxa"/>
                  <w:vAlign w:val="center"/>
                </w:tcPr>
                <w:p w14:paraId="2DD83D42">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0.6</w:t>
                  </w:r>
                </w:p>
              </w:tc>
              <w:tc>
                <w:tcPr>
                  <w:tcW w:w="1125" w:type="dxa"/>
                  <w:vAlign w:val="center"/>
                </w:tcPr>
                <w:p w14:paraId="5BB2E252">
                  <w:pPr>
                    <w:pStyle w:val="330"/>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0.5</w:t>
                  </w:r>
                </w:p>
              </w:tc>
            </w:tr>
          </w:tbl>
          <w:p w14:paraId="5C224288">
            <w:pPr>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收取方式：以电汇形式递交至招标代理机构以下账户：</w:t>
            </w:r>
          </w:p>
          <w:p w14:paraId="13B4DBF2">
            <w:pPr>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 xml:space="preserve">开户名称：吉林省伟邦公路技术有限公司 </w:t>
            </w:r>
          </w:p>
          <w:p w14:paraId="1C6692D5">
            <w:pPr>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 xml:space="preserve">开户银行：建设银行九台支行 </w:t>
            </w:r>
          </w:p>
          <w:p w14:paraId="0CD9DC00">
            <w:pPr>
              <w:pageBreakBefore w:val="0"/>
              <w:kinsoku/>
              <w:overflowPunct/>
              <w:topLinePunct w:val="0"/>
              <w:bidi w:val="0"/>
              <w:snapToGrid w:val="0"/>
              <w:spacing w:beforeAutospacing="0" w:afterAutospacing="0" w:line="360" w:lineRule="exact"/>
              <w:ind w:left="0" w:leftChars="0" w:right="0" w:firstLine="210" w:firstLineChars="100"/>
              <w:jc w:val="left"/>
              <w:textAlignment w:val="auto"/>
              <w:rPr>
                <w:rFonts w:hint="eastAsia" w:ascii="楷体" w:hAnsi="楷体" w:eastAsia="楷体"/>
                <w:color w:val="000000"/>
                <w:szCs w:val="21"/>
                <w:highlight w:val="none"/>
              </w:rPr>
            </w:pPr>
            <w:r>
              <w:rPr>
                <w:rFonts w:hint="eastAsia" w:ascii="楷体" w:hAnsi="楷体" w:eastAsia="楷体"/>
                <w:color w:val="000000"/>
                <w:szCs w:val="21"/>
                <w:highlight w:val="none"/>
              </w:rPr>
              <w:t>银行账号：22001390100055001391</w:t>
            </w:r>
          </w:p>
        </w:tc>
      </w:tr>
    </w:tbl>
    <w:p w14:paraId="1FA93648">
      <w:pPr>
        <w:pageBreakBefore w:val="0"/>
        <w:widowControl/>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0"/>
          <w:szCs w:val="30"/>
          <w:highlight w:val="none"/>
          <w:lang w:val="zh-CN"/>
        </w:rPr>
      </w:pPr>
      <w:bookmarkStart w:id="23" w:name="_Toc436994103"/>
      <w:bookmarkStart w:id="24" w:name="_Toc197967267"/>
      <w:bookmarkStart w:id="25" w:name="_Toc197967119"/>
      <w:bookmarkStart w:id="26" w:name="_Toc197950804"/>
      <w:bookmarkStart w:id="27" w:name="_Toc197965598"/>
      <w:bookmarkStart w:id="28" w:name="_Toc197960546"/>
      <w:bookmarkStart w:id="29" w:name="_Toc197960494"/>
      <w:bookmarkStart w:id="30" w:name="_Toc197951589"/>
      <w:bookmarkStart w:id="31" w:name="_Toc197950683"/>
    </w:p>
    <w:p w14:paraId="654BEB88">
      <w:pPr>
        <w:pageBreakBefore w:val="0"/>
        <w:widowControl/>
        <w:kinsoku/>
        <w:overflowPunct/>
        <w:topLinePunct w:val="0"/>
        <w:bidi w:val="0"/>
        <w:spacing w:beforeAutospacing="0" w:afterAutospacing="0" w:line="360" w:lineRule="exact"/>
        <w:ind w:left="0" w:leftChars="0" w:right="0"/>
        <w:jc w:val="center"/>
        <w:textAlignment w:val="auto"/>
        <w:rPr>
          <w:rFonts w:hint="eastAsia" w:ascii="黑体" w:hAnsi="黑体" w:eastAsia="黑体"/>
          <w:bCs/>
          <w:sz w:val="30"/>
          <w:szCs w:val="30"/>
          <w:highlight w:val="none"/>
          <w:lang w:val="zh-CN"/>
        </w:rPr>
      </w:pPr>
      <w:r>
        <w:rPr>
          <w:rFonts w:hint="eastAsia" w:ascii="黑体" w:hAnsi="黑体" w:eastAsia="黑体"/>
          <w:bCs/>
          <w:sz w:val="30"/>
          <w:szCs w:val="30"/>
          <w:highlight w:val="none"/>
          <w:lang w:val="zh-CN"/>
        </w:rPr>
        <w:t>附录1资格审查条件（资质最低要求）</w:t>
      </w:r>
    </w:p>
    <w:tbl>
      <w:tblPr>
        <w:tblStyle w:val="55"/>
        <w:tblW w:w="456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7290"/>
      </w:tblGrid>
      <w:tr w14:paraId="583B2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pct"/>
            <w:vAlign w:val="center"/>
          </w:tcPr>
          <w:p w14:paraId="2C97ACE7">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标段</w:t>
            </w:r>
          </w:p>
        </w:tc>
        <w:tc>
          <w:tcPr>
            <w:tcW w:w="4154" w:type="pct"/>
            <w:vAlign w:val="center"/>
          </w:tcPr>
          <w:p w14:paraId="51D0F45B">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施工企业资质等级要求</w:t>
            </w:r>
          </w:p>
        </w:tc>
      </w:tr>
      <w:tr w14:paraId="3C451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46" w:type="pct"/>
            <w:vAlign w:val="center"/>
          </w:tcPr>
          <w:p w14:paraId="70CB795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YH</w:t>
            </w:r>
            <w:r>
              <w:rPr>
                <w:rFonts w:ascii="宋体" w:hAnsi="宋体"/>
                <w:szCs w:val="21"/>
                <w:highlight w:val="none"/>
              </w:rPr>
              <w:t>01</w:t>
            </w:r>
          </w:p>
        </w:tc>
        <w:tc>
          <w:tcPr>
            <w:tcW w:w="4154" w:type="pct"/>
            <w:vAlign w:val="center"/>
          </w:tcPr>
          <w:p w14:paraId="48FA100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cs="宋体"/>
                <w:kern w:val="0"/>
                <w:szCs w:val="21"/>
                <w:highlight w:val="none"/>
              </w:rPr>
              <w:t>交通运输主管部门颁发的路基路面养护甲级资质和桥梁养护甲级资质。</w:t>
            </w:r>
          </w:p>
        </w:tc>
      </w:tr>
    </w:tbl>
    <w:p w14:paraId="7559DEED">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13CA189F">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center"/>
        <w:textAlignment w:val="auto"/>
        <w:rPr>
          <w:rFonts w:hint="eastAsia" w:ascii="黑体" w:hAnsi="黑体"/>
          <w:sz w:val="30"/>
          <w:szCs w:val="30"/>
          <w:highlight w:val="none"/>
          <w:lang w:val="zh-CN"/>
        </w:rPr>
      </w:pPr>
      <w:r>
        <w:rPr>
          <w:rFonts w:hint="eastAsia" w:ascii="黑体" w:hAnsi="黑体"/>
          <w:sz w:val="30"/>
          <w:szCs w:val="30"/>
          <w:highlight w:val="none"/>
          <w:lang w:val="zh-CN"/>
        </w:rPr>
        <w:t>附录2资格审查条件（财务最低要求）</w:t>
      </w:r>
    </w:p>
    <w:tbl>
      <w:tblPr>
        <w:tblStyle w:val="55"/>
        <w:tblW w:w="44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7088"/>
      </w:tblGrid>
      <w:tr w14:paraId="078FB1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Align w:val="center"/>
          </w:tcPr>
          <w:p w14:paraId="4B1F3C3D">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标段</w:t>
            </w:r>
          </w:p>
        </w:tc>
        <w:tc>
          <w:tcPr>
            <w:tcW w:w="7088" w:type="dxa"/>
            <w:vAlign w:val="center"/>
          </w:tcPr>
          <w:p w14:paraId="0856DE02">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财务要求</w:t>
            </w:r>
          </w:p>
        </w:tc>
      </w:tr>
      <w:tr w14:paraId="0435D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545" w:type="dxa"/>
            <w:vAlign w:val="center"/>
          </w:tcPr>
          <w:p w14:paraId="2E8B97AF">
            <w:pPr>
              <w:pageBreakBefore w:val="0"/>
              <w:kinsoku/>
              <w:overflowPunct/>
              <w:topLinePunct w:val="0"/>
              <w:bidi w:val="0"/>
              <w:spacing w:beforeAutospacing="0" w:afterAutospacing="0" w:line="360" w:lineRule="exact"/>
              <w:ind w:left="0" w:leftChars="0" w:right="0"/>
              <w:jc w:val="center"/>
              <w:textAlignment w:val="auto"/>
              <w:rPr>
                <w:rFonts w:hint="eastAsia" w:ascii="楷体" w:hAnsi="楷体" w:eastAsia="楷体" w:cs="宋体"/>
                <w:kern w:val="0"/>
                <w:szCs w:val="21"/>
                <w:highlight w:val="none"/>
              </w:rPr>
            </w:pPr>
            <w:r>
              <w:rPr>
                <w:rFonts w:hint="eastAsia" w:ascii="宋体" w:hAnsi="宋体"/>
                <w:szCs w:val="21"/>
                <w:highlight w:val="none"/>
              </w:rPr>
              <w:t>YH</w:t>
            </w:r>
            <w:r>
              <w:rPr>
                <w:rFonts w:ascii="宋体" w:hAnsi="宋体"/>
                <w:szCs w:val="21"/>
                <w:highlight w:val="none"/>
              </w:rPr>
              <w:t>01</w:t>
            </w:r>
          </w:p>
        </w:tc>
        <w:tc>
          <w:tcPr>
            <w:tcW w:w="7088" w:type="dxa"/>
            <w:vAlign w:val="center"/>
          </w:tcPr>
          <w:p w14:paraId="3C46D3BD">
            <w:pPr>
              <w:pStyle w:val="17"/>
              <w:pageBreakBefore w:val="0"/>
              <w:kinsoku/>
              <w:overflowPunct/>
              <w:topLinePunct w:val="0"/>
              <w:bidi w:val="0"/>
              <w:adjustRightInd w:val="0"/>
              <w:snapToGrid w:val="0"/>
              <w:spacing w:beforeAutospacing="0" w:afterAutospacing="0" w:line="360" w:lineRule="exact"/>
              <w:ind w:left="0" w:leftChars="0" w:right="0" w:firstLine="105" w:firstLineChars="50"/>
              <w:jc w:val="center"/>
              <w:textAlignment w:val="auto"/>
              <w:rPr>
                <w:rFonts w:hint="eastAsia" w:ascii="楷体" w:hAnsi="楷体" w:eastAsia="楷体" w:cs="宋体"/>
                <w:kern w:val="0"/>
                <w:szCs w:val="21"/>
                <w:highlight w:val="none"/>
              </w:rPr>
            </w:pPr>
            <w:r>
              <w:rPr>
                <w:rFonts w:hint="eastAsia" w:ascii="宋体" w:hAnsi="宋体" w:cs="宋体"/>
                <w:kern w:val="0"/>
                <w:szCs w:val="21"/>
                <w:highlight w:val="none"/>
              </w:rPr>
              <w:t>投标人具有健全的财务会计制度且财务状况良好。</w:t>
            </w:r>
          </w:p>
        </w:tc>
      </w:tr>
    </w:tbl>
    <w:p w14:paraId="09F37A73">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5CAD399C">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center"/>
        <w:textAlignment w:val="auto"/>
        <w:rPr>
          <w:rFonts w:hint="eastAsia" w:ascii="黑体" w:hAnsi="黑体"/>
          <w:sz w:val="30"/>
          <w:szCs w:val="30"/>
          <w:highlight w:val="none"/>
          <w:lang w:val="zh-CN"/>
        </w:rPr>
      </w:pPr>
      <w:r>
        <w:rPr>
          <w:rFonts w:hint="eastAsia" w:ascii="黑体" w:hAnsi="黑体"/>
          <w:sz w:val="30"/>
          <w:szCs w:val="30"/>
          <w:highlight w:val="none"/>
          <w:lang w:val="zh-CN"/>
        </w:rPr>
        <w:t>附录3资格审查条件（业绩最低要求）</w:t>
      </w:r>
    </w:p>
    <w:tbl>
      <w:tblPr>
        <w:tblStyle w:val="55"/>
        <w:tblW w:w="45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7231"/>
      </w:tblGrid>
      <w:tr w14:paraId="04B55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0" w:type="dxa"/>
            <w:vAlign w:val="center"/>
          </w:tcPr>
          <w:p w14:paraId="7C87F979">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楷体" w:hAnsi="楷体" w:eastAsia="楷体_GB2312"/>
                <w:szCs w:val="21"/>
                <w:highlight w:val="none"/>
              </w:rPr>
            </w:pPr>
            <w:r>
              <w:rPr>
                <w:rFonts w:hint="eastAsia" w:ascii="宋体" w:hAnsi="宋体"/>
                <w:szCs w:val="21"/>
                <w:highlight w:val="none"/>
              </w:rPr>
              <w:t>标段</w:t>
            </w:r>
          </w:p>
        </w:tc>
        <w:tc>
          <w:tcPr>
            <w:tcW w:w="7231" w:type="dxa"/>
            <w:vAlign w:val="center"/>
          </w:tcPr>
          <w:p w14:paraId="077A9511">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业绩要求</w:t>
            </w:r>
          </w:p>
        </w:tc>
      </w:tr>
      <w:tr w14:paraId="298FF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600" w:type="dxa"/>
            <w:vAlign w:val="center"/>
          </w:tcPr>
          <w:p w14:paraId="3B94CBFF">
            <w:pPr>
              <w:pageBreakBefore w:val="0"/>
              <w:kinsoku/>
              <w:overflowPunct/>
              <w:topLinePunct w:val="0"/>
              <w:bidi w:val="0"/>
              <w:spacing w:beforeAutospacing="0" w:afterAutospacing="0" w:line="360" w:lineRule="exact"/>
              <w:ind w:left="0" w:leftChars="0" w:right="0"/>
              <w:jc w:val="center"/>
              <w:textAlignment w:val="auto"/>
              <w:rPr>
                <w:rFonts w:hint="eastAsia" w:ascii="楷体" w:hAnsi="楷体" w:eastAsia="楷体" w:cs="宋体"/>
                <w:kern w:val="0"/>
                <w:szCs w:val="21"/>
                <w:highlight w:val="none"/>
              </w:rPr>
            </w:pPr>
            <w:r>
              <w:rPr>
                <w:rFonts w:hint="eastAsia" w:ascii="宋体" w:hAnsi="宋体"/>
                <w:szCs w:val="21"/>
                <w:highlight w:val="none"/>
              </w:rPr>
              <w:t>YH</w:t>
            </w:r>
            <w:r>
              <w:rPr>
                <w:rFonts w:ascii="宋体" w:hAnsi="宋体"/>
                <w:szCs w:val="21"/>
                <w:highlight w:val="none"/>
              </w:rPr>
              <w:t>01</w:t>
            </w:r>
          </w:p>
        </w:tc>
        <w:tc>
          <w:tcPr>
            <w:tcW w:w="7231" w:type="dxa"/>
            <w:vAlign w:val="center"/>
          </w:tcPr>
          <w:p w14:paraId="73FFD9BA">
            <w:pPr>
              <w:pageBreakBefore w:val="0"/>
              <w:kinsoku/>
              <w:overflowPunct/>
              <w:topLinePunct w:val="0"/>
              <w:bidi w:val="0"/>
              <w:adjustRightInd w:val="0"/>
              <w:snapToGrid w:val="0"/>
              <w:spacing w:beforeAutospacing="0" w:afterAutospacing="0" w:line="360" w:lineRule="exact"/>
              <w:ind w:left="0" w:leftChars="0" w:right="0" w:firstLine="420" w:firstLineChars="200"/>
              <w:jc w:val="center"/>
              <w:textAlignment w:val="auto"/>
              <w:rPr>
                <w:rFonts w:hint="eastAsia" w:ascii="宋体" w:hAnsi="宋体"/>
                <w:szCs w:val="21"/>
                <w:highlight w:val="none"/>
              </w:rPr>
            </w:pPr>
            <w:r>
              <w:rPr>
                <w:rFonts w:hint="eastAsia" w:ascii="宋体" w:hAnsi="宋体"/>
                <w:szCs w:val="21"/>
                <w:highlight w:val="none"/>
              </w:rPr>
              <w:t>2021年1月1日后（两阶段验收工程以交工时间为准，一阶段验收工程以交工或竣工时间为准），</w:t>
            </w:r>
            <w:r>
              <w:rPr>
                <w:rFonts w:ascii="宋体" w:hAnsi="宋体"/>
                <w:szCs w:val="21"/>
                <w:highlight w:val="none"/>
              </w:rPr>
              <w:t>累计完成过1项高速公路养护工程施工业绩</w:t>
            </w:r>
            <w:r>
              <w:rPr>
                <w:rFonts w:hint="eastAsia" w:ascii="宋体" w:hAnsi="宋体"/>
                <w:szCs w:val="21"/>
                <w:highlight w:val="none"/>
              </w:rPr>
              <w:t>（双幅按2倍长度计算）。</w:t>
            </w:r>
          </w:p>
          <w:p w14:paraId="39509F7E">
            <w:pPr>
              <w:pageBreakBefore w:val="0"/>
              <w:kinsoku/>
              <w:overflowPunct/>
              <w:topLinePunct w:val="0"/>
              <w:bidi w:val="0"/>
              <w:adjustRightInd w:val="0"/>
              <w:snapToGrid w:val="0"/>
              <w:spacing w:beforeAutospacing="0" w:afterAutospacing="0" w:line="360" w:lineRule="exact"/>
              <w:ind w:left="0" w:leftChars="0" w:right="0" w:firstLine="420" w:firstLineChars="200"/>
              <w:jc w:val="center"/>
              <w:textAlignment w:val="auto"/>
              <w:rPr>
                <w:rFonts w:hint="eastAsia" w:ascii="宋体" w:hAnsi="宋体"/>
                <w:szCs w:val="21"/>
                <w:highlight w:val="none"/>
              </w:rPr>
            </w:pPr>
            <w:r>
              <w:rPr>
                <w:rFonts w:hint="eastAsia" w:ascii="黑体" w:hAnsi="黑体" w:eastAsia="黑体" w:cs="黑体"/>
                <w:szCs w:val="21"/>
                <w:highlight w:val="none"/>
              </w:rPr>
              <w:t>注：合同工程内容中至少含有路面工程或桥涵工程两类工程之一，同一路段的</w:t>
            </w:r>
            <w:r>
              <w:rPr>
                <w:rFonts w:ascii="黑体" w:hAnsi="黑体" w:eastAsia="黑体" w:cs="黑体"/>
                <w:szCs w:val="21"/>
                <w:highlight w:val="none"/>
              </w:rPr>
              <w:t>路面工程</w:t>
            </w:r>
            <w:r>
              <w:rPr>
                <w:rFonts w:hint="eastAsia" w:ascii="黑体" w:hAnsi="黑体" w:eastAsia="黑体" w:cs="黑体"/>
                <w:szCs w:val="21"/>
                <w:highlight w:val="none"/>
              </w:rPr>
              <w:t>和</w:t>
            </w:r>
            <w:r>
              <w:rPr>
                <w:rFonts w:ascii="黑体" w:hAnsi="黑体" w:eastAsia="黑体" w:cs="黑体"/>
                <w:szCs w:val="21"/>
                <w:highlight w:val="none"/>
              </w:rPr>
              <w:t>桥涵工程</w:t>
            </w:r>
            <w:r>
              <w:rPr>
                <w:rFonts w:hint="eastAsia" w:ascii="黑体" w:hAnsi="黑体" w:eastAsia="黑体" w:cs="黑体"/>
                <w:szCs w:val="21"/>
                <w:highlight w:val="none"/>
              </w:rPr>
              <w:t>里程不重复计算，联合体投标的，联合体所有成员的业绩均参与计算。</w:t>
            </w:r>
          </w:p>
          <w:p w14:paraId="5662DB9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r>
    </w:tbl>
    <w:p w14:paraId="34FD45F5">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center"/>
        <w:textAlignment w:val="auto"/>
        <w:rPr>
          <w:rFonts w:hint="eastAsia" w:ascii="黑体" w:hAnsi="黑体"/>
          <w:sz w:val="30"/>
          <w:szCs w:val="30"/>
          <w:highlight w:val="none"/>
          <w:lang w:val="zh-CN"/>
        </w:rPr>
      </w:pPr>
      <w:r>
        <w:rPr>
          <w:rFonts w:hint="eastAsia" w:ascii="黑体" w:hAnsi="黑体"/>
          <w:sz w:val="30"/>
          <w:szCs w:val="30"/>
          <w:highlight w:val="none"/>
          <w:lang w:val="zh-CN"/>
        </w:rPr>
        <w:t>附录4资格审查条件（信誉最低要求）</w:t>
      </w:r>
    </w:p>
    <w:tbl>
      <w:tblPr>
        <w:tblStyle w:val="55"/>
        <w:tblW w:w="44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33"/>
      </w:tblGrid>
      <w:tr w14:paraId="4B098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8637843">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信誉要求</w:t>
            </w:r>
          </w:p>
        </w:tc>
      </w:tr>
      <w:tr w14:paraId="36DEF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000" w:type="pct"/>
            <w:vAlign w:val="center"/>
          </w:tcPr>
          <w:p w14:paraId="452EFE4F">
            <w:pPr>
              <w:pageBreakBefore w:val="0"/>
              <w:kinsoku/>
              <w:overflowPunct/>
              <w:topLinePunct w:val="0"/>
              <w:bidi w:val="0"/>
              <w:adjustRightInd w:val="0"/>
              <w:snapToGrid w:val="0"/>
              <w:spacing w:beforeAutospacing="0" w:afterAutospacing="0" w:line="360" w:lineRule="exact"/>
              <w:ind w:left="0" w:leftChars="0" w:right="0" w:firstLine="210" w:firstLineChars="100"/>
              <w:jc w:val="center"/>
              <w:textAlignment w:val="auto"/>
              <w:rPr>
                <w:rFonts w:hint="eastAsia" w:ascii="宋体" w:hAnsi="宋体"/>
                <w:szCs w:val="21"/>
                <w:highlight w:val="none"/>
              </w:rPr>
            </w:pPr>
            <w:r>
              <w:rPr>
                <w:rFonts w:hint="eastAsia" w:ascii="宋体" w:hAnsi="宋体"/>
                <w:szCs w:val="21"/>
                <w:highlight w:val="none"/>
              </w:rPr>
              <w:t>/</w:t>
            </w:r>
          </w:p>
        </w:tc>
      </w:tr>
      <w:bookmarkEnd w:id="23"/>
    </w:tbl>
    <w:p w14:paraId="21AAC90F">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51DA72D2">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19A827A3">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54C73B37">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0E55D596">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008F13CB">
      <w:pPr>
        <w:rPr>
          <w:rFonts w:hint="eastAsia" w:ascii="黑体" w:hAnsi="黑体"/>
          <w:sz w:val="30"/>
          <w:szCs w:val="30"/>
          <w:highlight w:val="none"/>
          <w:lang w:val="zh-CN"/>
        </w:rPr>
      </w:pPr>
    </w:p>
    <w:p w14:paraId="1CA023BF">
      <w:pPr>
        <w:rPr>
          <w:rFonts w:hint="eastAsia" w:ascii="黑体" w:hAnsi="黑体"/>
          <w:sz w:val="30"/>
          <w:szCs w:val="30"/>
          <w:highlight w:val="none"/>
          <w:lang w:val="zh-CN"/>
        </w:rPr>
      </w:pPr>
    </w:p>
    <w:p w14:paraId="2DB040ED">
      <w:pPr>
        <w:rPr>
          <w:rFonts w:hint="eastAsia" w:ascii="黑体" w:hAnsi="黑体"/>
          <w:sz w:val="30"/>
          <w:szCs w:val="30"/>
          <w:highlight w:val="none"/>
          <w:lang w:val="zh-CN"/>
        </w:rPr>
      </w:pPr>
    </w:p>
    <w:p w14:paraId="1A70F766">
      <w:pPr>
        <w:rPr>
          <w:rFonts w:hint="eastAsia" w:ascii="黑体" w:hAnsi="黑体"/>
          <w:sz w:val="30"/>
          <w:szCs w:val="30"/>
          <w:highlight w:val="none"/>
          <w:lang w:val="zh-CN"/>
        </w:rPr>
      </w:pPr>
    </w:p>
    <w:p w14:paraId="2219A6FC">
      <w:pPr>
        <w:rPr>
          <w:rFonts w:hint="eastAsia" w:ascii="黑体" w:hAnsi="黑体"/>
          <w:sz w:val="30"/>
          <w:szCs w:val="30"/>
          <w:highlight w:val="none"/>
          <w:lang w:val="zh-CN"/>
        </w:rPr>
      </w:pPr>
    </w:p>
    <w:p w14:paraId="7DD9C64A">
      <w:pPr>
        <w:rPr>
          <w:rFonts w:hint="eastAsia" w:ascii="黑体" w:hAnsi="黑体"/>
          <w:sz w:val="30"/>
          <w:szCs w:val="30"/>
          <w:highlight w:val="none"/>
          <w:lang w:val="zh-CN"/>
        </w:rPr>
      </w:pPr>
    </w:p>
    <w:p w14:paraId="341E3E9E">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61F0A47E">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left"/>
        <w:textAlignment w:val="auto"/>
        <w:rPr>
          <w:rFonts w:hint="eastAsia" w:ascii="黑体" w:hAnsi="黑体"/>
          <w:sz w:val="30"/>
          <w:szCs w:val="30"/>
          <w:highlight w:val="none"/>
          <w:lang w:val="zh-CN"/>
        </w:rPr>
      </w:pPr>
    </w:p>
    <w:p w14:paraId="2FF004BD">
      <w:pPr>
        <w:pStyle w:val="5"/>
        <w:pageBreakBefore w:val="0"/>
        <w:kinsoku/>
        <w:overflowPunct/>
        <w:topLinePunct w:val="0"/>
        <w:bidi w:val="0"/>
        <w:adjustRightInd w:val="0"/>
        <w:snapToGrid w:val="0"/>
        <w:spacing w:before="0" w:beforeAutospacing="0" w:after="0" w:afterAutospacing="0" w:line="360" w:lineRule="exact"/>
        <w:ind w:left="0" w:leftChars="0" w:right="0" w:firstLine="300" w:firstLineChars="100"/>
        <w:jc w:val="center"/>
        <w:textAlignment w:val="auto"/>
        <w:rPr>
          <w:rFonts w:hint="eastAsia" w:ascii="黑体" w:hAnsi="黑体"/>
          <w:sz w:val="30"/>
          <w:szCs w:val="30"/>
          <w:highlight w:val="none"/>
          <w:lang w:val="zh-CN"/>
        </w:rPr>
      </w:pPr>
      <w:r>
        <w:rPr>
          <w:rFonts w:hint="eastAsia" w:ascii="黑体" w:hAnsi="黑体"/>
          <w:sz w:val="30"/>
          <w:szCs w:val="30"/>
          <w:highlight w:val="none"/>
          <w:lang w:val="zh-CN"/>
        </w:rPr>
        <w:t>附录5资格审查条件（项目经理和项目总工最低要求）</w:t>
      </w:r>
    </w:p>
    <w:p w14:paraId="25F29AA8">
      <w:pPr>
        <w:pageBreakBefore w:val="0"/>
        <w:kinsoku/>
        <w:overflowPunct/>
        <w:topLinePunct w:val="0"/>
        <w:bidi w:val="0"/>
        <w:spacing w:beforeAutospacing="0" w:afterAutospacing="0" w:line="360" w:lineRule="exact"/>
        <w:ind w:left="0" w:leftChars="0" w:right="0"/>
        <w:jc w:val="left"/>
        <w:textAlignment w:val="auto"/>
        <w:rPr>
          <w:highlight w:val="none"/>
          <w:lang w:val="zh-CN"/>
        </w:rPr>
      </w:pPr>
    </w:p>
    <w:tbl>
      <w:tblPr>
        <w:tblStyle w:val="55"/>
        <w:tblW w:w="445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47"/>
        <w:gridCol w:w="828"/>
        <w:gridCol w:w="6683"/>
      </w:tblGrid>
      <w:tr w14:paraId="34B02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12" w:type="pct"/>
            <w:vAlign w:val="center"/>
          </w:tcPr>
          <w:p w14:paraId="67DECDE6">
            <w:pPr>
              <w:pageBreakBefore w:val="0"/>
              <w:kinsoku/>
              <w:overflowPunct/>
              <w:topLinePunct w:val="0"/>
              <w:bidi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人员</w:t>
            </w:r>
          </w:p>
        </w:tc>
        <w:tc>
          <w:tcPr>
            <w:tcW w:w="484" w:type="pct"/>
            <w:vAlign w:val="center"/>
          </w:tcPr>
          <w:p w14:paraId="698DEE48">
            <w:pPr>
              <w:pageBreakBefore w:val="0"/>
              <w:kinsoku/>
              <w:overflowPunct/>
              <w:topLinePunct w:val="0"/>
              <w:bidi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数量</w:t>
            </w:r>
          </w:p>
        </w:tc>
        <w:tc>
          <w:tcPr>
            <w:tcW w:w="3905" w:type="pct"/>
            <w:vAlign w:val="center"/>
          </w:tcPr>
          <w:p w14:paraId="04FB386C">
            <w:pPr>
              <w:pageBreakBefore w:val="0"/>
              <w:kinsoku/>
              <w:overflowPunct/>
              <w:topLinePunct w:val="0"/>
              <w:bidi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资格最低要求</w:t>
            </w:r>
          </w:p>
        </w:tc>
      </w:tr>
      <w:tr w14:paraId="0D16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1" w:hRule="atLeast"/>
          <w:jc w:val="center"/>
        </w:trPr>
        <w:tc>
          <w:tcPr>
            <w:tcW w:w="612" w:type="pct"/>
            <w:vAlign w:val="center"/>
          </w:tcPr>
          <w:p w14:paraId="633FB0B1">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项目</w:t>
            </w:r>
          </w:p>
          <w:p w14:paraId="1D6A6619">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经理</w:t>
            </w:r>
          </w:p>
        </w:tc>
        <w:tc>
          <w:tcPr>
            <w:tcW w:w="484" w:type="pct"/>
            <w:vAlign w:val="center"/>
          </w:tcPr>
          <w:p w14:paraId="15DB80DC">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w:t>
            </w:r>
          </w:p>
        </w:tc>
        <w:tc>
          <w:tcPr>
            <w:tcW w:w="3905" w:type="pct"/>
            <w:vAlign w:val="center"/>
          </w:tcPr>
          <w:p w14:paraId="20EB3F1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（1）投标人自有人员；</w:t>
            </w:r>
          </w:p>
          <w:p w14:paraId="7BE0B7B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w:t>
            </w:r>
            <w:r>
              <w:rPr>
                <w:rFonts w:hint="eastAsia" w:ascii="宋体" w:hAnsi="宋体"/>
                <w:bCs/>
                <w:highlight w:val="none"/>
              </w:rPr>
              <w:t>具有公路工程相关专业中级及以上技术职称</w:t>
            </w:r>
            <w:r>
              <w:rPr>
                <w:rFonts w:hint="eastAsia" w:ascii="宋体" w:hAnsi="宋体"/>
                <w:szCs w:val="21"/>
                <w:highlight w:val="none"/>
              </w:rPr>
              <w:t>；</w:t>
            </w:r>
          </w:p>
          <w:p w14:paraId="76F4B733">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（3）具有建设行政主管部门颁发的“公路工程”专业《一级建造师注册证书》，且现注册单位为投标人；</w:t>
            </w:r>
          </w:p>
          <w:p w14:paraId="252529E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（4）具有交通运输主管部门或建设行政主管部门颁发的有效的B类安全生产考核合格证书；</w:t>
            </w:r>
          </w:p>
          <w:p w14:paraId="1DC6091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（5）无在岗项目(指目前未在其他项目上任职，或虽在其他项目上任职但本项目中标后能够从该项目撤离)。如项目经理目前仍在其他项目上任职，则投标人须出具项目经理能够从该项目撤离的书面承诺)。</w:t>
            </w:r>
          </w:p>
          <w:p w14:paraId="2AA2F7B9">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楷体" w:hAnsi="楷体" w:eastAsia="楷体"/>
                <w:szCs w:val="21"/>
                <w:highlight w:val="none"/>
              </w:rPr>
              <w:t>注：①项目经理和项目总工不得兼职。</w:t>
            </w:r>
          </w:p>
          <w:p w14:paraId="49062DC0">
            <w:pPr>
              <w:pageBreakBefore w:val="0"/>
              <w:kinsoku/>
              <w:overflowPunct/>
              <w:topLinePunct w:val="0"/>
              <w:bidi w:val="0"/>
              <w:spacing w:beforeAutospacing="0" w:afterAutospacing="0" w:line="360" w:lineRule="exact"/>
              <w:ind w:left="0" w:leftChars="0" w:right="0" w:firstLine="420"/>
              <w:jc w:val="left"/>
              <w:textAlignment w:val="auto"/>
              <w:rPr>
                <w:rFonts w:hint="eastAsia" w:ascii="宋体" w:hAnsi="宋体"/>
                <w:szCs w:val="21"/>
                <w:highlight w:val="none"/>
              </w:rPr>
            </w:pPr>
            <w:r>
              <w:rPr>
                <w:rFonts w:hint="eastAsia" w:ascii="楷体" w:hAnsi="楷体" w:eastAsia="楷体"/>
                <w:szCs w:val="21"/>
                <w:highlight w:val="none"/>
              </w:rPr>
              <w:t>②</w:t>
            </w:r>
            <w:r>
              <w:rPr>
                <w:rFonts w:hint="eastAsia" w:ascii="楷体" w:hAnsi="楷体" w:eastAsia="楷体"/>
                <w:highlight w:val="none"/>
              </w:rPr>
              <w:t>“投标人自有人员”指投标人为其申报社会保险登记，并为其缴纳社会保险费的人员。</w:t>
            </w:r>
            <w:r>
              <w:rPr>
                <w:rFonts w:hint="eastAsia" w:ascii="楷体" w:hAnsi="楷体" w:eastAsia="楷体"/>
                <w:highlight w:val="none"/>
                <w:lang w:val="zh-CN"/>
              </w:rPr>
              <w:t>如果投标人属事业法人单位，则由投标人的上级行政主管部门出具拟委任的项目经理是投标人单位职工的有效书面证明材料</w:t>
            </w:r>
            <w:r>
              <w:rPr>
                <w:rFonts w:hint="eastAsia" w:ascii="楷体" w:hAnsi="楷体" w:eastAsia="楷体"/>
                <w:highlight w:val="none"/>
              </w:rPr>
              <w:t>，书面证明材料必须加盖上级行政主管部门单位章或人事专用章，不得使用电子制版印章；</w:t>
            </w:r>
            <w:r>
              <w:rPr>
                <w:rFonts w:hint="eastAsia" w:ascii="楷体" w:hAnsi="楷体" w:eastAsia="楷体"/>
                <w:highlight w:val="none"/>
                <w:lang w:val="zh-CN"/>
              </w:rPr>
              <w:t>退休人员不予认可。</w:t>
            </w:r>
          </w:p>
        </w:tc>
      </w:tr>
      <w:tr w14:paraId="34F42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16" w:hRule="atLeast"/>
          <w:jc w:val="center"/>
        </w:trPr>
        <w:tc>
          <w:tcPr>
            <w:tcW w:w="612" w:type="pct"/>
            <w:vAlign w:val="center"/>
          </w:tcPr>
          <w:p w14:paraId="06964276">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项目</w:t>
            </w:r>
          </w:p>
          <w:p w14:paraId="4D806170">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总工</w:t>
            </w:r>
          </w:p>
        </w:tc>
        <w:tc>
          <w:tcPr>
            <w:tcW w:w="484" w:type="pct"/>
            <w:vAlign w:val="center"/>
          </w:tcPr>
          <w:p w14:paraId="5126E4D9">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w:t>
            </w:r>
          </w:p>
        </w:tc>
        <w:tc>
          <w:tcPr>
            <w:tcW w:w="3905" w:type="pct"/>
            <w:vAlign w:val="center"/>
          </w:tcPr>
          <w:p w14:paraId="5C262688">
            <w:pPr>
              <w:pageBreakBefore w:val="0"/>
              <w:kinsoku/>
              <w:overflowPunct/>
              <w:topLinePunct w:val="0"/>
              <w:autoSpaceDE w:val="0"/>
              <w:autoSpaceDN w:val="0"/>
              <w:bidi w:val="0"/>
              <w:adjustRightIn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（1）投标人自有人员；</w:t>
            </w:r>
          </w:p>
          <w:p w14:paraId="3EA1171B">
            <w:pPr>
              <w:pageBreakBefore w:val="0"/>
              <w:kinsoku/>
              <w:overflowPunct/>
              <w:topLinePunct w:val="0"/>
              <w:autoSpaceDE w:val="0"/>
              <w:autoSpaceDN w:val="0"/>
              <w:bidi w:val="0"/>
              <w:adjustRightIn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w:t>
            </w:r>
            <w:r>
              <w:rPr>
                <w:rFonts w:hint="eastAsia" w:ascii="宋体" w:hAnsi="宋体"/>
                <w:bCs/>
                <w:highlight w:val="none"/>
              </w:rPr>
              <w:t>具有公路工程相关专业高级技术职称</w:t>
            </w:r>
            <w:r>
              <w:rPr>
                <w:rFonts w:hint="eastAsia" w:ascii="宋体" w:hAnsi="宋体"/>
                <w:szCs w:val="21"/>
                <w:highlight w:val="none"/>
              </w:rPr>
              <w:t>；</w:t>
            </w:r>
          </w:p>
          <w:p w14:paraId="45004FA2">
            <w:pPr>
              <w:pStyle w:val="26"/>
              <w:pageBreakBefore w:val="0"/>
              <w:kinsoku/>
              <w:overflowPunct/>
              <w:topLinePunct w:val="0"/>
              <w:bidi w:val="0"/>
              <w:spacing w:beforeAutospacing="0" w:afterAutospacing="0" w:line="360" w:lineRule="exact"/>
              <w:ind w:left="0" w:leftChars="0" w:right="0"/>
              <w:jc w:val="left"/>
              <w:textAlignment w:val="auto"/>
              <w:rPr>
                <w:highlight w:val="none"/>
              </w:rPr>
            </w:pPr>
            <w:r>
              <w:rPr>
                <w:rFonts w:hint="eastAsia" w:hAnsi="宋体"/>
                <w:highlight w:val="none"/>
              </w:rPr>
              <w:t>（3）无在岗项目(指目前未在其他项目上任职，或虽在其他项目上任职但本项目中标后能够从该项目撤离)。如项目总工目前仍在其他项目上任职，则投标人须出具项目总工能够从该项目撤离的书面承诺)。</w:t>
            </w:r>
          </w:p>
          <w:p w14:paraId="539E9757">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楷体" w:hAnsi="楷体" w:eastAsia="楷体"/>
                <w:szCs w:val="21"/>
                <w:highlight w:val="none"/>
              </w:rPr>
              <w:t>注：①项目经理和项目总工不得兼职。</w:t>
            </w:r>
          </w:p>
          <w:p w14:paraId="0620D766">
            <w:pPr>
              <w:pageBreakBefore w:val="0"/>
              <w:kinsoku/>
              <w:overflowPunct/>
              <w:topLinePunct w:val="0"/>
              <w:bidi w:val="0"/>
              <w:spacing w:beforeAutospacing="0" w:afterAutospacing="0" w:line="360" w:lineRule="exact"/>
              <w:ind w:left="0" w:leftChars="0" w:right="0" w:firstLine="420"/>
              <w:jc w:val="left"/>
              <w:textAlignment w:val="auto"/>
              <w:rPr>
                <w:rFonts w:hint="eastAsia" w:ascii="宋体" w:hAnsi="宋体"/>
                <w:szCs w:val="21"/>
                <w:highlight w:val="none"/>
              </w:rPr>
            </w:pPr>
            <w:r>
              <w:rPr>
                <w:rFonts w:hint="eastAsia" w:ascii="楷体" w:hAnsi="楷体" w:eastAsia="楷体"/>
                <w:szCs w:val="21"/>
                <w:highlight w:val="none"/>
              </w:rPr>
              <w:t>②</w:t>
            </w:r>
            <w:r>
              <w:rPr>
                <w:rFonts w:hint="eastAsia" w:ascii="楷体" w:hAnsi="楷体" w:eastAsia="楷体"/>
                <w:highlight w:val="none"/>
              </w:rPr>
              <w:t>“投标人自有人员”指投标人为其申报社会保险登记，并为其缴纳社会保险费的人员。</w:t>
            </w:r>
            <w:r>
              <w:rPr>
                <w:rFonts w:hint="eastAsia" w:ascii="楷体" w:hAnsi="楷体" w:eastAsia="楷体"/>
                <w:highlight w:val="none"/>
                <w:lang w:val="zh-CN"/>
              </w:rPr>
              <w:t>如果投标人属事业法人单位，则由投标人的上级行政主管部门出具拟委任的项目</w:t>
            </w:r>
            <w:r>
              <w:rPr>
                <w:rFonts w:hint="eastAsia" w:ascii="楷体" w:hAnsi="楷体" w:eastAsia="楷体"/>
                <w:highlight w:val="none"/>
              </w:rPr>
              <w:t>总工</w:t>
            </w:r>
            <w:r>
              <w:rPr>
                <w:rFonts w:hint="eastAsia" w:ascii="楷体" w:hAnsi="楷体" w:eastAsia="楷体"/>
                <w:highlight w:val="none"/>
                <w:lang w:val="zh-CN"/>
              </w:rPr>
              <w:t>是投标人单位职工的有效书面证明材料</w:t>
            </w:r>
            <w:r>
              <w:rPr>
                <w:rFonts w:hint="eastAsia" w:ascii="楷体" w:hAnsi="楷体" w:eastAsia="楷体"/>
                <w:highlight w:val="none"/>
              </w:rPr>
              <w:t>，书面证明材料必须加盖上级行政主管部门单位章或人事专用章，不得使用电子制版印章；</w:t>
            </w:r>
            <w:r>
              <w:rPr>
                <w:rFonts w:hint="eastAsia" w:ascii="楷体" w:hAnsi="楷体" w:eastAsia="楷体"/>
                <w:highlight w:val="none"/>
                <w:lang w:val="zh-CN"/>
              </w:rPr>
              <w:t>退休人员不予认可。</w:t>
            </w:r>
          </w:p>
        </w:tc>
      </w:tr>
    </w:tbl>
    <w:p w14:paraId="14C9FBF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highlight w:val="none"/>
        </w:rPr>
      </w:pPr>
    </w:p>
    <w:p w14:paraId="23D4575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highlight w:val="none"/>
        </w:rPr>
      </w:pPr>
    </w:p>
    <w:bookmarkEnd w:id="24"/>
    <w:bookmarkEnd w:id="25"/>
    <w:bookmarkEnd w:id="26"/>
    <w:bookmarkEnd w:id="27"/>
    <w:bookmarkEnd w:id="28"/>
    <w:bookmarkEnd w:id="29"/>
    <w:bookmarkEnd w:id="30"/>
    <w:bookmarkEnd w:id="31"/>
    <w:p w14:paraId="2B3335D8">
      <w:pPr>
        <w:keepNext/>
        <w:keepLines/>
        <w:pageBreakBefore w:val="0"/>
        <w:kinsoku/>
        <w:overflowPunct/>
        <w:topLinePunct w:val="0"/>
        <w:bidi w:val="0"/>
        <w:adjustRightInd w:val="0"/>
        <w:snapToGrid w:val="0"/>
        <w:spacing w:beforeAutospacing="0" w:afterAutospacing="0" w:line="360" w:lineRule="exact"/>
        <w:ind w:left="0" w:leftChars="0" w:right="0"/>
        <w:jc w:val="left"/>
        <w:textAlignment w:val="auto"/>
        <w:outlineLvl w:val="2"/>
        <w:rPr>
          <w:rFonts w:hint="eastAsia" w:ascii="宋体" w:hAnsi="宋体"/>
          <w:bCs/>
          <w:kern w:val="0"/>
          <w:sz w:val="32"/>
          <w:szCs w:val="32"/>
          <w:highlight w:val="none"/>
        </w:rPr>
      </w:pPr>
      <w:bookmarkStart w:id="32" w:name="_Toc64810268"/>
      <w:r>
        <w:rPr>
          <w:rFonts w:hint="eastAsia" w:ascii="黑体" w:hAnsi="黑体" w:eastAsia="黑体"/>
          <w:sz w:val="28"/>
          <w:szCs w:val="28"/>
          <w:highlight w:val="none"/>
          <w:lang w:val="en-US" w:eastAsia="zh-CN"/>
        </w:rPr>
        <w:t>9.评标办法前附表</w:t>
      </w:r>
      <w:r>
        <w:rPr>
          <w:rFonts w:ascii="宋体" w:hAnsi="宋体"/>
          <w:bCs/>
          <w:kern w:val="0"/>
          <w:sz w:val="30"/>
          <w:szCs w:val="30"/>
          <w:highlight w:val="none"/>
          <w:vertAlign w:val="superscript"/>
        </w:rPr>
        <w:footnoteReference w:id="0"/>
      </w:r>
      <w:bookmarkEnd w:id="32"/>
    </w:p>
    <w:tbl>
      <w:tblPr>
        <w:tblStyle w:val="5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389"/>
        <w:gridCol w:w="7383"/>
      </w:tblGrid>
      <w:tr w14:paraId="573BA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tblHeader/>
          <w:jc w:val="center"/>
        </w:trPr>
        <w:tc>
          <w:tcPr>
            <w:tcW w:w="2245" w:type="dxa"/>
            <w:gridSpan w:val="2"/>
            <w:vAlign w:val="center"/>
          </w:tcPr>
          <w:p w14:paraId="66A55B56">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条款号</w:t>
            </w:r>
          </w:p>
        </w:tc>
        <w:tc>
          <w:tcPr>
            <w:tcW w:w="7383" w:type="dxa"/>
            <w:vAlign w:val="center"/>
          </w:tcPr>
          <w:p w14:paraId="70ADD119">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评审因素与评审标准</w:t>
            </w:r>
          </w:p>
        </w:tc>
      </w:tr>
      <w:tr w14:paraId="1364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86" w:hRule="atLeast"/>
          <w:jc w:val="center"/>
        </w:trPr>
        <w:tc>
          <w:tcPr>
            <w:tcW w:w="856" w:type="dxa"/>
            <w:vAlign w:val="center"/>
          </w:tcPr>
          <w:p w14:paraId="270E011D">
            <w:pPr>
              <w:pageBreakBefore w:val="0"/>
              <w:kinsoku/>
              <w:overflowPunct/>
              <w:topLinePunct w:val="0"/>
              <w:autoSpaceDE w:val="0"/>
              <w:autoSpaceDN w:val="0"/>
              <w:bidi w:val="0"/>
              <w:adjustRightInd w:val="0"/>
              <w:snapToGrid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1</w:t>
            </w:r>
          </w:p>
        </w:tc>
        <w:tc>
          <w:tcPr>
            <w:tcW w:w="1389" w:type="dxa"/>
            <w:vAlign w:val="center"/>
          </w:tcPr>
          <w:p w14:paraId="5F4D7D77">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评标方法</w:t>
            </w:r>
          </w:p>
        </w:tc>
        <w:tc>
          <w:tcPr>
            <w:tcW w:w="7383" w:type="dxa"/>
            <w:vAlign w:val="center"/>
          </w:tcPr>
          <w:p w14:paraId="3AD32675">
            <w:pPr>
              <w:pStyle w:val="49"/>
              <w:pageBreakBefore w:val="0"/>
              <w:kinsoku/>
              <w:overflowPunct/>
              <w:topLinePunct w:val="0"/>
              <w:bidi w:val="0"/>
              <w:spacing w:before="0" w:beforeAutospacing="0" w:after="0" w:afterAutospacing="0" w:line="360" w:lineRule="exact"/>
              <w:ind w:left="0" w:leftChars="0" w:right="0" w:firstLine="420" w:firstLineChars="200"/>
              <w:jc w:val="left"/>
              <w:textAlignment w:val="auto"/>
              <w:rPr>
                <w:rFonts w:hint="eastAsia"/>
                <w:kern w:val="2"/>
                <w:sz w:val="21"/>
                <w:szCs w:val="21"/>
                <w:highlight w:val="none"/>
              </w:rPr>
            </w:pPr>
            <w:r>
              <w:rPr>
                <w:rFonts w:hint="eastAsia"/>
                <w:kern w:val="2"/>
                <w:sz w:val="21"/>
                <w:szCs w:val="21"/>
                <w:highlight w:val="none"/>
              </w:rPr>
              <w:t>本次评标采用综合评分法（施工组织设计采用“盲评”方式），即投标文件的商务部分按招标文件要求进行评分，技术部分采用“暗标”形式，公共资源交易一体化平台评标系统将所有投标人的技术标随机排序。评标专家在不知晓投标人信息的情况下进行评审，由系统自动汇总评审情况，按程序确定中标候选人。</w:t>
            </w:r>
          </w:p>
          <w:p w14:paraId="51772361">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综合评分相等时，评标委员会依次按照以下优先顺序推荐中标候选人：</w:t>
            </w:r>
          </w:p>
          <w:p w14:paraId="62952803">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（1）评标价低的投标人优先；</w:t>
            </w:r>
          </w:p>
          <w:p w14:paraId="0F2CEAE3">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（2）商务和技术得分较高的投标人优先；</w:t>
            </w:r>
          </w:p>
          <w:p w14:paraId="493BBA3D">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（3）若以上各项比较因素都相等，则通过评标委员会投票表决，推荐票数多的投标人优先。</w:t>
            </w:r>
          </w:p>
        </w:tc>
      </w:tr>
      <w:tr w14:paraId="640C0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53" w:hRule="atLeast"/>
          <w:jc w:val="center"/>
        </w:trPr>
        <w:tc>
          <w:tcPr>
            <w:tcW w:w="856" w:type="dxa"/>
            <w:vAlign w:val="center"/>
          </w:tcPr>
          <w:p w14:paraId="16E91FA9">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2.1.1</w:t>
            </w:r>
          </w:p>
          <w:p w14:paraId="0870661F">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2.1.3</w:t>
            </w:r>
          </w:p>
        </w:tc>
        <w:tc>
          <w:tcPr>
            <w:tcW w:w="1389" w:type="dxa"/>
            <w:vAlign w:val="center"/>
          </w:tcPr>
          <w:p w14:paraId="5B0A70ED">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形式评审与</w:t>
            </w:r>
          </w:p>
          <w:p w14:paraId="3A9B20BF">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响应性评审</w:t>
            </w:r>
          </w:p>
          <w:p w14:paraId="6C440165">
            <w:pPr>
              <w:pageBreakBefore w:val="0"/>
              <w:kinsoku/>
              <w:overflowPunct/>
              <w:topLinePunct w:val="0"/>
              <w:bidi w:val="0"/>
              <w:adjustRightInd w:val="0"/>
              <w:snapToGrid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标准</w:t>
            </w:r>
          </w:p>
        </w:tc>
        <w:tc>
          <w:tcPr>
            <w:tcW w:w="7383" w:type="dxa"/>
            <w:vAlign w:val="center"/>
          </w:tcPr>
          <w:p w14:paraId="07F680DF">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黑体" w:hAnsi="黑体" w:eastAsia="黑体"/>
                <w:highlight w:val="none"/>
              </w:rPr>
            </w:pPr>
            <w:r>
              <w:rPr>
                <w:rFonts w:hint="eastAsia" w:ascii="黑体" w:hAnsi="黑体" w:eastAsia="黑体"/>
                <w:highlight w:val="none"/>
              </w:rPr>
              <w:t>第一个信封（商务及技术文件）评审标准：</w:t>
            </w:r>
          </w:p>
          <w:p w14:paraId="16BAA42F">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（1）投标文件按照招标文件规定的格式、内容填写，字迹清晰可辨：</w:t>
            </w:r>
          </w:p>
          <w:p w14:paraId="1139694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a.投标函按招标文件规定填报了项目名称、标段号、补遗书编号（如有）、工期、工程质量要求及安全目标；</w:t>
            </w:r>
          </w:p>
          <w:p w14:paraId="6287B5B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b.投标函附录的所有数据均符合招标文件规定；</w:t>
            </w:r>
          </w:p>
          <w:p w14:paraId="0B52CB7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 xml:space="preserve">c.投标文件组成齐全完整，内容均按规定填写。 </w:t>
            </w:r>
          </w:p>
          <w:p w14:paraId="0253EDCC">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（2）投标文件上法定代表人或其委托代理人的签字、投标人的单位章盖章齐全，符合招标文件规定。</w:t>
            </w:r>
          </w:p>
          <w:p w14:paraId="68D6579D">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（3）投标人按照招标文件的规定提供了投标保证金：</w:t>
            </w:r>
          </w:p>
          <w:p w14:paraId="01EC1E33">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a.投标保证金金额符合招标文件规定的金额，且投标保证金有效期不少于投标有效期；</w:t>
            </w:r>
          </w:p>
          <w:p w14:paraId="5A4F2DD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b. 若投标保证金采用现金或支票形式提交，投标人应在招标文件规定的截止时间之前，将投标保证金一次性由投标人的基本账户转入并到达招标人指定账户；</w:t>
            </w:r>
          </w:p>
          <w:p w14:paraId="2A9D99F9">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c.若投标保证金采用保函或保单形式提交，满足招标文件要求。</w:t>
            </w:r>
          </w:p>
          <w:p w14:paraId="7B28B747">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（4）投标人法定代表人授权委托代理人签署投标文件的，须提交授权委托书，</w:t>
            </w:r>
            <w:r>
              <w:rPr>
                <w:rFonts w:ascii="宋体" w:hAnsi="宋体" w:cs="Cambria"/>
                <w:szCs w:val="21"/>
                <w:highlight w:val="none"/>
              </w:rPr>
              <w:t>授权委托书</w:t>
            </w:r>
            <w:r>
              <w:rPr>
                <w:rFonts w:hint="eastAsia" w:ascii="宋体" w:hAnsi="宋体" w:cs="Cambria"/>
                <w:szCs w:val="21"/>
                <w:highlight w:val="none"/>
              </w:rPr>
              <w:t>符合招标文件规定</w:t>
            </w:r>
            <w:r>
              <w:rPr>
                <w:rFonts w:ascii="宋体" w:hAnsi="宋体" w:cs="Cambria"/>
                <w:szCs w:val="21"/>
                <w:highlight w:val="none"/>
              </w:rPr>
              <w:t>。</w:t>
            </w:r>
          </w:p>
        </w:tc>
      </w:tr>
      <w:tr w14:paraId="3D72C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749" w:hRule="atLeast"/>
          <w:jc w:val="center"/>
        </w:trPr>
        <w:tc>
          <w:tcPr>
            <w:tcW w:w="856" w:type="dxa"/>
            <w:vAlign w:val="center"/>
          </w:tcPr>
          <w:p w14:paraId="3C539952">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2.1.1</w:t>
            </w:r>
          </w:p>
          <w:p w14:paraId="6E2DB242">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2.1.3</w:t>
            </w:r>
          </w:p>
        </w:tc>
        <w:tc>
          <w:tcPr>
            <w:tcW w:w="1389" w:type="dxa"/>
            <w:vAlign w:val="center"/>
          </w:tcPr>
          <w:p w14:paraId="6A1C7527">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形式评审与</w:t>
            </w:r>
          </w:p>
          <w:p w14:paraId="60C737A7">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响应性评审</w:t>
            </w:r>
          </w:p>
          <w:p w14:paraId="55AEDD61">
            <w:pPr>
              <w:pageBreakBefore w:val="0"/>
              <w:kinsoku/>
              <w:overflowPunct/>
              <w:topLinePunct w:val="0"/>
              <w:bidi w:val="0"/>
              <w:adjustRightInd w:val="0"/>
              <w:snapToGrid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标准</w:t>
            </w:r>
          </w:p>
        </w:tc>
        <w:tc>
          <w:tcPr>
            <w:tcW w:w="7383" w:type="dxa"/>
            <w:vAlign w:val="center"/>
          </w:tcPr>
          <w:p w14:paraId="306FB8AB">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（5）投标人法定代表人亲自签署投标文件的，提供了法定代表人身份证明</w:t>
            </w:r>
            <w:r>
              <w:rPr>
                <w:rFonts w:hint="eastAsia"/>
                <w:szCs w:val="21"/>
                <w:highlight w:val="none"/>
              </w:rPr>
              <w:t>，</w:t>
            </w:r>
            <w:r>
              <w:rPr>
                <w:szCs w:val="21"/>
                <w:highlight w:val="none"/>
              </w:rPr>
              <w:t>法定代表人身份证明</w:t>
            </w:r>
            <w:r>
              <w:rPr>
                <w:rFonts w:hint="eastAsia"/>
                <w:szCs w:val="21"/>
                <w:highlight w:val="none"/>
              </w:rPr>
              <w:t>符合招标文件规定</w:t>
            </w:r>
            <w:r>
              <w:rPr>
                <w:szCs w:val="21"/>
                <w:highlight w:val="none"/>
              </w:rPr>
              <w:t>。</w:t>
            </w:r>
          </w:p>
          <w:p w14:paraId="74AEEA3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（6）投标人以联合体形式投标时，联合体满足招标文件的要求：投标人按照招标文件提供的格式签订了联合体协议书，明确各方承担连带责任，并明确了联合体牵头人。</w:t>
            </w:r>
          </w:p>
          <w:p w14:paraId="755BDA0D">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highlight w:val="none"/>
              </w:rPr>
            </w:pPr>
            <w:r>
              <w:rPr>
                <w:rFonts w:hint="eastAsia" w:ascii="宋体" w:hAnsi="宋体"/>
                <w:szCs w:val="21"/>
                <w:highlight w:val="none"/>
              </w:rPr>
              <w:t>（7）</w:t>
            </w:r>
            <w:r>
              <w:rPr>
                <w:rFonts w:hint="eastAsia" w:ascii="宋体" w:hAnsi="宋体"/>
                <w:highlight w:val="none"/>
              </w:rPr>
              <w:t>投标人未提出分包计划。</w:t>
            </w:r>
          </w:p>
          <w:p w14:paraId="5FC92D0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（8）同一投标人未提交两个以上不同的投标文件。</w:t>
            </w:r>
          </w:p>
          <w:p w14:paraId="43D0DBE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（9）投标文件中未出现有关投标报价的内容。</w:t>
            </w:r>
          </w:p>
          <w:p w14:paraId="3E90100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（10）投标文件载明的招标项目完成期限未超过招标文件规定的时限。</w:t>
            </w:r>
          </w:p>
          <w:p w14:paraId="37C35C0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（11）投标文件对招标文件的实质性要求和条件作出响应。</w:t>
            </w:r>
          </w:p>
          <w:p w14:paraId="5CADFB3D">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（12）权利义务符合招标文件规定：</w:t>
            </w:r>
          </w:p>
          <w:p w14:paraId="198C41AF">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a.投标人应接受招标文件规定的风险划分原则，未提出新的风险划分办法；</w:t>
            </w:r>
          </w:p>
          <w:p w14:paraId="34C086FB">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b.投标人未增加发包人的责任范围，或减少投标人义务；</w:t>
            </w:r>
          </w:p>
          <w:p w14:paraId="59070BB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c.投标人未提出不同的工程验收、计量、支付办法；</w:t>
            </w:r>
          </w:p>
          <w:p w14:paraId="7E58948F">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d.投标人对合同纠纷、事故处理办法未提出异议；</w:t>
            </w:r>
          </w:p>
          <w:p w14:paraId="27483D8B">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e.投标人在投标活动中无欺诈行为；</w:t>
            </w:r>
          </w:p>
          <w:p w14:paraId="196DC043">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f.投标人未对合同条款有重要保留。</w:t>
            </w:r>
          </w:p>
          <w:p w14:paraId="227577C0">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黑体" w:hAnsi="黑体" w:eastAsia="黑体"/>
                <w:highlight w:val="none"/>
              </w:rPr>
            </w:pPr>
            <w:r>
              <w:rPr>
                <w:rFonts w:hint="eastAsia" w:ascii="黑体" w:hAnsi="黑体" w:eastAsia="黑体"/>
                <w:highlight w:val="none"/>
              </w:rPr>
              <w:t>第二个信封（报价文件）评审标准：</w:t>
            </w:r>
          </w:p>
          <w:p w14:paraId="0F7FB71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（1）投标文件按照招标文件规定的格式、内容填写，字迹清晰可辨：</w:t>
            </w:r>
          </w:p>
          <w:p w14:paraId="319F21D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a.投标函按招标文件规定填报了项目名称、标段号、补遗书编号（如有）、投标价（包括大写金额和小写金额）。</w:t>
            </w:r>
          </w:p>
          <w:p w14:paraId="40E1984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b.已标价工程量清单说明与招标文件规定一致，未进行实质性修改和删减；</w:t>
            </w:r>
          </w:p>
          <w:p w14:paraId="299AF87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c.投标文件组成齐全完整，内容均按规定填写。</w:t>
            </w:r>
          </w:p>
          <w:p w14:paraId="3939C01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（2）投标文件上法定代表人或其委托代理人的签字、投标人的单位章盖章齐全，符合招标文件规定。</w:t>
            </w:r>
          </w:p>
          <w:p w14:paraId="778A552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（3）投标报价未超过招标文件设定的最高投标限价。</w:t>
            </w:r>
          </w:p>
          <w:p w14:paraId="10F147C8">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（4）投标报价中的大写金额能够确定具体数值。</w:t>
            </w:r>
          </w:p>
          <w:p w14:paraId="135B875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（5）同一投标人未提交两个以上不同的投标报价。</w:t>
            </w:r>
          </w:p>
          <w:p w14:paraId="39630917">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（6）投标人未提交调价函。</w:t>
            </w:r>
          </w:p>
          <w:p w14:paraId="276088F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（7）投标人填写完毕的工程量固化清单未对工程量固化清单电子文件中的数据、格式和运算定义进行修改；工程量固化清单中的投标报价和投标函大写金额报价一致。</w:t>
            </w:r>
          </w:p>
        </w:tc>
      </w:tr>
      <w:tr w14:paraId="00093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69" w:hRule="atLeast"/>
          <w:jc w:val="center"/>
        </w:trPr>
        <w:tc>
          <w:tcPr>
            <w:tcW w:w="856" w:type="dxa"/>
            <w:tcBorders>
              <w:bottom w:val="single" w:color="auto" w:sz="4" w:space="0"/>
            </w:tcBorders>
            <w:vAlign w:val="center"/>
          </w:tcPr>
          <w:p w14:paraId="77E4F728">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2.1.2</w:t>
            </w:r>
          </w:p>
        </w:tc>
        <w:tc>
          <w:tcPr>
            <w:tcW w:w="1389" w:type="dxa"/>
            <w:tcBorders>
              <w:bottom w:val="single" w:color="auto" w:sz="4" w:space="0"/>
            </w:tcBorders>
            <w:vAlign w:val="center"/>
          </w:tcPr>
          <w:p w14:paraId="25EAAB46">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资格评审</w:t>
            </w:r>
          </w:p>
          <w:p w14:paraId="36B96C14">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标准</w:t>
            </w:r>
          </w:p>
        </w:tc>
        <w:tc>
          <w:tcPr>
            <w:tcW w:w="7383" w:type="dxa"/>
            <w:tcBorders>
              <w:bottom w:val="single" w:color="auto" w:sz="4" w:space="0"/>
            </w:tcBorders>
          </w:tcPr>
          <w:p w14:paraId="02741855">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（1）投标人具备有效的营业执照、资质证书、安全生产许可证、基本账户开户许可证（或基本账户开户其他证明材料）。</w:t>
            </w:r>
          </w:p>
          <w:p w14:paraId="3AD618EC">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（2）投标人的资质等级符合招标文件规定。</w:t>
            </w:r>
          </w:p>
          <w:p w14:paraId="4286D760">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（3）投标人的财务状况符合招标文件规定。</w:t>
            </w:r>
          </w:p>
          <w:p w14:paraId="4A014CD9">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（4）</w:t>
            </w:r>
            <w:r>
              <w:rPr>
                <w:rFonts w:ascii="宋体" w:hAnsi="宋体"/>
                <w:szCs w:val="21"/>
                <w:highlight w:val="none"/>
              </w:rPr>
              <w:t>投标人的类似项目业绩符合招标文件规定。</w:t>
            </w:r>
          </w:p>
          <w:p w14:paraId="2EEE0BE8">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（5）投标人的信誉符合招标文件规定。</w:t>
            </w:r>
          </w:p>
          <w:p w14:paraId="7D4B8C68">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（6）投标人的项目经理和项目总工资格、在岗情况符合招标文件规定。</w:t>
            </w:r>
          </w:p>
          <w:p w14:paraId="56567CC6">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（7）投标人的其他要求符合招标文件规定。</w:t>
            </w:r>
          </w:p>
          <w:p w14:paraId="4EFD8FAC">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（8）投标人不存在第二章“投标人须知”第1.4.3项或第1.4.4项规定的任何一种情形。</w:t>
            </w:r>
          </w:p>
          <w:p w14:paraId="1AD1DC9D">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9）以联合体形式参与投标的，联合体各方均未再以自己名义或参加其他联合体在同一标段中投标；独立参与投标的，投标人未同时参加联合体在同一标段中投标。联合体成员承担的工作内容必须具备相应的资质。</w:t>
            </w:r>
          </w:p>
        </w:tc>
      </w:tr>
    </w:tbl>
    <w:p w14:paraId="7C89E511">
      <w:pPr>
        <w:pageBreakBefore w:val="0"/>
        <w:kinsoku/>
        <w:overflowPunct/>
        <w:topLinePunct w:val="0"/>
        <w:bidi w:val="0"/>
        <w:spacing w:beforeAutospacing="0" w:afterAutospacing="0" w:line="360" w:lineRule="exact"/>
        <w:ind w:left="0" w:leftChars="0" w:right="0"/>
        <w:jc w:val="left"/>
        <w:textAlignment w:val="auto"/>
        <w:rPr>
          <w:highlight w:val="none"/>
        </w:rPr>
        <w:sectPr>
          <w:headerReference r:id="rId4" w:type="default"/>
          <w:footerReference r:id="rId5" w:type="default"/>
          <w:footnotePr>
            <w:numFmt w:val="decimalEnclosedCircleChinese"/>
            <w:numRestart w:val="eachPage"/>
          </w:footnotePr>
          <w:pgSz w:w="11907" w:h="16840"/>
          <w:pgMar w:top="1134" w:right="1134" w:bottom="1134" w:left="1134" w:header="0" w:footer="567" w:gutter="0"/>
          <w:cols w:space="720" w:num="1"/>
        </w:sectPr>
      </w:pPr>
    </w:p>
    <w:p w14:paraId="5125ACE5">
      <w:pPr>
        <w:pageBreakBefore w:val="0"/>
        <w:kinsoku/>
        <w:overflowPunct/>
        <w:topLinePunct w:val="0"/>
        <w:bidi w:val="0"/>
        <w:spacing w:beforeAutospacing="0" w:afterAutospacing="0" w:line="360" w:lineRule="exact"/>
        <w:ind w:left="0" w:leftChars="0" w:right="0"/>
        <w:jc w:val="right"/>
        <w:textAlignment w:val="auto"/>
        <w:rPr>
          <w:highlight w:val="none"/>
        </w:rPr>
      </w:pPr>
      <w:r>
        <w:rPr>
          <w:highlight w:val="none"/>
        </w:rPr>
        <w:t>续上表</w:t>
      </w:r>
    </w:p>
    <w:tbl>
      <w:tblPr>
        <w:tblStyle w:val="55"/>
        <w:tblW w:w="90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389"/>
        <w:gridCol w:w="6790"/>
      </w:tblGrid>
      <w:tr w14:paraId="2D4A3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4" w:hRule="atLeast"/>
          <w:jc w:val="center"/>
        </w:trPr>
        <w:tc>
          <w:tcPr>
            <w:tcW w:w="856" w:type="dxa"/>
            <w:tcBorders>
              <w:top w:val="single" w:color="000000" w:sz="4" w:space="0"/>
              <w:left w:val="single" w:color="000000" w:sz="4" w:space="0"/>
              <w:bottom w:val="single" w:color="auto" w:sz="4" w:space="0"/>
              <w:right w:val="single" w:color="000000" w:sz="4" w:space="0"/>
            </w:tcBorders>
            <w:vAlign w:val="center"/>
          </w:tcPr>
          <w:p w14:paraId="2D66AE13">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center"/>
              <w:textAlignment w:val="auto"/>
              <w:rPr>
                <w:rFonts w:hint="eastAsia" w:ascii="宋体" w:hAnsi="宋体"/>
                <w:szCs w:val="21"/>
                <w:highlight w:val="none"/>
              </w:rPr>
            </w:pPr>
            <w:r>
              <w:rPr>
                <w:rFonts w:ascii="宋体" w:hAnsi="宋体"/>
                <w:szCs w:val="21"/>
                <w:highlight w:val="none"/>
              </w:rPr>
              <w:t>条款号</w:t>
            </w:r>
          </w:p>
        </w:tc>
        <w:tc>
          <w:tcPr>
            <w:tcW w:w="1389" w:type="dxa"/>
            <w:tcBorders>
              <w:top w:val="single" w:color="000000" w:sz="4" w:space="0"/>
              <w:left w:val="single" w:color="000000" w:sz="4" w:space="0"/>
              <w:bottom w:val="single" w:color="auto" w:sz="4" w:space="0"/>
              <w:right w:val="single" w:color="000000" w:sz="4" w:space="0"/>
            </w:tcBorders>
            <w:vAlign w:val="center"/>
          </w:tcPr>
          <w:p w14:paraId="5730E36C">
            <w:pPr>
              <w:pageBreakBefore w:val="0"/>
              <w:kinsoku/>
              <w:overflowPunct/>
              <w:topLinePunct w:val="0"/>
              <w:bidi w:val="0"/>
              <w:adjustRightInd w:val="0"/>
              <w:snapToGrid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条款内容</w:t>
            </w:r>
          </w:p>
        </w:tc>
        <w:tc>
          <w:tcPr>
            <w:tcW w:w="6790" w:type="dxa"/>
            <w:tcBorders>
              <w:top w:val="single" w:color="000000" w:sz="4" w:space="0"/>
              <w:left w:val="single" w:color="000000" w:sz="4" w:space="0"/>
              <w:bottom w:val="single" w:color="auto" w:sz="4" w:space="0"/>
              <w:right w:val="single" w:color="000000" w:sz="4" w:space="0"/>
            </w:tcBorders>
            <w:vAlign w:val="center"/>
          </w:tcPr>
          <w:p w14:paraId="09917BE2">
            <w:pPr>
              <w:pageBreakBefore w:val="0"/>
              <w:kinsoku/>
              <w:overflowPunct/>
              <w:topLinePunct w:val="0"/>
              <w:bidi w:val="0"/>
              <w:adjustRightInd w:val="0"/>
              <w:snapToGrid w:val="0"/>
              <w:spacing w:beforeAutospacing="0" w:afterAutospacing="0" w:line="360" w:lineRule="exact"/>
              <w:ind w:left="0" w:leftChars="0" w:right="0" w:firstLine="210" w:firstLineChars="100"/>
              <w:jc w:val="center"/>
              <w:textAlignment w:val="auto"/>
              <w:rPr>
                <w:rFonts w:hint="eastAsia" w:ascii="宋体" w:hAnsi="宋体"/>
                <w:szCs w:val="21"/>
                <w:highlight w:val="none"/>
              </w:rPr>
            </w:pPr>
            <w:r>
              <w:rPr>
                <w:rFonts w:hint="eastAsia" w:ascii="宋体" w:hAnsi="宋体"/>
                <w:szCs w:val="21"/>
                <w:highlight w:val="none"/>
              </w:rPr>
              <w:t>编列内容</w:t>
            </w:r>
          </w:p>
        </w:tc>
      </w:tr>
      <w:tr w14:paraId="1D6E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vAlign w:val="center"/>
          </w:tcPr>
          <w:p w14:paraId="1265F8EB">
            <w:pPr>
              <w:pageBreakBefore w:val="0"/>
              <w:kinsoku/>
              <w:overflowPunct/>
              <w:topLinePunct w:val="0"/>
              <w:autoSpaceDE w:val="0"/>
              <w:autoSpaceDN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ascii="宋体" w:hAnsi="宋体"/>
                <w:szCs w:val="21"/>
                <w:highlight w:val="none"/>
              </w:rPr>
              <w:t>2.2.1</w:t>
            </w:r>
          </w:p>
        </w:tc>
        <w:tc>
          <w:tcPr>
            <w:tcW w:w="1389" w:type="dxa"/>
            <w:tcBorders>
              <w:top w:val="single" w:color="000000" w:sz="4" w:space="0"/>
              <w:left w:val="single" w:color="000000" w:sz="4" w:space="0"/>
              <w:bottom w:val="single" w:color="auto" w:sz="4" w:space="0"/>
              <w:right w:val="single" w:color="000000" w:sz="4" w:space="0"/>
            </w:tcBorders>
            <w:vAlign w:val="center"/>
          </w:tcPr>
          <w:p w14:paraId="6D0B089D">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分值构成</w:t>
            </w:r>
          </w:p>
          <w:p w14:paraId="5B56668B">
            <w:pPr>
              <w:pageBreakBefore w:val="0"/>
              <w:kinsoku/>
              <w:overflowPunct/>
              <w:topLinePunct w:val="0"/>
              <w:bidi w:val="0"/>
              <w:adjustRightInd w:val="0"/>
              <w:snapToGrid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（总分</w:t>
            </w:r>
            <w:r>
              <w:rPr>
                <w:rFonts w:ascii="宋体" w:hAnsi="宋体"/>
                <w:szCs w:val="21"/>
                <w:highlight w:val="none"/>
              </w:rPr>
              <w:t>100</w:t>
            </w:r>
            <w:r>
              <w:rPr>
                <w:rFonts w:hint="eastAsia" w:ascii="宋体" w:hAnsi="宋体"/>
                <w:szCs w:val="21"/>
                <w:highlight w:val="none"/>
              </w:rPr>
              <w:t>分）</w:t>
            </w:r>
          </w:p>
        </w:tc>
        <w:tc>
          <w:tcPr>
            <w:tcW w:w="6790" w:type="dxa"/>
            <w:tcBorders>
              <w:top w:val="single" w:color="000000" w:sz="4" w:space="0"/>
              <w:left w:val="single" w:color="000000" w:sz="4" w:space="0"/>
              <w:bottom w:val="single" w:color="auto" w:sz="4" w:space="0"/>
              <w:right w:val="single" w:color="000000" w:sz="4" w:space="0"/>
            </w:tcBorders>
          </w:tcPr>
          <w:p w14:paraId="1CA8D7E9">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黑体" w:hAnsi="黑体" w:eastAsia="黑体"/>
                <w:highlight w:val="none"/>
              </w:rPr>
            </w:pPr>
            <w:r>
              <w:rPr>
                <w:rFonts w:hint="eastAsia" w:ascii="黑体" w:hAnsi="黑体" w:eastAsia="黑体"/>
                <w:highlight w:val="none"/>
              </w:rPr>
              <w:t>第一个信封（商务及技术文件）评分分值构成：</w:t>
            </w:r>
          </w:p>
          <w:p w14:paraId="146FD153">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施工组织设计：15分</w:t>
            </w:r>
          </w:p>
          <w:p w14:paraId="20BE222A">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主要人员：20分</w:t>
            </w:r>
          </w:p>
          <w:p w14:paraId="393163E6">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业    绩：10分</w:t>
            </w:r>
          </w:p>
          <w:p w14:paraId="36D242B3">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履约信誉：5分</w:t>
            </w:r>
          </w:p>
          <w:p w14:paraId="3B55A63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黑体" w:hAnsi="黑体" w:eastAsia="黑体"/>
                <w:highlight w:val="none"/>
              </w:rPr>
            </w:pPr>
            <w:r>
              <w:rPr>
                <w:rFonts w:hint="eastAsia" w:ascii="黑体" w:hAnsi="黑体" w:eastAsia="黑体"/>
                <w:highlight w:val="none"/>
              </w:rPr>
              <w:t>第二个信封（报价文件）评分分值构成：</w:t>
            </w:r>
          </w:p>
          <w:p w14:paraId="5FD5857C">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评标价：50分</w:t>
            </w:r>
          </w:p>
        </w:tc>
      </w:tr>
      <w:tr w14:paraId="3C79F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vAlign w:val="center"/>
          </w:tcPr>
          <w:p w14:paraId="3C821C1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2.2.2</w:t>
            </w:r>
          </w:p>
        </w:tc>
        <w:tc>
          <w:tcPr>
            <w:tcW w:w="1389" w:type="dxa"/>
            <w:tcBorders>
              <w:top w:val="single" w:color="000000" w:sz="4" w:space="0"/>
              <w:left w:val="single" w:color="000000" w:sz="4" w:space="0"/>
              <w:bottom w:val="single" w:color="auto" w:sz="4" w:space="0"/>
              <w:right w:val="single" w:color="000000" w:sz="4" w:space="0"/>
            </w:tcBorders>
            <w:vAlign w:val="center"/>
          </w:tcPr>
          <w:p w14:paraId="667D499E">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评标基准价计算方法</w:t>
            </w:r>
          </w:p>
        </w:tc>
        <w:tc>
          <w:tcPr>
            <w:tcW w:w="6790" w:type="dxa"/>
            <w:tcBorders>
              <w:top w:val="single" w:color="000000" w:sz="4" w:space="0"/>
              <w:left w:val="single" w:color="000000" w:sz="4" w:space="0"/>
              <w:bottom w:val="single" w:color="auto" w:sz="4" w:space="0"/>
              <w:right w:val="single" w:color="000000" w:sz="4" w:space="0"/>
            </w:tcBorders>
            <w:vAlign w:val="center"/>
          </w:tcPr>
          <w:p w14:paraId="6F7E1E5E">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评标基准价的计算：</w:t>
            </w:r>
          </w:p>
          <w:p w14:paraId="545FF289">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在开标现场，招标人将当场计算并宣布评标基准价。</w:t>
            </w:r>
          </w:p>
          <w:p w14:paraId="7FE84B4E">
            <w:pPr>
              <w:pageBreakBefore w:val="0"/>
              <w:kinsoku/>
              <w:overflowPunct/>
              <w:topLinePunct w:val="0"/>
              <w:bidi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szCs w:val="21"/>
                <w:highlight w:val="none"/>
              </w:rPr>
              <w:t>（1）评标价的确定：</w:t>
            </w:r>
          </w:p>
          <w:p w14:paraId="0D9DF1DD">
            <w:pPr>
              <w:pageBreakBefore w:val="0"/>
              <w:kinsoku/>
              <w:overflowPunct/>
              <w:topLinePunct w:val="0"/>
              <w:bidi w:val="0"/>
              <w:spacing w:beforeAutospacing="0" w:afterAutospacing="0" w:line="360" w:lineRule="exact"/>
              <w:ind w:left="0" w:leftChars="0" w:right="0" w:firstLine="315" w:firstLineChars="150"/>
              <w:jc w:val="left"/>
              <w:textAlignment w:val="auto"/>
              <w:rPr>
                <w:rFonts w:hint="eastAsia" w:ascii="宋体" w:hAnsi="宋体"/>
                <w:szCs w:val="21"/>
                <w:highlight w:val="none"/>
              </w:rPr>
            </w:pPr>
            <w:r>
              <w:rPr>
                <w:rFonts w:hint="eastAsia" w:ascii="宋体" w:hAnsi="宋体"/>
                <w:szCs w:val="21"/>
                <w:highlight w:val="none"/>
              </w:rPr>
              <w:t>评标价=投标函文字报价</w:t>
            </w:r>
          </w:p>
          <w:p w14:paraId="7F546EF1">
            <w:pPr>
              <w:pageBreakBefore w:val="0"/>
              <w:kinsoku/>
              <w:overflowPunct/>
              <w:topLinePunct w:val="0"/>
              <w:bidi w:val="0"/>
              <w:spacing w:beforeAutospacing="0" w:afterAutospacing="0" w:line="360" w:lineRule="exact"/>
              <w:ind w:left="0" w:leftChars="0" w:right="0" w:firstLine="105" w:firstLineChars="50"/>
              <w:jc w:val="left"/>
              <w:textAlignment w:val="auto"/>
              <w:rPr>
                <w:rFonts w:hint="eastAsia" w:ascii="宋体" w:hAnsi="宋体"/>
                <w:szCs w:val="21"/>
                <w:highlight w:val="none"/>
              </w:rPr>
            </w:pPr>
            <w:r>
              <w:rPr>
                <w:rFonts w:hint="eastAsia" w:ascii="宋体" w:hAnsi="宋体"/>
                <w:szCs w:val="21"/>
                <w:highlight w:val="none"/>
              </w:rPr>
              <w:t>（2）评标价平均值的计算：</w:t>
            </w:r>
          </w:p>
          <w:p w14:paraId="65311493">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r>
              <w:rPr>
                <w:rFonts w:hint="eastAsia" w:ascii="宋体" w:hAnsi="宋体" w:cs="宋体"/>
                <w:bCs/>
                <w:szCs w:val="21"/>
                <w:highlight w:val="none"/>
              </w:rPr>
              <w:t>，评标价平均值的计算保留整数，小数点后第1位“四舍五入”</w:t>
            </w:r>
            <w:r>
              <w:rPr>
                <w:rFonts w:hint="eastAsia" w:ascii="宋体" w:hAnsi="宋体"/>
                <w:szCs w:val="21"/>
                <w:highlight w:val="none"/>
              </w:rPr>
              <w:t>。</w:t>
            </w:r>
          </w:p>
          <w:p w14:paraId="26EF4384">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（3）评标基准价的确定：</w:t>
            </w:r>
          </w:p>
          <w:p w14:paraId="43FDD8F3">
            <w:pPr>
              <w:pageBreakBefore w:val="0"/>
              <w:kinsoku/>
              <w:overflowPunct/>
              <w:topLinePunct w:val="0"/>
              <w:bidi w:val="0"/>
              <w:spacing w:beforeAutospacing="0" w:afterAutospacing="0" w:line="360" w:lineRule="exact"/>
              <w:ind w:left="0" w:leftChars="0" w:right="0" w:firstLine="315" w:firstLineChars="150"/>
              <w:jc w:val="left"/>
              <w:textAlignment w:val="auto"/>
              <w:rPr>
                <w:rFonts w:hint="eastAsia" w:ascii="宋体" w:hAnsi="宋体"/>
                <w:szCs w:val="21"/>
                <w:highlight w:val="none"/>
              </w:rPr>
            </w:pPr>
            <w:r>
              <w:rPr>
                <w:rFonts w:hint="eastAsia" w:ascii="宋体" w:hAnsi="宋体"/>
                <w:szCs w:val="21"/>
                <w:highlight w:val="none"/>
              </w:rPr>
              <w:t>将评标价平均值直接作为评标基准价。</w:t>
            </w:r>
          </w:p>
          <w:p w14:paraId="7C78AC6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062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30" w:hRule="atLeast"/>
          <w:jc w:val="center"/>
        </w:trPr>
        <w:tc>
          <w:tcPr>
            <w:tcW w:w="856" w:type="dxa"/>
            <w:tcBorders>
              <w:top w:val="single" w:color="000000" w:sz="4" w:space="0"/>
              <w:left w:val="single" w:color="000000" w:sz="4" w:space="0"/>
              <w:bottom w:val="single" w:color="auto" w:sz="4" w:space="0"/>
              <w:right w:val="single" w:color="000000" w:sz="4" w:space="0"/>
            </w:tcBorders>
            <w:vAlign w:val="center"/>
          </w:tcPr>
          <w:p w14:paraId="2E21896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2.2.3</w:t>
            </w:r>
          </w:p>
        </w:tc>
        <w:tc>
          <w:tcPr>
            <w:tcW w:w="1389" w:type="dxa"/>
            <w:tcBorders>
              <w:top w:val="single" w:color="000000" w:sz="4" w:space="0"/>
              <w:left w:val="single" w:color="000000" w:sz="4" w:space="0"/>
              <w:bottom w:val="single" w:color="auto" w:sz="4" w:space="0"/>
              <w:right w:val="single" w:color="000000" w:sz="4" w:space="0"/>
            </w:tcBorders>
            <w:vAlign w:val="center"/>
          </w:tcPr>
          <w:p w14:paraId="57A08D9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评标价的偏差率计算公式</w:t>
            </w:r>
          </w:p>
        </w:tc>
        <w:tc>
          <w:tcPr>
            <w:tcW w:w="6790" w:type="dxa"/>
            <w:tcBorders>
              <w:top w:val="single" w:color="000000" w:sz="4" w:space="0"/>
              <w:left w:val="single" w:color="000000" w:sz="4" w:space="0"/>
              <w:bottom w:val="single" w:color="auto" w:sz="4" w:space="0"/>
              <w:right w:val="single" w:color="000000" w:sz="4" w:space="0"/>
            </w:tcBorders>
            <w:vAlign w:val="center"/>
          </w:tcPr>
          <w:p w14:paraId="456549B3">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szCs w:val="21"/>
                <w:highlight w:val="none"/>
              </w:rPr>
            </w:pPr>
            <w:r>
              <w:rPr>
                <w:rFonts w:hint="eastAsia" w:ascii="宋体" w:hAnsi="宋体"/>
                <w:szCs w:val="21"/>
                <w:highlight w:val="none"/>
              </w:rPr>
              <w:t>偏差率=100%×（投标人评标价-评标基准价）/评标基准价</w:t>
            </w:r>
          </w:p>
          <w:p w14:paraId="59C9426D">
            <w:pPr>
              <w:pageBreakBefore w:val="0"/>
              <w:kinsoku/>
              <w:overflowPunct/>
              <w:topLinePunct w:val="0"/>
              <w:bidi w:val="0"/>
              <w:spacing w:beforeAutospacing="0" w:afterAutospacing="0" w:line="360" w:lineRule="exact"/>
              <w:ind w:left="0" w:leftChars="0" w:right="0" w:firstLine="420" w:firstLineChars="200"/>
              <w:jc w:val="left"/>
              <w:textAlignment w:val="auto"/>
              <w:rPr>
                <w:rFonts w:hint="eastAsia" w:ascii="宋体" w:hAnsi="宋体"/>
                <w:b/>
                <w:szCs w:val="21"/>
                <w:highlight w:val="none"/>
              </w:rPr>
            </w:pPr>
            <w:r>
              <w:rPr>
                <w:rFonts w:hint="eastAsia" w:ascii="宋体" w:hAnsi="宋体"/>
                <w:szCs w:val="21"/>
                <w:highlight w:val="none"/>
              </w:rPr>
              <w:t>偏差率保留2位小数，例如：**.**%</w:t>
            </w:r>
          </w:p>
        </w:tc>
      </w:tr>
    </w:tbl>
    <w:p w14:paraId="1C090405">
      <w:pPr>
        <w:pageBreakBefore w:val="0"/>
        <w:kinsoku/>
        <w:overflowPunct/>
        <w:topLinePunct w:val="0"/>
        <w:bidi w:val="0"/>
        <w:spacing w:beforeAutospacing="0" w:afterAutospacing="0" w:line="360" w:lineRule="exact"/>
        <w:ind w:left="0" w:leftChars="0" w:right="0"/>
        <w:jc w:val="left"/>
        <w:textAlignment w:val="auto"/>
        <w:rPr>
          <w:highlight w:val="none"/>
        </w:rPr>
      </w:pPr>
      <w:r>
        <w:rPr>
          <w:highlight w:val="none"/>
        </w:rPr>
        <w:br w:type="page"/>
      </w:r>
    </w:p>
    <w:p w14:paraId="20EBE1C0">
      <w:pPr>
        <w:pageBreakBefore w:val="0"/>
        <w:kinsoku/>
        <w:overflowPunct/>
        <w:topLinePunct w:val="0"/>
        <w:bidi w:val="0"/>
        <w:spacing w:beforeAutospacing="0" w:afterAutospacing="0" w:line="360" w:lineRule="exact"/>
        <w:ind w:left="0" w:leftChars="0" w:right="0"/>
        <w:jc w:val="right"/>
        <w:textAlignment w:val="auto"/>
        <w:rPr>
          <w:rFonts w:hint="eastAsia" w:ascii="宋体" w:hAnsi="宋体"/>
          <w:sz w:val="24"/>
          <w:highlight w:val="none"/>
        </w:rPr>
      </w:pPr>
      <w:r>
        <w:rPr>
          <w:rFonts w:hint="eastAsia" w:ascii="宋体" w:hAnsi="宋体"/>
          <w:sz w:val="24"/>
          <w:highlight w:val="none"/>
        </w:rPr>
        <w:t>续上表</w:t>
      </w:r>
    </w:p>
    <w:tbl>
      <w:tblPr>
        <w:tblStyle w:val="55"/>
        <w:tblW w:w="94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9"/>
        <w:gridCol w:w="967"/>
        <w:gridCol w:w="1137"/>
        <w:gridCol w:w="2248"/>
        <w:gridCol w:w="831"/>
        <w:gridCol w:w="3317"/>
      </w:tblGrid>
      <w:tr w14:paraId="175D0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979" w:type="dxa"/>
            <w:vMerge w:val="restart"/>
            <w:vAlign w:val="center"/>
          </w:tcPr>
          <w:p w14:paraId="1440437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 w:val="24"/>
                <w:highlight w:val="none"/>
              </w:rPr>
            </w:pPr>
            <w:r>
              <w:rPr>
                <w:rFonts w:hint="eastAsia" w:ascii="宋体" w:hAnsi="宋体"/>
                <w:b/>
                <w:szCs w:val="21"/>
                <w:highlight w:val="none"/>
              </w:rPr>
              <w:t>条款号</w:t>
            </w:r>
          </w:p>
        </w:tc>
        <w:tc>
          <w:tcPr>
            <w:tcW w:w="5183" w:type="dxa"/>
            <w:gridSpan w:val="4"/>
            <w:vAlign w:val="center"/>
          </w:tcPr>
          <w:p w14:paraId="0069E9D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 w:val="24"/>
                <w:highlight w:val="none"/>
              </w:rPr>
            </w:pPr>
            <w:r>
              <w:rPr>
                <w:rFonts w:hint="eastAsia" w:ascii="宋体" w:hAnsi="宋体"/>
                <w:b/>
                <w:sz w:val="24"/>
                <w:highlight w:val="none"/>
              </w:rPr>
              <w:t>评分因素与权重分值</w:t>
            </w:r>
            <w:r>
              <w:rPr>
                <w:rStyle w:val="71"/>
                <w:rFonts w:ascii="宋体" w:hAnsi="宋体"/>
                <w:b/>
                <w:sz w:val="24"/>
                <w:highlight w:val="none"/>
              </w:rPr>
              <w:footnoteReference w:id="1"/>
            </w:r>
          </w:p>
        </w:tc>
        <w:tc>
          <w:tcPr>
            <w:tcW w:w="3317" w:type="dxa"/>
            <w:vMerge w:val="restart"/>
            <w:vAlign w:val="center"/>
          </w:tcPr>
          <w:p w14:paraId="7A3D290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 w:val="24"/>
                <w:highlight w:val="none"/>
              </w:rPr>
            </w:pPr>
            <w:r>
              <w:rPr>
                <w:rFonts w:hint="eastAsia" w:ascii="宋体" w:hAnsi="宋体"/>
                <w:b/>
                <w:sz w:val="24"/>
                <w:highlight w:val="none"/>
              </w:rPr>
              <w:t>评分标准</w:t>
            </w:r>
          </w:p>
        </w:tc>
      </w:tr>
      <w:tr w14:paraId="226CE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979" w:type="dxa"/>
            <w:vMerge w:val="continue"/>
            <w:vAlign w:val="center"/>
          </w:tcPr>
          <w:p w14:paraId="6806E0D2">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p>
        </w:tc>
        <w:tc>
          <w:tcPr>
            <w:tcW w:w="967" w:type="dxa"/>
            <w:vAlign w:val="center"/>
          </w:tcPr>
          <w:p w14:paraId="6AEBCA2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评分</w:t>
            </w:r>
          </w:p>
          <w:p w14:paraId="72B82425">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因素</w:t>
            </w:r>
          </w:p>
        </w:tc>
        <w:tc>
          <w:tcPr>
            <w:tcW w:w="1137" w:type="dxa"/>
            <w:vAlign w:val="center"/>
          </w:tcPr>
          <w:p w14:paraId="1D4F8CC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评分因素</w:t>
            </w:r>
          </w:p>
          <w:p w14:paraId="0FD7EF48">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权重分值</w:t>
            </w:r>
          </w:p>
        </w:tc>
        <w:tc>
          <w:tcPr>
            <w:tcW w:w="2248" w:type="dxa"/>
            <w:vAlign w:val="center"/>
          </w:tcPr>
          <w:p w14:paraId="6A0359D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各评分因素细分项</w:t>
            </w:r>
          </w:p>
        </w:tc>
        <w:tc>
          <w:tcPr>
            <w:tcW w:w="831" w:type="dxa"/>
            <w:vAlign w:val="center"/>
          </w:tcPr>
          <w:p w14:paraId="1D9AB89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分值</w:t>
            </w:r>
          </w:p>
        </w:tc>
        <w:tc>
          <w:tcPr>
            <w:tcW w:w="3317" w:type="dxa"/>
            <w:vMerge w:val="continue"/>
            <w:vAlign w:val="center"/>
          </w:tcPr>
          <w:p w14:paraId="53A9569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 w:val="24"/>
                <w:highlight w:val="none"/>
              </w:rPr>
            </w:pPr>
          </w:p>
        </w:tc>
      </w:tr>
      <w:tr w14:paraId="7DA94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00" w:hRule="exact"/>
          <w:jc w:val="center"/>
        </w:trPr>
        <w:tc>
          <w:tcPr>
            <w:tcW w:w="979" w:type="dxa"/>
            <w:vMerge w:val="restart"/>
            <w:vAlign w:val="center"/>
          </w:tcPr>
          <w:p w14:paraId="4701CB58">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2.2.4（1）</w:t>
            </w:r>
          </w:p>
        </w:tc>
        <w:tc>
          <w:tcPr>
            <w:tcW w:w="967" w:type="dxa"/>
            <w:vMerge w:val="restart"/>
            <w:vAlign w:val="center"/>
          </w:tcPr>
          <w:p w14:paraId="2AE2B87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施工组织设计</w:t>
            </w:r>
          </w:p>
        </w:tc>
        <w:tc>
          <w:tcPr>
            <w:tcW w:w="1137" w:type="dxa"/>
            <w:vMerge w:val="restart"/>
            <w:vAlign w:val="center"/>
          </w:tcPr>
          <w:p w14:paraId="56CBDB10">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u w:val="single"/>
              </w:rPr>
            </w:pPr>
            <w:r>
              <w:rPr>
                <w:rFonts w:hint="eastAsia" w:ascii="宋体" w:hAnsi="宋体"/>
                <w:szCs w:val="21"/>
                <w:highlight w:val="none"/>
              </w:rPr>
              <w:t>15分</w:t>
            </w:r>
          </w:p>
        </w:tc>
        <w:tc>
          <w:tcPr>
            <w:tcW w:w="2248" w:type="dxa"/>
            <w:vAlign w:val="center"/>
          </w:tcPr>
          <w:p w14:paraId="659FDE3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主要工程的施工方案、方法与技术措施</w:t>
            </w:r>
          </w:p>
        </w:tc>
        <w:tc>
          <w:tcPr>
            <w:tcW w:w="831" w:type="dxa"/>
            <w:vAlign w:val="center"/>
          </w:tcPr>
          <w:p w14:paraId="411D937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10分</w:t>
            </w:r>
          </w:p>
        </w:tc>
        <w:tc>
          <w:tcPr>
            <w:tcW w:w="3317" w:type="dxa"/>
            <w:vAlign w:val="center"/>
          </w:tcPr>
          <w:p w14:paraId="26AE224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一般：6分；</w:t>
            </w:r>
          </w:p>
          <w:p w14:paraId="0164E70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较好：6-8分；</w:t>
            </w:r>
          </w:p>
          <w:p w14:paraId="170032C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满意：8-10分。</w:t>
            </w:r>
          </w:p>
        </w:tc>
      </w:tr>
      <w:tr w14:paraId="5C8B7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31" w:hRule="exact"/>
          <w:jc w:val="center"/>
        </w:trPr>
        <w:tc>
          <w:tcPr>
            <w:tcW w:w="979" w:type="dxa"/>
            <w:vMerge w:val="continue"/>
            <w:vAlign w:val="center"/>
          </w:tcPr>
          <w:p w14:paraId="61F5122E">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967" w:type="dxa"/>
            <w:vMerge w:val="continue"/>
            <w:vAlign w:val="center"/>
          </w:tcPr>
          <w:p w14:paraId="11C76660">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1137" w:type="dxa"/>
            <w:vMerge w:val="continue"/>
            <w:vAlign w:val="center"/>
          </w:tcPr>
          <w:p w14:paraId="29AF276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2248" w:type="dxa"/>
            <w:vAlign w:val="center"/>
          </w:tcPr>
          <w:p w14:paraId="3F883D1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质量、安全、环保等各项保证体系及保证措施</w:t>
            </w:r>
          </w:p>
        </w:tc>
        <w:tc>
          <w:tcPr>
            <w:tcW w:w="831" w:type="dxa"/>
            <w:vAlign w:val="center"/>
          </w:tcPr>
          <w:p w14:paraId="689B7F0E">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5分</w:t>
            </w:r>
          </w:p>
        </w:tc>
        <w:tc>
          <w:tcPr>
            <w:tcW w:w="3317" w:type="dxa"/>
            <w:vAlign w:val="center"/>
          </w:tcPr>
          <w:p w14:paraId="306619A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一般：3分；</w:t>
            </w:r>
          </w:p>
          <w:p w14:paraId="57F3B04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较好：3-4分；</w:t>
            </w:r>
          </w:p>
          <w:p w14:paraId="3ABF6B7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满意：4-5分。</w:t>
            </w:r>
          </w:p>
        </w:tc>
      </w:tr>
      <w:tr w14:paraId="688CF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1" w:hRule="exact"/>
          <w:jc w:val="center"/>
        </w:trPr>
        <w:tc>
          <w:tcPr>
            <w:tcW w:w="979" w:type="dxa"/>
            <w:vMerge w:val="restart"/>
            <w:vAlign w:val="center"/>
          </w:tcPr>
          <w:p w14:paraId="6E08A0A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2.2.4（2）</w:t>
            </w:r>
          </w:p>
        </w:tc>
        <w:tc>
          <w:tcPr>
            <w:tcW w:w="967" w:type="dxa"/>
            <w:vMerge w:val="restart"/>
            <w:vAlign w:val="center"/>
          </w:tcPr>
          <w:p w14:paraId="5C075EB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主要</w:t>
            </w:r>
          </w:p>
          <w:p w14:paraId="21CA441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人员</w:t>
            </w:r>
          </w:p>
        </w:tc>
        <w:tc>
          <w:tcPr>
            <w:tcW w:w="1137" w:type="dxa"/>
            <w:vMerge w:val="restart"/>
            <w:vAlign w:val="center"/>
          </w:tcPr>
          <w:p w14:paraId="67A3E300">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20分</w:t>
            </w:r>
          </w:p>
        </w:tc>
        <w:tc>
          <w:tcPr>
            <w:tcW w:w="2248" w:type="dxa"/>
            <w:vMerge w:val="restart"/>
            <w:vAlign w:val="center"/>
          </w:tcPr>
          <w:p w14:paraId="1548685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项目经理</w:t>
            </w:r>
          </w:p>
          <w:p w14:paraId="15D8B12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任职资格与业绩</w:t>
            </w:r>
          </w:p>
        </w:tc>
        <w:tc>
          <w:tcPr>
            <w:tcW w:w="831" w:type="dxa"/>
            <w:vAlign w:val="center"/>
          </w:tcPr>
          <w:p w14:paraId="3511A25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6分</w:t>
            </w:r>
          </w:p>
        </w:tc>
        <w:tc>
          <w:tcPr>
            <w:tcW w:w="3317" w:type="dxa"/>
            <w:vAlign w:val="center"/>
          </w:tcPr>
          <w:p w14:paraId="008E2779">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szCs w:val="21"/>
                <w:highlight w:val="none"/>
              </w:rPr>
            </w:pPr>
            <w:r>
              <w:rPr>
                <w:rFonts w:hint="eastAsia" w:ascii="宋体" w:hAnsi="宋体"/>
                <w:szCs w:val="21"/>
                <w:highlight w:val="none"/>
              </w:rPr>
              <w:t>满足最低资格要求得6分。</w:t>
            </w:r>
          </w:p>
        </w:tc>
      </w:tr>
      <w:tr w14:paraId="6CC57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07" w:hRule="exact"/>
          <w:jc w:val="center"/>
        </w:trPr>
        <w:tc>
          <w:tcPr>
            <w:tcW w:w="979" w:type="dxa"/>
            <w:vMerge w:val="continue"/>
            <w:vAlign w:val="center"/>
          </w:tcPr>
          <w:p w14:paraId="033CC0A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967" w:type="dxa"/>
            <w:vMerge w:val="continue"/>
            <w:vAlign w:val="center"/>
          </w:tcPr>
          <w:p w14:paraId="4CB8593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1137" w:type="dxa"/>
            <w:vMerge w:val="continue"/>
            <w:vAlign w:val="center"/>
          </w:tcPr>
          <w:p w14:paraId="57430E1D">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2248" w:type="dxa"/>
            <w:vMerge w:val="continue"/>
            <w:vAlign w:val="center"/>
          </w:tcPr>
          <w:p w14:paraId="4281406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831" w:type="dxa"/>
            <w:vAlign w:val="center"/>
          </w:tcPr>
          <w:p w14:paraId="7391AA4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0-4分</w:t>
            </w:r>
          </w:p>
        </w:tc>
        <w:tc>
          <w:tcPr>
            <w:tcW w:w="3317" w:type="dxa"/>
            <w:vAlign w:val="center"/>
          </w:tcPr>
          <w:p w14:paraId="363D67D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在满足最低要求基础上，每增加1项以项目经理或项目副经理身份完成的高速公路养护工程施工业绩加2分，最多加4分。</w:t>
            </w:r>
          </w:p>
        </w:tc>
      </w:tr>
      <w:tr w14:paraId="15F1E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8" w:hRule="exact"/>
          <w:jc w:val="center"/>
        </w:trPr>
        <w:tc>
          <w:tcPr>
            <w:tcW w:w="979" w:type="dxa"/>
            <w:vMerge w:val="continue"/>
            <w:vAlign w:val="center"/>
          </w:tcPr>
          <w:p w14:paraId="6D68B7D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967" w:type="dxa"/>
            <w:vMerge w:val="continue"/>
            <w:vAlign w:val="center"/>
          </w:tcPr>
          <w:p w14:paraId="65612BD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1137" w:type="dxa"/>
            <w:vMerge w:val="continue"/>
            <w:vAlign w:val="center"/>
          </w:tcPr>
          <w:p w14:paraId="5BDB9944">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2248" w:type="dxa"/>
            <w:vMerge w:val="restart"/>
            <w:vAlign w:val="center"/>
          </w:tcPr>
          <w:p w14:paraId="1293AE75">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项目总工</w:t>
            </w:r>
          </w:p>
          <w:p w14:paraId="46986F6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任职资格与业绩</w:t>
            </w:r>
          </w:p>
        </w:tc>
        <w:tc>
          <w:tcPr>
            <w:tcW w:w="831" w:type="dxa"/>
            <w:vAlign w:val="center"/>
          </w:tcPr>
          <w:p w14:paraId="60F7C040">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6分</w:t>
            </w:r>
          </w:p>
        </w:tc>
        <w:tc>
          <w:tcPr>
            <w:tcW w:w="3317" w:type="dxa"/>
            <w:vAlign w:val="center"/>
          </w:tcPr>
          <w:p w14:paraId="1B9749A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满足最低资格要求得6分。</w:t>
            </w:r>
          </w:p>
        </w:tc>
      </w:tr>
      <w:tr w14:paraId="6A917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7" w:hRule="exact"/>
          <w:jc w:val="center"/>
        </w:trPr>
        <w:tc>
          <w:tcPr>
            <w:tcW w:w="979" w:type="dxa"/>
            <w:vMerge w:val="continue"/>
            <w:vAlign w:val="center"/>
          </w:tcPr>
          <w:p w14:paraId="7C28BF1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967" w:type="dxa"/>
            <w:vMerge w:val="continue"/>
            <w:vAlign w:val="center"/>
          </w:tcPr>
          <w:p w14:paraId="4236EB8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1137" w:type="dxa"/>
            <w:vMerge w:val="continue"/>
            <w:vAlign w:val="center"/>
          </w:tcPr>
          <w:p w14:paraId="4FF7948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2248" w:type="dxa"/>
            <w:vMerge w:val="continue"/>
            <w:vAlign w:val="center"/>
          </w:tcPr>
          <w:p w14:paraId="6809049C">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c>
          <w:tcPr>
            <w:tcW w:w="831" w:type="dxa"/>
            <w:vAlign w:val="center"/>
          </w:tcPr>
          <w:p w14:paraId="3D02B62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0-4分</w:t>
            </w:r>
          </w:p>
        </w:tc>
        <w:tc>
          <w:tcPr>
            <w:tcW w:w="3317" w:type="dxa"/>
            <w:vAlign w:val="center"/>
          </w:tcPr>
          <w:p w14:paraId="2C12DC12">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在满足最低要求基础上，每增加1项以项目总工或项目副总工身份完成的高速公路养护工程施工业绩加2分，最多加4分。</w:t>
            </w:r>
          </w:p>
        </w:tc>
      </w:tr>
      <w:tr w14:paraId="4A60EA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03" w:hRule="exact"/>
          <w:jc w:val="center"/>
        </w:trPr>
        <w:tc>
          <w:tcPr>
            <w:tcW w:w="979" w:type="dxa"/>
            <w:vAlign w:val="center"/>
          </w:tcPr>
          <w:p w14:paraId="69F1F0D7">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2.2.4（3）</w:t>
            </w:r>
          </w:p>
        </w:tc>
        <w:tc>
          <w:tcPr>
            <w:tcW w:w="967" w:type="dxa"/>
            <w:vAlign w:val="center"/>
          </w:tcPr>
          <w:p w14:paraId="01B14C4A">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评标价</w:t>
            </w:r>
          </w:p>
        </w:tc>
        <w:tc>
          <w:tcPr>
            <w:tcW w:w="1137" w:type="dxa"/>
            <w:vAlign w:val="center"/>
          </w:tcPr>
          <w:p w14:paraId="09C860BE">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50分</w:t>
            </w:r>
          </w:p>
        </w:tc>
        <w:tc>
          <w:tcPr>
            <w:tcW w:w="6396" w:type="dxa"/>
            <w:gridSpan w:val="3"/>
            <w:vAlign w:val="center"/>
          </w:tcPr>
          <w:p w14:paraId="673412CB">
            <w:pPr>
              <w:pageBreakBefore w:val="0"/>
              <w:kinsoku/>
              <w:overflowPunct/>
              <w:topLinePunct w:val="0"/>
              <w:bidi w:val="0"/>
              <w:spacing w:beforeAutospacing="0" w:afterAutospacing="0" w:line="360" w:lineRule="exact"/>
              <w:ind w:left="67" w:leftChars="0" w:right="0" w:hanging="67" w:hangingChars="32"/>
              <w:jc w:val="left"/>
              <w:textAlignment w:val="auto"/>
              <w:rPr>
                <w:rFonts w:hint="eastAsia" w:ascii="宋体" w:hAnsi="宋体"/>
                <w:szCs w:val="21"/>
                <w:highlight w:val="none"/>
              </w:rPr>
            </w:pPr>
            <w:r>
              <w:rPr>
                <w:rFonts w:hint="eastAsia" w:ascii="宋体" w:hAnsi="宋体"/>
                <w:szCs w:val="21"/>
                <w:highlight w:val="none"/>
              </w:rPr>
              <w:t>评</w:t>
            </w:r>
            <w:r>
              <w:rPr>
                <w:rFonts w:ascii="宋体" w:hAnsi="宋体"/>
                <w:szCs w:val="21"/>
                <w:highlight w:val="none"/>
              </w:rPr>
              <w:t>标价得分计算：</w:t>
            </w:r>
          </w:p>
          <w:p w14:paraId="53C1E84D">
            <w:pPr>
              <w:pageBreakBefore w:val="0"/>
              <w:kinsoku/>
              <w:overflowPunct/>
              <w:topLinePunct w:val="0"/>
              <w:bidi w:val="0"/>
              <w:spacing w:beforeAutospacing="0" w:afterAutospacing="0" w:line="360" w:lineRule="exact"/>
              <w:ind w:left="67" w:leftChars="0" w:right="0" w:hanging="67" w:hangingChars="32"/>
              <w:jc w:val="left"/>
              <w:textAlignment w:val="auto"/>
              <w:rPr>
                <w:rFonts w:hint="eastAsia" w:ascii="宋体" w:hAnsi="宋体"/>
                <w:szCs w:val="21"/>
                <w:highlight w:val="none"/>
              </w:rPr>
            </w:pPr>
            <w:r>
              <w:rPr>
                <w:rFonts w:hint="eastAsia" w:ascii="宋体" w:hAnsi="宋体"/>
                <w:szCs w:val="21"/>
                <w:highlight w:val="none"/>
              </w:rPr>
              <w:t>（1）如果投标人的评标价＞评标基准价</w:t>
            </w:r>
            <w:r>
              <w:rPr>
                <w:rFonts w:ascii="宋体" w:hAnsi="宋体"/>
                <w:szCs w:val="21"/>
                <w:highlight w:val="none"/>
              </w:rPr>
              <w:t>，</w:t>
            </w:r>
            <w:r>
              <w:rPr>
                <w:rFonts w:hint="eastAsia" w:ascii="宋体" w:hAnsi="宋体"/>
                <w:szCs w:val="21"/>
                <w:highlight w:val="none"/>
              </w:rPr>
              <w:t>则评标价得分=50-偏差率绝对值×100×0.1；</w:t>
            </w:r>
          </w:p>
          <w:p w14:paraId="50F9B879">
            <w:pPr>
              <w:pageBreakBefore w:val="0"/>
              <w:kinsoku/>
              <w:overflowPunct/>
              <w:topLinePunct w:val="0"/>
              <w:bidi w:val="0"/>
              <w:spacing w:beforeAutospacing="0" w:afterAutospacing="0" w:line="360" w:lineRule="exact"/>
              <w:ind w:left="67" w:leftChars="0" w:right="0" w:hanging="67" w:hangingChars="32"/>
              <w:jc w:val="left"/>
              <w:textAlignment w:val="auto"/>
              <w:rPr>
                <w:rFonts w:hint="eastAsia" w:ascii="宋体" w:hAnsi="宋体"/>
                <w:szCs w:val="21"/>
                <w:highlight w:val="none"/>
              </w:rPr>
            </w:pPr>
            <w:r>
              <w:rPr>
                <w:rFonts w:hint="eastAsia" w:ascii="宋体" w:hAnsi="宋体"/>
                <w:szCs w:val="21"/>
                <w:highlight w:val="none"/>
              </w:rPr>
              <w:t>（2）如果投标人的评标价≤评标基准价，则评标价得分=50-偏差率绝对值×100×0.05。</w:t>
            </w:r>
          </w:p>
          <w:p w14:paraId="1726E662">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评标价得分最低扣至0分。</w:t>
            </w:r>
          </w:p>
        </w:tc>
      </w:tr>
    </w:tbl>
    <w:p w14:paraId="031908EF">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 w:val="24"/>
          <w:highlight w:val="none"/>
        </w:rPr>
      </w:pPr>
      <w:r>
        <w:rPr>
          <w:rFonts w:hint="eastAsia" w:ascii="宋体" w:hAnsi="宋体"/>
          <w:sz w:val="24"/>
          <w:highlight w:val="none"/>
        </w:rPr>
        <w:br w:type="page"/>
      </w:r>
    </w:p>
    <w:p w14:paraId="727870DE">
      <w:pPr>
        <w:pageBreakBefore w:val="0"/>
        <w:kinsoku/>
        <w:overflowPunct/>
        <w:topLinePunct w:val="0"/>
        <w:bidi w:val="0"/>
        <w:spacing w:beforeAutospacing="0" w:afterAutospacing="0" w:line="360" w:lineRule="exact"/>
        <w:ind w:left="0" w:leftChars="0" w:right="0"/>
        <w:jc w:val="right"/>
        <w:textAlignment w:val="auto"/>
        <w:rPr>
          <w:rFonts w:hint="eastAsia" w:ascii="宋体" w:hAnsi="宋体"/>
          <w:sz w:val="24"/>
          <w:highlight w:val="none"/>
        </w:rPr>
      </w:pPr>
      <w:r>
        <w:rPr>
          <w:rFonts w:hint="eastAsia" w:ascii="宋体" w:hAnsi="宋体"/>
          <w:sz w:val="24"/>
          <w:highlight w:val="none"/>
        </w:rPr>
        <w:t>续上表</w:t>
      </w:r>
    </w:p>
    <w:tbl>
      <w:tblPr>
        <w:tblStyle w:val="5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0"/>
        <w:gridCol w:w="623"/>
        <w:gridCol w:w="1330"/>
        <w:gridCol w:w="1277"/>
        <w:gridCol w:w="1032"/>
        <w:gridCol w:w="993"/>
        <w:gridCol w:w="3241"/>
      </w:tblGrid>
      <w:tr w14:paraId="533C1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5" w:hRule="atLeast"/>
          <w:jc w:val="center"/>
        </w:trPr>
        <w:tc>
          <w:tcPr>
            <w:tcW w:w="6275" w:type="dxa"/>
            <w:gridSpan w:val="6"/>
            <w:vAlign w:val="center"/>
          </w:tcPr>
          <w:p w14:paraId="118EEFC3">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 w:val="24"/>
                <w:highlight w:val="none"/>
              </w:rPr>
            </w:pPr>
            <w:r>
              <w:rPr>
                <w:rFonts w:hint="eastAsia" w:ascii="宋体" w:hAnsi="宋体"/>
                <w:b/>
                <w:sz w:val="24"/>
                <w:highlight w:val="none"/>
              </w:rPr>
              <w:t>评分因素与权重分值</w:t>
            </w:r>
          </w:p>
        </w:tc>
        <w:tc>
          <w:tcPr>
            <w:tcW w:w="3241" w:type="dxa"/>
            <w:vMerge w:val="restart"/>
            <w:vAlign w:val="center"/>
          </w:tcPr>
          <w:p w14:paraId="3390C0A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 w:val="24"/>
                <w:highlight w:val="none"/>
              </w:rPr>
            </w:pPr>
            <w:r>
              <w:rPr>
                <w:rFonts w:hint="eastAsia" w:ascii="宋体" w:hAnsi="宋体"/>
                <w:b/>
                <w:sz w:val="24"/>
                <w:highlight w:val="none"/>
              </w:rPr>
              <w:t>评分标准</w:t>
            </w:r>
          </w:p>
        </w:tc>
      </w:tr>
      <w:tr w14:paraId="11133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0" w:hRule="atLeast"/>
          <w:jc w:val="center"/>
        </w:trPr>
        <w:tc>
          <w:tcPr>
            <w:tcW w:w="1020" w:type="dxa"/>
            <w:vAlign w:val="center"/>
          </w:tcPr>
          <w:p w14:paraId="431C0281">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条款号</w:t>
            </w:r>
          </w:p>
        </w:tc>
        <w:tc>
          <w:tcPr>
            <w:tcW w:w="1953" w:type="dxa"/>
            <w:gridSpan w:val="2"/>
            <w:vAlign w:val="center"/>
          </w:tcPr>
          <w:p w14:paraId="2498E3D5">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评分因素</w:t>
            </w:r>
          </w:p>
        </w:tc>
        <w:tc>
          <w:tcPr>
            <w:tcW w:w="1277" w:type="dxa"/>
            <w:vAlign w:val="center"/>
          </w:tcPr>
          <w:p w14:paraId="18693B79">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评分因素</w:t>
            </w:r>
          </w:p>
          <w:p w14:paraId="181B435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权重分值</w:t>
            </w:r>
          </w:p>
        </w:tc>
        <w:tc>
          <w:tcPr>
            <w:tcW w:w="1032" w:type="dxa"/>
            <w:vAlign w:val="center"/>
          </w:tcPr>
          <w:p w14:paraId="68F209E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各评分因素细分项</w:t>
            </w:r>
          </w:p>
        </w:tc>
        <w:tc>
          <w:tcPr>
            <w:tcW w:w="993" w:type="dxa"/>
            <w:vAlign w:val="center"/>
          </w:tcPr>
          <w:p w14:paraId="287406A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b/>
                <w:szCs w:val="21"/>
                <w:highlight w:val="none"/>
              </w:rPr>
            </w:pPr>
            <w:r>
              <w:rPr>
                <w:rFonts w:hint="eastAsia" w:ascii="宋体" w:hAnsi="宋体"/>
                <w:b/>
                <w:szCs w:val="21"/>
                <w:highlight w:val="none"/>
              </w:rPr>
              <w:t>分值</w:t>
            </w:r>
          </w:p>
        </w:tc>
        <w:tc>
          <w:tcPr>
            <w:tcW w:w="3241" w:type="dxa"/>
            <w:vMerge w:val="continue"/>
            <w:vAlign w:val="center"/>
          </w:tcPr>
          <w:p w14:paraId="063096BB">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p>
        </w:tc>
      </w:tr>
      <w:tr w14:paraId="5CD38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8" w:hRule="exact"/>
          <w:jc w:val="center"/>
        </w:trPr>
        <w:tc>
          <w:tcPr>
            <w:tcW w:w="1020" w:type="dxa"/>
            <w:vMerge w:val="restart"/>
            <w:vAlign w:val="center"/>
          </w:tcPr>
          <w:p w14:paraId="294FE82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2.2.4（4）</w:t>
            </w:r>
          </w:p>
        </w:tc>
        <w:tc>
          <w:tcPr>
            <w:tcW w:w="623" w:type="dxa"/>
            <w:vMerge w:val="restart"/>
            <w:vAlign w:val="center"/>
          </w:tcPr>
          <w:p w14:paraId="798AA4C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其他因素</w:t>
            </w:r>
          </w:p>
        </w:tc>
        <w:tc>
          <w:tcPr>
            <w:tcW w:w="1330" w:type="dxa"/>
            <w:vMerge w:val="restart"/>
            <w:vAlign w:val="center"/>
          </w:tcPr>
          <w:p w14:paraId="56DFE9A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业绩</w:t>
            </w:r>
          </w:p>
        </w:tc>
        <w:tc>
          <w:tcPr>
            <w:tcW w:w="1277" w:type="dxa"/>
            <w:vMerge w:val="restart"/>
            <w:vAlign w:val="center"/>
          </w:tcPr>
          <w:p w14:paraId="6713FF57">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10分</w:t>
            </w:r>
          </w:p>
        </w:tc>
        <w:tc>
          <w:tcPr>
            <w:tcW w:w="1032" w:type="dxa"/>
            <w:vMerge w:val="restart"/>
            <w:vAlign w:val="center"/>
          </w:tcPr>
          <w:p w14:paraId="05378B9E">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企业业绩</w:t>
            </w:r>
          </w:p>
        </w:tc>
        <w:tc>
          <w:tcPr>
            <w:tcW w:w="993" w:type="dxa"/>
            <w:tcBorders>
              <w:bottom w:val="single" w:color="auto" w:sz="4" w:space="0"/>
            </w:tcBorders>
            <w:vAlign w:val="center"/>
          </w:tcPr>
          <w:p w14:paraId="3EF3EC2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6分</w:t>
            </w:r>
          </w:p>
        </w:tc>
        <w:tc>
          <w:tcPr>
            <w:tcW w:w="3241" w:type="dxa"/>
            <w:tcBorders>
              <w:bottom w:val="single" w:color="auto" w:sz="4" w:space="0"/>
            </w:tcBorders>
            <w:vAlign w:val="center"/>
          </w:tcPr>
          <w:p w14:paraId="2EB7D0D7">
            <w:pPr>
              <w:pageBreakBefore w:val="0"/>
              <w:kinsoku/>
              <w:overflowPunct/>
              <w:topLinePunct w:val="0"/>
              <w:bidi w:val="0"/>
              <w:spacing w:beforeAutospacing="0" w:afterAutospacing="0" w:line="360" w:lineRule="exact"/>
              <w:ind w:left="0" w:leftChars="0" w:right="0"/>
              <w:jc w:val="left"/>
              <w:textAlignment w:val="auto"/>
              <w:rPr>
                <w:rFonts w:hint="eastAsia" w:ascii="楷体" w:hAnsi="楷体" w:eastAsia="楷体"/>
                <w:sz w:val="24"/>
                <w:highlight w:val="none"/>
              </w:rPr>
            </w:pPr>
            <w:r>
              <w:rPr>
                <w:rFonts w:hint="eastAsia" w:ascii="宋体" w:hAnsi="宋体"/>
                <w:szCs w:val="21"/>
                <w:highlight w:val="none"/>
              </w:rPr>
              <w:t>满足最低资格要求得6分。</w:t>
            </w:r>
          </w:p>
        </w:tc>
      </w:tr>
      <w:tr w14:paraId="5C0AE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3" w:hRule="exact"/>
          <w:jc w:val="center"/>
        </w:trPr>
        <w:tc>
          <w:tcPr>
            <w:tcW w:w="1020" w:type="dxa"/>
            <w:vMerge w:val="continue"/>
            <w:vAlign w:val="center"/>
          </w:tcPr>
          <w:p w14:paraId="3A5AFC3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623" w:type="dxa"/>
            <w:vMerge w:val="continue"/>
            <w:vAlign w:val="center"/>
          </w:tcPr>
          <w:p w14:paraId="4F8B2D16">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1330" w:type="dxa"/>
            <w:vMerge w:val="continue"/>
            <w:vAlign w:val="center"/>
          </w:tcPr>
          <w:p w14:paraId="294D940A">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1277" w:type="dxa"/>
            <w:vMerge w:val="continue"/>
            <w:vAlign w:val="center"/>
          </w:tcPr>
          <w:p w14:paraId="2034FE7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1032" w:type="dxa"/>
            <w:vMerge w:val="continue"/>
            <w:vAlign w:val="center"/>
          </w:tcPr>
          <w:p w14:paraId="2C12722C">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p>
        </w:tc>
        <w:tc>
          <w:tcPr>
            <w:tcW w:w="993" w:type="dxa"/>
            <w:tcBorders>
              <w:top w:val="single" w:color="auto" w:sz="4" w:space="0"/>
            </w:tcBorders>
            <w:vAlign w:val="center"/>
          </w:tcPr>
          <w:p w14:paraId="5AB2C72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0-4分</w:t>
            </w:r>
          </w:p>
        </w:tc>
        <w:tc>
          <w:tcPr>
            <w:tcW w:w="3241" w:type="dxa"/>
            <w:tcBorders>
              <w:top w:val="single" w:color="auto" w:sz="4" w:space="0"/>
            </w:tcBorders>
            <w:vAlign w:val="center"/>
          </w:tcPr>
          <w:p w14:paraId="178EA305">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在满足最低资格要求基础上，增加</w:t>
            </w:r>
            <w:r>
              <w:rPr>
                <w:rFonts w:hint="eastAsia" w:ascii="宋体" w:hAnsi="宋体"/>
                <w:szCs w:val="21"/>
                <w:highlight w:val="none"/>
              </w:rPr>
              <w:t>1项有效业绩</w:t>
            </w:r>
            <w:r>
              <w:rPr>
                <w:rFonts w:hint="eastAsia" w:ascii="宋体" w:hAnsi="宋体"/>
                <w:szCs w:val="21"/>
                <w:highlight w:val="none"/>
              </w:rPr>
              <w:t>加4分，最多加4分，中间值按比例内插计算得分。</w:t>
            </w:r>
          </w:p>
          <w:p w14:paraId="5610C2B8">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cs="黑体"/>
                <w:szCs w:val="21"/>
                <w:highlight w:val="none"/>
              </w:rPr>
            </w:pPr>
            <w:r>
              <w:rPr>
                <w:rFonts w:hint="eastAsia" w:ascii="黑体" w:hAnsi="黑体" w:eastAsia="黑体" w:cs="黑体"/>
                <w:szCs w:val="21"/>
                <w:highlight w:val="none"/>
              </w:rPr>
              <w:t>有效业绩：</w:t>
            </w:r>
            <w:r>
              <w:rPr>
                <w:rFonts w:ascii="黑体" w:hAnsi="黑体" w:eastAsia="黑体" w:cs="黑体"/>
                <w:szCs w:val="21"/>
                <w:highlight w:val="none"/>
              </w:rPr>
              <w:t>2021年1月1日后（两阶段验收工程以交工时间为准，一阶段验收工程以交工或竣工时间为准），完成过的高速公路养护工程施工业绩（双幅按2倍长度计算）</w:t>
            </w:r>
            <w:r>
              <w:rPr>
                <w:rFonts w:hint="eastAsia" w:ascii="黑体" w:hAnsi="黑体" w:eastAsia="黑体" w:cs="黑体"/>
                <w:szCs w:val="21"/>
                <w:highlight w:val="none"/>
              </w:rPr>
              <w:t>。</w:t>
            </w:r>
          </w:p>
        </w:tc>
      </w:tr>
      <w:tr w14:paraId="1C834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52" w:hRule="exact"/>
          <w:jc w:val="center"/>
        </w:trPr>
        <w:tc>
          <w:tcPr>
            <w:tcW w:w="1020" w:type="dxa"/>
            <w:vAlign w:val="center"/>
          </w:tcPr>
          <w:p w14:paraId="36FFF700">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2.2.4（4）</w:t>
            </w:r>
          </w:p>
        </w:tc>
        <w:tc>
          <w:tcPr>
            <w:tcW w:w="623" w:type="dxa"/>
            <w:vAlign w:val="center"/>
          </w:tcPr>
          <w:p w14:paraId="14B37CA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其他因素</w:t>
            </w:r>
          </w:p>
        </w:tc>
        <w:tc>
          <w:tcPr>
            <w:tcW w:w="1330" w:type="dxa"/>
            <w:vAlign w:val="center"/>
          </w:tcPr>
          <w:p w14:paraId="44C1578D">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履约信誉</w:t>
            </w:r>
          </w:p>
        </w:tc>
        <w:tc>
          <w:tcPr>
            <w:tcW w:w="1277" w:type="dxa"/>
            <w:vAlign w:val="center"/>
          </w:tcPr>
          <w:p w14:paraId="484889F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5分</w:t>
            </w:r>
          </w:p>
        </w:tc>
        <w:tc>
          <w:tcPr>
            <w:tcW w:w="1032" w:type="dxa"/>
            <w:vAlign w:val="center"/>
          </w:tcPr>
          <w:p w14:paraId="21E2EA4F">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信用</w:t>
            </w:r>
          </w:p>
          <w:p w14:paraId="1943970B">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评价</w:t>
            </w:r>
          </w:p>
        </w:tc>
        <w:tc>
          <w:tcPr>
            <w:tcW w:w="993" w:type="dxa"/>
            <w:vAlign w:val="center"/>
          </w:tcPr>
          <w:p w14:paraId="51063944">
            <w:pPr>
              <w:pageBreakBefore w:val="0"/>
              <w:kinsoku/>
              <w:overflowPunct/>
              <w:topLinePunct w:val="0"/>
              <w:bidi w:val="0"/>
              <w:spacing w:beforeAutospacing="0" w:afterAutospacing="0" w:line="360" w:lineRule="exact"/>
              <w:ind w:left="0" w:leftChars="0" w:right="0"/>
              <w:jc w:val="center"/>
              <w:textAlignment w:val="auto"/>
              <w:rPr>
                <w:rFonts w:hint="eastAsia" w:ascii="宋体" w:hAnsi="宋体"/>
                <w:szCs w:val="21"/>
                <w:highlight w:val="none"/>
              </w:rPr>
            </w:pPr>
            <w:r>
              <w:rPr>
                <w:rFonts w:hint="eastAsia" w:ascii="宋体" w:hAnsi="宋体"/>
                <w:szCs w:val="21"/>
                <w:highlight w:val="none"/>
              </w:rPr>
              <w:t>5分</w:t>
            </w:r>
          </w:p>
        </w:tc>
        <w:tc>
          <w:tcPr>
            <w:tcW w:w="3241" w:type="dxa"/>
            <w:vAlign w:val="center"/>
          </w:tcPr>
          <w:p w14:paraId="76CFCF59">
            <w:pPr>
              <w:pageBreakBefore w:val="0"/>
              <w:kinsoku/>
              <w:overflowPunct/>
              <w:topLinePunct w:val="0"/>
              <w:autoSpaceDE w:val="0"/>
              <w:autoSpaceDN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按照以下优先顺序应用投标人的信用评价结果（如没有前一项结果，则应用下一项结果）：</w:t>
            </w:r>
          </w:p>
          <w:p w14:paraId="1D528DE2">
            <w:pPr>
              <w:pageBreakBefore w:val="0"/>
              <w:kinsoku/>
              <w:overflowPunct/>
              <w:topLinePunct w:val="0"/>
              <w:autoSpaceDE w:val="0"/>
              <w:autoSpaceDN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（1）吉林省交通运输厅发布的“吉</w:t>
            </w:r>
            <w:r>
              <w:rPr>
                <w:rFonts w:hint="eastAsia" w:ascii="宋体" w:hAnsi="宋体"/>
                <w:szCs w:val="21"/>
                <w:highlight w:val="none"/>
              </w:rPr>
              <w:t>林省2025年度公路建设市场吉林省省级综合评价结果</w:t>
            </w:r>
            <w:r>
              <w:rPr>
                <w:rFonts w:hint="eastAsia" w:ascii="宋体" w:hAnsi="宋体"/>
                <w:szCs w:val="21"/>
                <w:highlight w:val="none"/>
              </w:rPr>
              <w:t>”中的企业信用等级；</w:t>
            </w:r>
          </w:p>
          <w:p w14:paraId="0319D705">
            <w:pPr>
              <w:pageBreakBefore w:val="0"/>
              <w:kinsoku/>
              <w:overflowPunct/>
              <w:topLinePunct w:val="0"/>
              <w:autoSpaceDE w:val="0"/>
              <w:autoSpaceDN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（2）交通运输部“全国公路建设市场监督管理系统”“全国公路从业单位信用评价结果”中投标人的全国综合评价2024年度企业信用等级；</w:t>
            </w:r>
          </w:p>
          <w:p w14:paraId="59B888EE">
            <w:pPr>
              <w:pageBreakBefore w:val="0"/>
              <w:kinsoku/>
              <w:overflowPunct/>
              <w:topLinePunct w:val="0"/>
              <w:autoSpaceDE w:val="0"/>
              <w:autoSpaceDN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（3）无以上信用评价等级的，根据“全国公路建设市场监督管理系统--不良行为记录”查询结果，若无不良信用记录，按A级对待，如有不良信用记录，视其严重程度按B级或以下对待。</w:t>
            </w:r>
          </w:p>
          <w:p w14:paraId="1769E928">
            <w:pPr>
              <w:pageBreakBefore w:val="0"/>
              <w:kinsoku/>
              <w:overflowPunct/>
              <w:topLinePunct w:val="0"/>
              <w:autoSpaceDE w:val="0"/>
              <w:autoSpaceDN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（4）联合体参与投标的，按上述原则首先确定联合体各成员信用等级，最后按照联合体所有成员中最低等级方认定联合体信用等级。</w:t>
            </w:r>
          </w:p>
          <w:p w14:paraId="55225D13">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AA级、A级        5分</w:t>
            </w:r>
          </w:p>
          <w:p w14:paraId="22598EED">
            <w:pPr>
              <w:pageBreakBefore w:val="0"/>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B级              4分</w:t>
            </w:r>
          </w:p>
          <w:p w14:paraId="60CCD896">
            <w:pPr>
              <w:pageBreakBefore w:val="0"/>
              <w:tabs>
                <w:tab w:val="left" w:pos="1311"/>
                <w:tab w:val="left" w:pos="1778"/>
              </w:tabs>
              <w:kinsoku/>
              <w:overflowPunct/>
              <w:topLinePunct w:val="0"/>
              <w:bidi w:val="0"/>
              <w:adjustRightInd w:val="0"/>
              <w:snapToGrid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C级              3分</w:t>
            </w:r>
          </w:p>
          <w:p w14:paraId="2D9DDF11">
            <w:pPr>
              <w:pageBreakBefore w:val="0"/>
              <w:kinsoku/>
              <w:overflowPunct/>
              <w:topLinePunct w:val="0"/>
              <w:bidi w:val="0"/>
              <w:spacing w:beforeAutospacing="0" w:afterAutospacing="0" w:line="360" w:lineRule="exact"/>
              <w:ind w:left="0" w:leftChars="0" w:right="0" w:firstLine="210" w:firstLineChars="100"/>
              <w:jc w:val="left"/>
              <w:textAlignment w:val="auto"/>
              <w:rPr>
                <w:rFonts w:hint="eastAsia" w:ascii="宋体" w:hAnsi="宋体"/>
                <w:szCs w:val="21"/>
                <w:highlight w:val="none"/>
              </w:rPr>
            </w:pPr>
            <w:r>
              <w:rPr>
                <w:rFonts w:hint="eastAsia" w:ascii="宋体" w:hAnsi="宋体"/>
                <w:szCs w:val="21"/>
                <w:highlight w:val="none"/>
              </w:rPr>
              <w:t>D级              0分</w:t>
            </w:r>
          </w:p>
        </w:tc>
      </w:tr>
      <w:tr w14:paraId="2529A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9516" w:type="dxa"/>
            <w:gridSpan w:val="7"/>
            <w:vAlign w:val="center"/>
          </w:tcPr>
          <w:p w14:paraId="73C32546">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szCs w:val="21"/>
                <w:highlight w:val="none"/>
              </w:rPr>
            </w:pPr>
            <w:r>
              <w:rPr>
                <w:rFonts w:hint="eastAsia" w:ascii="宋体" w:hAnsi="宋体"/>
                <w:szCs w:val="21"/>
                <w:highlight w:val="none"/>
              </w:rPr>
              <w:t>需要补充的其他内容：</w:t>
            </w:r>
          </w:p>
          <w:p w14:paraId="2079F3F4">
            <w:pPr>
              <w:pageBreakBefore w:val="0"/>
              <w:kinsoku/>
              <w:overflowPunct/>
              <w:topLinePunct w:val="0"/>
              <w:bidi w:val="0"/>
              <w:adjustRightInd w:val="0"/>
              <w:snapToGrid w:val="0"/>
              <w:spacing w:beforeAutospacing="0" w:afterAutospacing="0" w:line="360" w:lineRule="exact"/>
              <w:ind w:left="0" w:leftChars="0" w:right="0" w:firstLine="420"/>
              <w:jc w:val="left"/>
              <w:textAlignment w:val="auto"/>
              <w:rPr>
                <w:rFonts w:hint="eastAsia" w:ascii="宋体" w:hAnsi="宋体"/>
                <w:highlight w:val="none"/>
              </w:rPr>
            </w:pPr>
            <w:r>
              <w:rPr>
                <w:rFonts w:hint="eastAsia" w:ascii="宋体" w:hAnsi="宋体"/>
                <w:highlight w:val="none"/>
              </w:rPr>
              <w:t>1.各评分因素（评标价和履约信誉评分项除外）得分一般不得低于其权重分值的60%，且各评分因素得分应以评标委员会各成员的打分平均值确定，该平均值以去掉一个最高分和一个最低分后计算。评标委员会成员对某一项评分因素的评分低于权重分值60%的，应在评标报告中作出说明。所有评分分值均保留至小数点后两位，小数点后第三位四舍五入。</w:t>
            </w:r>
          </w:p>
          <w:p w14:paraId="0190A57F">
            <w:pPr>
              <w:pageBreakBefore w:val="0"/>
              <w:kinsoku/>
              <w:overflowPunct/>
              <w:topLinePunct w:val="0"/>
              <w:bidi w:val="0"/>
              <w:adjustRightInd w:val="0"/>
              <w:snapToGrid w:val="0"/>
              <w:spacing w:beforeAutospacing="0" w:afterAutospacing="0" w:line="360" w:lineRule="exact"/>
              <w:ind w:left="0" w:leftChars="0" w:right="0" w:firstLine="420"/>
              <w:jc w:val="left"/>
              <w:textAlignment w:val="auto"/>
              <w:rPr>
                <w:rFonts w:hint="eastAsia" w:ascii="宋体" w:hAnsi="宋体"/>
                <w:highlight w:val="none"/>
              </w:rPr>
            </w:pPr>
            <w:r>
              <w:rPr>
                <w:rFonts w:hint="eastAsia" w:ascii="宋体" w:hAnsi="宋体"/>
                <w:highlight w:val="none"/>
              </w:rPr>
              <w:t>2. 施工组织设计采用“暗标”评审方式。如果施工组织设计出现能识别投标人的内容，经评标委员会确定后，将否决其投标。</w:t>
            </w:r>
          </w:p>
        </w:tc>
      </w:tr>
    </w:tbl>
    <w:p w14:paraId="493A86F1">
      <w:pPr>
        <w:pageBreakBefore w:val="0"/>
        <w:kinsoku/>
        <w:overflowPunct/>
        <w:topLinePunct w:val="0"/>
        <w:bidi w:val="0"/>
        <w:spacing w:beforeAutospacing="0" w:afterAutospacing="0" w:line="360" w:lineRule="exact"/>
        <w:ind w:left="0" w:leftChars="0" w:right="0"/>
        <w:jc w:val="left"/>
        <w:textAlignment w:val="auto"/>
        <w:rPr>
          <w:rFonts w:hint="eastAsia" w:ascii="宋体" w:hAnsi="宋体" w:cs="宋体"/>
          <w:sz w:val="28"/>
          <w:szCs w:val="28"/>
          <w:highlight w:val="none"/>
        </w:rPr>
      </w:pPr>
    </w:p>
    <w:p w14:paraId="6557B60F">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bookmarkStart w:id="33" w:name="_Toc509492449"/>
    </w:p>
    <w:p w14:paraId="29D2D594">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368B0032">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1D587D10">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738CC9F1">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452CFDA1">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50C08320">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3A304BE6">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700F3809">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088E7908">
      <w:pPr>
        <w:pageBreakBefore w:val="0"/>
        <w:kinsoku/>
        <w:overflowPunct/>
        <w:topLinePunct w:val="0"/>
        <w:bidi w:val="0"/>
        <w:spacing w:beforeAutospacing="0" w:afterAutospacing="0" w:line="360" w:lineRule="exact"/>
        <w:ind w:left="0" w:leftChars="0" w:right="0"/>
        <w:jc w:val="left"/>
        <w:textAlignment w:val="auto"/>
        <w:rPr>
          <w:rFonts w:hint="eastAsia" w:ascii="黑体" w:hAnsi="黑体" w:eastAsia="黑体"/>
          <w:bCs/>
          <w:sz w:val="32"/>
          <w:szCs w:val="32"/>
          <w:highlight w:val="none"/>
        </w:rPr>
      </w:pPr>
    </w:p>
    <w:p w14:paraId="21D6E903">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lang w:val="en-US" w:eastAsia="zh-CN"/>
        </w:rPr>
      </w:pPr>
      <w:r>
        <w:rPr>
          <w:rFonts w:hint="eastAsia" w:ascii="黑体" w:hAnsi="黑体" w:eastAsia="黑体"/>
          <w:sz w:val="28"/>
          <w:szCs w:val="28"/>
          <w:highlight w:val="none"/>
          <w:lang w:val="en-US" w:eastAsia="zh-CN"/>
        </w:rPr>
        <w:t>10.公开时间</w:t>
      </w:r>
    </w:p>
    <w:p w14:paraId="28155AC6">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招标文件关键内容信息公开时间至</w:t>
      </w:r>
      <w:r>
        <w:rPr>
          <w:rFonts w:hint="eastAsia" w:ascii="宋体" w:hAnsi="宋体" w:eastAsia="宋体" w:cs="宋体"/>
          <w:color w:val="auto"/>
          <w:szCs w:val="21"/>
          <w:highlight w:val="none"/>
          <w:lang w:val="en-US" w:eastAsia="zh-CN"/>
        </w:rPr>
        <w:t>投标截止前10天</w:t>
      </w:r>
      <w:r>
        <w:rPr>
          <w:rFonts w:hint="eastAsia" w:ascii="宋体" w:hAnsi="宋体" w:eastAsia="宋体" w:cs="宋体"/>
          <w:color w:val="auto"/>
          <w:szCs w:val="21"/>
          <w:highlight w:val="none"/>
        </w:rPr>
        <w:t>。</w:t>
      </w:r>
    </w:p>
    <w:p w14:paraId="165F1831">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lang w:val="en-US" w:eastAsia="zh-CN"/>
        </w:rPr>
      </w:pPr>
      <w:r>
        <w:rPr>
          <w:rFonts w:hint="eastAsia" w:ascii="黑体" w:hAnsi="黑体" w:eastAsia="黑体"/>
          <w:sz w:val="28"/>
          <w:szCs w:val="28"/>
          <w:highlight w:val="none"/>
          <w:lang w:val="en-US" w:eastAsia="zh-CN"/>
        </w:rPr>
        <w:t>11.联系方式</w:t>
      </w:r>
    </w:p>
    <w:p w14:paraId="57A95AB3">
      <w:pPr>
        <w:pStyle w:val="243"/>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highlight w:val="none"/>
        </w:rPr>
      </w:pPr>
      <w:r>
        <w:rPr>
          <w:rFonts w:hint="eastAsia" w:ascii="宋体" w:hAnsi="宋体" w:cs="微软雅黑"/>
          <w:sz w:val="24"/>
          <w:highlight w:val="none"/>
        </w:rPr>
        <w:t>招标人：长春高速公路有限责任公司</w:t>
      </w:r>
    </w:p>
    <w:p w14:paraId="17A6F5C0">
      <w:pPr>
        <w:pStyle w:val="243"/>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highlight w:val="none"/>
        </w:rPr>
      </w:pPr>
      <w:r>
        <w:rPr>
          <w:rFonts w:hint="eastAsia" w:ascii="宋体" w:hAnsi="宋体" w:cs="微软雅黑"/>
          <w:sz w:val="24"/>
          <w:highlight w:val="none"/>
        </w:rPr>
        <w:t>地址：长春市硅谷大街收费站</w:t>
      </w:r>
    </w:p>
    <w:p w14:paraId="6D5E6A6B">
      <w:pPr>
        <w:pStyle w:val="243"/>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highlight w:val="none"/>
        </w:rPr>
      </w:pPr>
      <w:r>
        <w:rPr>
          <w:rFonts w:hint="eastAsia" w:ascii="宋体" w:hAnsi="宋体" w:cs="微软雅黑"/>
          <w:sz w:val="24"/>
          <w:highlight w:val="none"/>
        </w:rPr>
        <w:t>邮政编码：130000</w:t>
      </w:r>
    </w:p>
    <w:p w14:paraId="780F6A32">
      <w:pPr>
        <w:pStyle w:val="243"/>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highlight w:val="none"/>
        </w:rPr>
      </w:pPr>
      <w:r>
        <w:rPr>
          <w:rFonts w:hint="eastAsia" w:ascii="宋体" w:hAnsi="宋体" w:cs="微软雅黑"/>
          <w:sz w:val="24"/>
          <w:highlight w:val="none"/>
        </w:rPr>
        <w:t>联系人：颜庭祥</w:t>
      </w:r>
    </w:p>
    <w:p w14:paraId="09244767">
      <w:pPr>
        <w:pStyle w:val="243"/>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highlight w:val="none"/>
        </w:rPr>
      </w:pPr>
      <w:r>
        <w:rPr>
          <w:rFonts w:hint="eastAsia" w:ascii="宋体" w:hAnsi="宋体" w:cs="微软雅黑"/>
          <w:sz w:val="24"/>
          <w:highlight w:val="none"/>
        </w:rPr>
        <w:t>电话：0431-85868980</w:t>
      </w:r>
    </w:p>
    <w:p w14:paraId="24463517">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招标代理机构：吉林省伟邦公路技术有限公司</w:t>
      </w:r>
    </w:p>
    <w:p w14:paraId="2F0AAF38">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地址：</w:t>
      </w:r>
      <w:r>
        <w:rPr>
          <w:rFonts w:hint="eastAsia" w:ascii="宋体" w:hAnsi="宋体" w:cs="微软雅黑"/>
          <w:sz w:val="24"/>
          <w:szCs w:val="24"/>
          <w:highlight w:val="none"/>
          <w:lang w:val="zh-CN"/>
        </w:rPr>
        <w:t>长春市净月高新技术产业开发区擎天树街855号</w:t>
      </w:r>
    </w:p>
    <w:p w14:paraId="4C6ABC4B">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联系人：赵鑫、刘世远</w:t>
      </w:r>
    </w:p>
    <w:p w14:paraId="5C3BFF8F">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电话：</w:t>
      </w:r>
      <w:r>
        <w:rPr>
          <w:rFonts w:ascii="宋体" w:hAnsi="宋体" w:cs="微软雅黑"/>
          <w:sz w:val="24"/>
          <w:szCs w:val="24"/>
          <w:highlight w:val="none"/>
        </w:rPr>
        <w:t>0431-88655555</w:t>
      </w:r>
    </w:p>
    <w:p w14:paraId="63678681">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项目负责人：李金波</w:t>
      </w:r>
    </w:p>
    <w:bookmarkEnd w:id="33"/>
    <w:p w14:paraId="4D6CAEC4">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exact"/>
        <w:ind w:left="0" w:leftChars="0" w:right="0" w:firstLine="280" w:firstLineChars="100"/>
        <w:jc w:val="left"/>
        <w:textAlignment w:val="auto"/>
        <w:rPr>
          <w:rFonts w:hint="eastAsia" w:ascii="黑体" w:hAnsi="黑体" w:eastAsia="黑体"/>
          <w:sz w:val="28"/>
          <w:szCs w:val="28"/>
          <w:highlight w:val="none"/>
        </w:rPr>
      </w:pPr>
      <w:r>
        <w:rPr>
          <w:rFonts w:hint="eastAsia" w:ascii="黑体" w:hAnsi="黑体" w:eastAsia="黑体"/>
          <w:sz w:val="28"/>
          <w:szCs w:val="28"/>
          <w:highlight w:val="none"/>
          <w:lang w:val="en-US" w:eastAsia="zh-CN"/>
        </w:rPr>
        <w:t>12</w:t>
      </w:r>
      <w:r>
        <w:rPr>
          <w:rFonts w:hint="eastAsia" w:ascii="黑体" w:hAnsi="黑体" w:eastAsia="黑体"/>
          <w:sz w:val="28"/>
          <w:szCs w:val="28"/>
          <w:highlight w:val="none"/>
        </w:rPr>
        <w:t>.监督部门</w:t>
      </w:r>
    </w:p>
    <w:p w14:paraId="3C9F0EC9">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行政监督：吉林省交通运输厅</w:t>
      </w:r>
    </w:p>
    <w:p w14:paraId="483DCEF9">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电话：0431-85097540</w:t>
      </w:r>
    </w:p>
    <w:p w14:paraId="383E3BF0">
      <w:pPr>
        <w:keepNext w:val="0"/>
        <w:keepLines w:val="0"/>
        <w:pageBreakBefore w:val="0"/>
        <w:widowControl w:val="0"/>
        <w:kinsoku/>
        <w:wordWrap/>
        <w:overflowPunct/>
        <w:topLinePunct w:val="0"/>
        <w:autoSpaceDE/>
        <w:autoSpaceDN/>
        <w:bidi w:val="0"/>
        <w:spacing w:beforeAutospacing="0" w:afterAutospacing="0" w:line="360" w:lineRule="exact"/>
        <w:ind w:left="0" w:leftChars="0" w:right="0" w:firstLine="360" w:firstLineChars="150"/>
        <w:jc w:val="left"/>
        <w:textAlignment w:val="auto"/>
        <w:rPr>
          <w:rFonts w:hint="eastAsia" w:ascii="宋体" w:hAnsi="宋体" w:cs="微软雅黑"/>
          <w:sz w:val="24"/>
          <w:szCs w:val="24"/>
          <w:highlight w:val="none"/>
        </w:rPr>
      </w:pPr>
      <w:r>
        <w:rPr>
          <w:rFonts w:hint="eastAsia" w:ascii="宋体" w:hAnsi="宋体" w:cs="微软雅黑"/>
          <w:sz w:val="24"/>
          <w:szCs w:val="24"/>
          <w:highlight w:val="none"/>
        </w:rPr>
        <w:t>地址：吉林省长春市解放大路2518号交通大厦</w:t>
      </w:r>
    </w:p>
    <w:sectPr>
      <w:headerReference r:id="rId6" w:type="default"/>
      <w:footerReference r:id="rId7" w:type="default"/>
      <w:footnotePr>
        <w:numFmt w:val="decimalEnclosedCircleChinese"/>
        <w:numRestart w:val="eachPage"/>
      </w:footnotePr>
      <w:pgSz w:w="11907" w:h="16840"/>
      <w:pgMar w:top="1134" w:right="1134" w:bottom="1134" w:left="1134" w:header="0"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Sylfaen">
    <w:panose1 w:val="010A0502050306030303"/>
    <w:charset w:val="00"/>
    <w:family w:val="roman"/>
    <w:pitch w:val="default"/>
    <w:sig w:usb0="04000687" w:usb1="00000000" w:usb2="00000000" w:usb3="00000000" w:csb0="2000009F" w:csb1="00000000"/>
  </w:font>
  <w:font w:name="Lucida Sans Unicode">
    <w:panose1 w:val="020B0602030504020204"/>
    <w:charset w:val="00"/>
    <w:family w:val="swiss"/>
    <w:pitch w:val="default"/>
    <w:sig w:usb0="80001AFF" w:usb1="0000396B" w:usb2="00000000" w:usb3="00000000" w:csb0="200000BF" w:csb1="D7F70000"/>
  </w:font>
  <w:font w:name="华文细黑">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Segoe UI Symbol">
    <w:panose1 w:val="020B0502040204020203"/>
    <w:charset w:val="00"/>
    <w:family w:val="swiss"/>
    <w:pitch w:val="default"/>
    <w:sig w:usb0="800001E3" w:usb1="1200FFEF" w:usb2="00040000" w:usb3="04000000" w:csb0="00000001" w:csb1="40000000"/>
  </w:font>
  <w:font w:name="隶书">
    <w:panose1 w:val="02010509060101010101"/>
    <w:charset w:val="86"/>
    <w:family w:val="modern"/>
    <w:pitch w:val="default"/>
    <w:sig w:usb0="00000001" w:usb1="080E0000" w:usb2="00000000" w:usb3="00000000" w:csb0="00040000" w:csb1="00000000"/>
  </w:font>
  <w:font w:name="方正超粗黑简体">
    <w:altName w:val="微软雅黑"/>
    <w:panose1 w:val="00000000000000000000"/>
    <w:charset w:val="86"/>
    <w:family w:val="script"/>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KSOFF9CBECC6">
    <w:panose1 w:val="02010609060101010101"/>
    <w:charset w:val="86"/>
    <w:family w:val="auto"/>
    <w:pitch w:val="default"/>
    <w:sig w:usb0="00000001" w:usb1="00000000" w:usb2="00000000" w:usb3="00000000" w:csb0="00040001"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SJQY">
    <w:altName w:val="宋体"/>
    <w:panose1 w:val="02010600030101010101"/>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30623"/>
    </w:sdtPr>
    <w:sdtEndPr>
      <w:rPr>
        <w:rFonts w:ascii="宋体" w:hAnsi="宋体"/>
        <w:sz w:val="21"/>
        <w:szCs w:val="21"/>
      </w:rPr>
    </w:sdtEndPr>
    <w:sdtContent>
      <w:p w14:paraId="7BAEFB3B">
        <w:pPr>
          <w:pStyle w:val="33"/>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59</w:t>
        </w:r>
        <w:r>
          <w:rPr>
            <w:rFonts w:ascii="宋体" w:hAnsi="宋体"/>
            <w:sz w:val="21"/>
            <w:szCs w:val="21"/>
          </w:rPr>
          <w:fldChar w:fldCharType="end"/>
        </w:r>
      </w:p>
    </w:sdtContent>
  </w:sdt>
  <w:p w14:paraId="02E901C5">
    <w:pPr>
      <w:pStyle w:val="33"/>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2277721"/>
    </w:sdtPr>
    <w:sdtEndPr>
      <w:rPr>
        <w:rFonts w:ascii="宋体" w:hAnsi="宋体"/>
        <w:sz w:val="21"/>
        <w:szCs w:val="21"/>
      </w:rPr>
    </w:sdtEndPr>
    <w:sdtContent>
      <w:p w14:paraId="0B52B87E">
        <w:pPr>
          <w:pStyle w:val="33"/>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104</w:t>
        </w:r>
        <w:r>
          <w:rPr>
            <w:rFonts w:ascii="宋体" w:hAnsi="宋体"/>
            <w:sz w:val="21"/>
            <w:szCs w:val="21"/>
            <w:lang w:val="zh-CN"/>
          </w:rPr>
          <w:fldChar w:fldCharType="end"/>
        </w:r>
      </w:p>
    </w:sdtContent>
  </w:sdt>
  <w:p w14:paraId="7F7C7C28">
    <w:pPr>
      <w:pStyle w:val="3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2DBFE99A">
      <w:pPr>
        <w:pStyle w:val="40"/>
        <w:jc w:val="both"/>
        <w:rPr>
          <w:rFonts w:hint="eastAsia" w:ascii="楷体" w:hAnsi="楷体" w:eastAsia="楷体"/>
        </w:rPr>
      </w:pPr>
      <w:r>
        <w:rPr>
          <w:rStyle w:val="71"/>
        </w:rPr>
        <w:footnoteRef/>
      </w:r>
      <w:r>
        <w:rPr>
          <w:rFonts w:hint="eastAsia" w:ascii="楷体" w:hAnsi="楷体" w:eastAsia="楷体"/>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 w:id="1">
    <w:p w14:paraId="36719243">
      <w:pPr>
        <w:pStyle w:val="40"/>
        <w:rPr>
          <w:rFonts w:hint="eastAsia" w:ascii="楷体" w:hAnsi="楷体" w:eastAsia="楷体"/>
        </w:rPr>
      </w:pPr>
      <w:r>
        <w:rPr>
          <w:rStyle w:val="71"/>
          <w:rFonts w:ascii="楷体" w:hAnsi="楷体" w:eastAsia="楷体"/>
        </w:rPr>
        <w:footnoteRef/>
      </w:r>
      <w:r>
        <w:rPr>
          <w:rFonts w:hint="eastAsia" w:ascii="楷体" w:hAnsi="楷体" w:eastAsia="楷体"/>
        </w:rPr>
        <w:t>各评分因素（评标价和履约信誉评分项除外）得分一般不得低于其权重分值的60%，且各评分因素得分应以评标委员会各成员的打分平均值确定，评标委员会成员总数为7人以上时，该平均值以去掉一个最高分和一个最低分后计算。评标委员会成员对某一项评分因素的评分低于权重分值60%的，应在评标报告中作出说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C6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2F6B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movePersonalInformation/>
  <w:bordersDoNotSurroundHeader w:val="1"/>
  <w:bordersDoNotSurroundFooter w:val="1"/>
  <w:hideSpellingErrors/>
  <w:hideGrammaticalError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footnotePr>
    <w:numFmt w:val="decimalEnclosedCircleChinese"/>
    <w:numRestart w:val="eachPage"/>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iNzQ2YmFjMDkyZjU4NTk5NzRmMDJkYjY2MTcyMjgifQ=="/>
  </w:docVars>
  <w:rsids>
    <w:rsidRoot w:val="00172A27"/>
    <w:rsid w:val="0000047E"/>
    <w:rsid w:val="00000616"/>
    <w:rsid w:val="00000B9B"/>
    <w:rsid w:val="00001150"/>
    <w:rsid w:val="0000125B"/>
    <w:rsid w:val="0000164E"/>
    <w:rsid w:val="00001854"/>
    <w:rsid w:val="00001BC8"/>
    <w:rsid w:val="00001EB2"/>
    <w:rsid w:val="000024F7"/>
    <w:rsid w:val="00002670"/>
    <w:rsid w:val="0000285B"/>
    <w:rsid w:val="00002BBD"/>
    <w:rsid w:val="00002CF2"/>
    <w:rsid w:val="00002EE6"/>
    <w:rsid w:val="00002F53"/>
    <w:rsid w:val="00002F5F"/>
    <w:rsid w:val="000031D7"/>
    <w:rsid w:val="00003470"/>
    <w:rsid w:val="00003556"/>
    <w:rsid w:val="00003959"/>
    <w:rsid w:val="00003B13"/>
    <w:rsid w:val="00003CBD"/>
    <w:rsid w:val="00003F2E"/>
    <w:rsid w:val="00004231"/>
    <w:rsid w:val="0000434F"/>
    <w:rsid w:val="000043B9"/>
    <w:rsid w:val="0000466A"/>
    <w:rsid w:val="00004874"/>
    <w:rsid w:val="000051CB"/>
    <w:rsid w:val="000055C5"/>
    <w:rsid w:val="00005699"/>
    <w:rsid w:val="00005739"/>
    <w:rsid w:val="000058E7"/>
    <w:rsid w:val="00005DD1"/>
    <w:rsid w:val="00006611"/>
    <w:rsid w:val="000068D4"/>
    <w:rsid w:val="000068D5"/>
    <w:rsid w:val="00006A5D"/>
    <w:rsid w:val="00006B6E"/>
    <w:rsid w:val="00006D5F"/>
    <w:rsid w:val="000071F3"/>
    <w:rsid w:val="00007215"/>
    <w:rsid w:val="0000725C"/>
    <w:rsid w:val="0000793A"/>
    <w:rsid w:val="00007B9F"/>
    <w:rsid w:val="00007F65"/>
    <w:rsid w:val="0001050C"/>
    <w:rsid w:val="000111B0"/>
    <w:rsid w:val="00011497"/>
    <w:rsid w:val="00011687"/>
    <w:rsid w:val="000116D4"/>
    <w:rsid w:val="0001172C"/>
    <w:rsid w:val="0001261F"/>
    <w:rsid w:val="00012BE0"/>
    <w:rsid w:val="00012D41"/>
    <w:rsid w:val="00012D95"/>
    <w:rsid w:val="000130A9"/>
    <w:rsid w:val="00013948"/>
    <w:rsid w:val="00013EDE"/>
    <w:rsid w:val="0001472F"/>
    <w:rsid w:val="00014BD4"/>
    <w:rsid w:val="00015078"/>
    <w:rsid w:val="00015328"/>
    <w:rsid w:val="00015A5E"/>
    <w:rsid w:val="00016470"/>
    <w:rsid w:val="00016A51"/>
    <w:rsid w:val="00016D15"/>
    <w:rsid w:val="00016E09"/>
    <w:rsid w:val="00016F24"/>
    <w:rsid w:val="000177C6"/>
    <w:rsid w:val="00017A7F"/>
    <w:rsid w:val="00017B0C"/>
    <w:rsid w:val="00017D49"/>
    <w:rsid w:val="0002033A"/>
    <w:rsid w:val="0002040E"/>
    <w:rsid w:val="000205BC"/>
    <w:rsid w:val="000207BA"/>
    <w:rsid w:val="00020C0A"/>
    <w:rsid w:val="000218A3"/>
    <w:rsid w:val="00022355"/>
    <w:rsid w:val="00022437"/>
    <w:rsid w:val="0002244B"/>
    <w:rsid w:val="000225E8"/>
    <w:rsid w:val="0002293A"/>
    <w:rsid w:val="00022A3A"/>
    <w:rsid w:val="00023633"/>
    <w:rsid w:val="00023832"/>
    <w:rsid w:val="00023CDA"/>
    <w:rsid w:val="00023DF6"/>
    <w:rsid w:val="00023E12"/>
    <w:rsid w:val="00023F00"/>
    <w:rsid w:val="00024062"/>
    <w:rsid w:val="000240A3"/>
    <w:rsid w:val="000241B5"/>
    <w:rsid w:val="000246DD"/>
    <w:rsid w:val="00024A6C"/>
    <w:rsid w:val="00024B51"/>
    <w:rsid w:val="00024C27"/>
    <w:rsid w:val="00024CAF"/>
    <w:rsid w:val="00024CF8"/>
    <w:rsid w:val="00024E53"/>
    <w:rsid w:val="00025327"/>
    <w:rsid w:val="000253B6"/>
    <w:rsid w:val="0002544A"/>
    <w:rsid w:val="00025785"/>
    <w:rsid w:val="00025A53"/>
    <w:rsid w:val="00025D96"/>
    <w:rsid w:val="00025D97"/>
    <w:rsid w:val="00025DEA"/>
    <w:rsid w:val="00026167"/>
    <w:rsid w:val="00026758"/>
    <w:rsid w:val="00026B5C"/>
    <w:rsid w:val="00026BD3"/>
    <w:rsid w:val="00026C92"/>
    <w:rsid w:val="000276C7"/>
    <w:rsid w:val="00027AEC"/>
    <w:rsid w:val="00027B55"/>
    <w:rsid w:val="00027F0B"/>
    <w:rsid w:val="00027F1F"/>
    <w:rsid w:val="000306FE"/>
    <w:rsid w:val="0003090B"/>
    <w:rsid w:val="00030B1B"/>
    <w:rsid w:val="00030B33"/>
    <w:rsid w:val="00030C58"/>
    <w:rsid w:val="00030CA0"/>
    <w:rsid w:val="00030FA6"/>
    <w:rsid w:val="0003160B"/>
    <w:rsid w:val="0003216C"/>
    <w:rsid w:val="000324C7"/>
    <w:rsid w:val="0003253E"/>
    <w:rsid w:val="00032935"/>
    <w:rsid w:val="00032CA5"/>
    <w:rsid w:val="00032D5A"/>
    <w:rsid w:val="00032EFE"/>
    <w:rsid w:val="000332DF"/>
    <w:rsid w:val="00033545"/>
    <w:rsid w:val="00033977"/>
    <w:rsid w:val="00033C60"/>
    <w:rsid w:val="00033D09"/>
    <w:rsid w:val="00033DEB"/>
    <w:rsid w:val="0003524C"/>
    <w:rsid w:val="0003539B"/>
    <w:rsid w:val="0003563D"/>
    <w:rsid w:val="0003584B"/>
    <w:rsid w:val="00035D19"/>
    <w:rsid w:val="00035DAE"/>
    <w:rsid w:val="00036333"/>
    <w:rsid w:val="00036856"/>
    <w:rsid w:val="00036C47"/>
    <w:rsid w:val="00037169"/>
    <w:rsid w:val="0003739C"/>
    <w:rsid w:val="00040EEF"/>
    <w:rsid w:val="0004129B"/>
    <w:rsid w:val="00041960"/>
    <w:rsid w:val="00041FE5"/>
    <w:rsid w:val="000421D4"/>
    <w:rsid w:val="00042733"/>
    <w:rsid w:val="00042BB8"/>
    <w:rsid w:val="0004335D"/>
    <w:rsid w:val="000437CF"/>
    <w:rsid w:val="00043FB7"/>
    <w:rsid w:val="0004422D"/>
    <w:rsid w:val="0004448A"/>
    <w:rsid w:val="00044499"/>
    <w:rsid w:val="00044AF4"/>
    <w:rsid w:val="00044BDD"/>
    <w:rsid w:val="00044E7F"/>
    <w:rsid w:val="00044F9E"/>
    <w:rsid w:val="00045320"/>
    <w:rsid w:val="000457F5"/>
    <w:rsid w:val="00045885"/>
    <w:rsid w:val="00045B5B"/>
    <w:rsid w:val="00045D64"/>
    <w:rsid w:val="000460CB"/>
    <w:rsid w:val="000466E5"/>
    <w:rsid w:val="00046751"/>
    <w:rsid w:val="00046AE4"/>
    <w:rsid w:val="00046F1F"/>
    <w:rsid w:val="00047021"/>
    <w:rsid w:val="00047393"/>
    <w:rsid w:val="00047890"/>
    <w:rsid w:val="00047B78"/>
    <w:rsid w:val="000500F7"/>
    <w:rsid w:val="0005070F"/>
    <w:rsid w:val="000507C6"/>
    <w:rsid w:val="00051BAA"/>
    <w:rsid w:val="0005207B"/>
    <w:rsid w:val="0005233D"/>
    <w:rsid w:val="000526EE"/>
    <w:rsid w:val="000528ED"/>
    <w:rsid w:val="00052AAC"/>
    <w:rsid w:val="00052D21"/>
    <w:rsid w:val="00053017"/>
    <w:rsid w:val="0005386D"/>
    <w:rsid w:val="00053CBB"/>
    <w:rsid w:val="0005402B"/>
    <w:rsid w:val="000545CD"/>
    <w:rsid w:val="00054C75"/>
    <w:rsid w:val="000554A6"/>
    <w:rsid w:val="00055681"/>
    <w:rsid w:val="00055CAF"/>
    <w:rsid w:val="00055FAB"/>
    <w:rsid w:val="00055FF9"/>
    <w:rsid w:val="00056018"/>
    <w:rsid w:val="000564B6"/>
    <w:rsid w:val="000564C1"/>
    <w:rsid w:val="0005680E"/>
    <w:rsid w:val="00056AC2"/>
    <w:rsid w:val="00056B5C"/>
    <w:rsid w:val="00056D9F"/>
    <w:rsid w:val="00056DD0"/>
    <w:rsid w:val="0005744C"/>
    <w:rsid w:val="000578EF"/>
    <w:rsid w:val="0005799A"/>
    <w:rsid w:val="000579E3"/>
    <w:rsid w:val="0006081B"/>
    <w:rsid w:val="00060AAD"/>
    <w:rsid w:val="00060B17"/>
    <w:rsid w:val="00060B2E"/>
    <w:rsid w:val="00060B89"/>
    <w:rsid w:val="00060E7A"/>
    <w:rsid w:val="0006119D"/>
    <w:rsid w:val="0006138F"/>
    <w:rsid w:val="00062A62"/>
    <w:rsid w:val="00062E6D"/>
    <w:rsid w:val="0006313A"/>
    <w:rsid w:val="000636E8"/>
    <w:rsid w:val="000639E1"/>
    <w:rsid w:val="00063C68"/>
    <w:rsid w:val="000640FA"/>
    <w:rsid w:val="00064561"/>
    <w:rsid w:val="00064755"/>
    <w:rsid w:val="000651AD"/>
    <w:rsid w:val="00065471"/>
    <w:rsid w:val="00065551"/>
    <w:rsid w:val="00065BAE"/>
    <w:rsid w:val="00065D5D"/>
    <w:rsid w:val="00065E42"/>
    <w:rsid w:val="0006678A"/>
    <w:rsid w:val="000669A6"/>
    <w:rsid w:val="000669C1"/>
    <w:rsid w:val="00066AEB"/>
    <w:rsid w:val="00066F0D"/>
    <w:rsid w:val="0006746F"/>
    <w:rsid w:val="00070427"/>
    <w:rsid w:val="0007073F"/>
    <w:rsid w:val="00070864"/>
    <w:rsid w:val="00070C52"/>
    <w:rsid w:val="00070D39"/>
    <w:rsid w:val="00070F3E"/>
    <w:rsid w:val="00070FC5"/>
    <w:rsid w:val="00071057"/>
    <w:rsid w:val="00071176"/>
    <w:rsid w:val="000712CC"/>
    <w:rsid w:val="00071598"/>
    <w:rsid w:val="0007169F"/>
    <w:rsid w:val="00071DA7"/>
    <w:rsid w:val="00071EA0"/>
    <w:rsid w:val="0007250C"/>
    <w:rsid w:val="00072755"/>
    <w:rsid w:val="00072765"/>
    <w:rsid w:val="000727A1"/>
    <w:rsid w:val="00072A82"/>
    <w:rsid w:val="00072F8E"/>
    <w:rsid w:val="0007315A"/>
    <w:rsid w:val="000732AD"/>
    <w:rsid w:val="000735DB"/>
    <w:rsid w:val="00073CF5"/>
    <w:rsid w:val="00073E79"/>
    <w:rsid w:val="000742BF"/>
    <w:rsid w:val="000747BD"/>
    <w:rsid w:val="00074DF7"/>
    <w:rsid w:val="000753DD"/>
    <w:rsid w:val="0007556A"/>
    <w:rsid w:val="000756A6"/>
    <w:rsid w:val="000759B5"/>
    <w:rsid w:val="00075A91"/>
    <w:rsid w:val="000763CA"/>
    <w:rsid w:val="00076C84"/>
    <w:rsid w:val="00076CEA"/>
    <w:rsid w:val="00076D68"/>
    <w:rsid w:val="00076FF0"/>
    <w:rsid w:val="000771CE"/>
    <w:rsid w:val="00077570"/>
    <w:rsid w:val="00077776"/>
    <w:rsid w:val="000777F0"/>
    <w:rsid w:val="000778FB"/>
    <w:rsid w:val="00077902"/>
    <w:rsid w:val="0007796E"/>
    <w:rsid w:val="00077D94"/>
    <w:rsid w:val="00080243"/>
    <w:rsid w:val="0008076D"/>
    <w:rsid w:val="00080ACF"/>
    <w:rsid w:val="00081032"/>
    <w:rsid w:val="000816D0"/>
    <w:rsid w:val="000817BB"/>
    <w:rsid w:val="00081A8E"/>
    <w:rsid w:val="00081AB7"/>
    <w:rsid w:val="00081D55"/>
    <w:rsid w:val="00081F69"/>
    <w:rsid w:val="00081FA9"/>
    <w:rsid w:val="000823F5"/>
    <w:rsid w:val="00082BB7"/>
    <w:rsid w:val="00082E7C"/>
    <w:rsid w:val="0008332C"/>
    <w:rsid w:val="000833FF"/>
    <w:rsid w:val="00083418"/>
    <w:rsid w:val="000839A7"/>
    <w:rsid w:val="00083BA3"/>
    <w:rsid w:val="00083EF4"/>
    <w:rsid w:val="00084183"/>
    <w:rsid w:val="000841DF"/>
    <w:rsid w:val="000846AF"/>
    <w:rsid w:val="00084825"/>
    <w:rsid w:val="00084A3F"/>
    <w:rsid w:val="00084FE5"/>
    <w:rsid w:val="0008506B"/>
    <w:rsid w:val="00085130"/>
    <w:rsid w:val="0008555B"/>
    <w:rsid w:val="000855A4"/>
    <w:rsid w:val="00085660"/>
    <w:rsid w:val="0008667E"/>
    <w:rsid w:val="00086818"/>
    <w:rsid w:val="00086F08"/>
    <w:rsid w:val="0008707D"/>
    <w:rsid w:val="0008708B"/>
    <w:rsid w:val="000870E5"/>
    <w:rsid w:val="0008764D"/>
    <w:rsid w:val="00087723"/>
    <w:rsid w:val="000877E0"/>
    <w:rsid w:val="00087899"/>
    <w:rsid w:val="000878E9"/>
    <w:rsid w:val="0008791A"/>
    <w:rsid w:val="00087B04"/>
    <w:rsid w:val="00087CBE"/>
    <w:rsid w:val="000901A1"/>
    <w:rsid w:val="00090609"/>
    <w:rsid w:val="00090E39"/>
    <w:rsid w:val="000911C9"/>
    <w:rsid w:val="000911CA"/>
    <w:rsid w:val="000915FA"/>
    <w:rsid w:val="000916D8"/>
    <w:rsid w:val="00091712"/>
    <w:rsid w:val="00091A02"/>
    <w:rsid w:val="00091EC3"/>
    <w:rsid w:val="000922FD"/>
    <w:rsid w:val="0009275E"/>
    <w:rsid w:val="00092C4C"/>
    <w:rsid w:val="00092F32"/>
    <w:rsid w:val="00092FA3"/>
    <w:rsid w:val="00092FA6"/>
    <w:rsid w:val="0009309D"/>
    <w:rsid w:val="0009360A"/>
    <w:rsid w:val="00093FBC"/>
    <w:rsid w:val="00094341"/>
    <w:rsid w:val="00094420"/>
    <w:rsid w:val="00094FE3"/>
    <w:rsid w:val="0009512D"/>
    <w:rsid w:val="00095647"/>
    <w:rsid w:val="00095B77"/>
    <w:rsid w:val="00095CFA"/>
    <w:rsid w:val="0009624B"/>
    <w:rsid w:val="00096663"/>
    <w:rsid w:val="00096A7A"/>
    <w:rsid w:val="00096B51"/>
    <w:rsid w:val="00096B6B"/>
    <w:rsid w:val="00096D0D"/>
    <w:rsid w:val="00097046"/>
    <w:rsid w:val="000979C9"/>
    <w:rsid w:val="00097ABD"/>
    <w:rsid w:val="00097AF9"/>
    <w:rsid w:val="00097D85"/>
    <w:rsid w:val="000A0036"/>
    <w:rsid w:val="000A0038"/>
    <w:rsid w:val="000A0076"/>
    <w:rsid w:val="000A0094"/>
    <w:rsid w:val="000A01CA"/>
    <w:rsid w:val="000A02ED"/>
    <w:rsid w:val="000A04D7"/>
    <w:rsid w:val="000A0705"/>
    <w:rsid w:val="000A092A"/>
    <w:rsid w:val="000A0A69"/>
    <w:rsid w:val="000A0CF9"/>
    <w:rsid w:val="000A0EED"/>
    <w:rsid w:val="000A10E7"/>
    <w:rsid w:val="000A112B"/>
    <w:rsid w:val="000A12A7"/>
    <w:rsid w:val="000A16DD"/>
    <w:rsid w:val="000A18F6"/>
    <w:rsid w:val="000A1A72"/>
    <w:rsid w:val="000A1CA2"/>
    <w:rsid w:val="000A1E72"/>
    <w:rsid w:val="000A1F24"/>
    <w:rsid w:val="000A20BD"/>
    <w:rsid w:val="000A2154"/>
    <w:rsid w:val="000A2F3D"/>
    <w:rsid w:val="000A3437"/>
    <w:rsid w:val="000A3487"/>
    <w:rsid w:val="000A3661"/>
    <w:rsid w:val="000A39C9"/>
    <w:rsid w:val="000A3C33"/>
    <w:rsid w:val="000A3CDC"/>
    <w:rsid w:val="000A3E3E"/>
    <w:rsid w:val="000A3E9B"/>
    <w:rsid w:val="000A4004"/>
    <w:rsid w:val="000A41E5"/>
    <w:rsid w:val="000A4663"/>
    <w:rsid w:val="000A497E"/>
    <w:rsid w:val="000A49C1"/>
    <w:rsid w:val="000A49D4"/>
    <w:rsid w:val="000A4C28"/>
    <w:rsid w:val="000A4D1B"/>
    <w:rsid w:val="000A4EC4"/>
    <w:rsid w:val="000A52F8"/>
    <w:rsid w:val="000A5736"/>
    <w:rsid w:val="000A5D0E"/>
    <w:rsid w:val="000A652E"/>
    <w:rsid w:val="000A66CE"/>
    <w:rsid w:val="000A6BE4"/>
    <w:rsid w:val="000A6C8B"/>
    <w:rsid w:val="000A6F81"/>
    <w:rsid w:val="000A6FA4"/>
    <w:rsid w:val="000A7376"/>
    <w:rsid w:val="000A7760"/>
    <w:rsid w:val="000A7896"/>
    <w:rsid w:val="000A7BC8"/>
    <w:rsid w:val="000A7F07"/>
    <w:rsid w:val="000A7F0C"/>
    <w:rsid w:val="000B0548"/>
    <w:rsid w:val="000B05F6"/>
    <w:rsid w:val="000B0947"/>
    <w:rsid w:val="000B1284"/>
    <w:rsid w:val="000B13DF"/>
    <w:rsid w:val="000B1499"/>
    <w:rsid w:val="000B1611"/>
    <w:rsid w:val="000B1735"/>
    <w:rsid w:val="000B174C"/>
    <w:rsid w:val="000B1787"/>
    <w:rsid w:val="000B1B71"/>
    <w:rsid w:val="000B1C18"/>
    <w:rsid w:val="000B1C81"/>
    <w:rsid w:val="000B1F3B"/>
    <w:rsid w:val="000B2598"/>
    <w:rsid w:val="000B2C45"/>
    <w:rsid w:val="000B2D08"/>
    <w:rsid w:val="000B2EA7"/>
    <w:rsid w:val="000B2EE2"/>
    <w:rsid w:val="000B31D3"/>
    <w:rsid w:val="000B38B2"/>
    <w:rsid w:val="000B38B4"/>
    <w:rsid w:val="000B3D85"/>
    <w:rsid w:val="000B3F46"/>
    <w:rsid w:val="000B4251"/>
    <w:rsid w:val="000B474F"/>
    <w:rsid w:val="000B4B04"/>
    <w:rsid w:val="000B537B"/>
    <w:rsid w:val="000B5BD0"/>
    <w:rsid w:val="000B630A"/>
    <w:rsid w:val="000B6370"/>
    <w:rsid w:val="000B667A"/>
    <w:rsid w:val="000B6680"/>
    <w:rsid w:val="000B69B8"/>
    <w:rsid w:val="000B6C7D"/>
    <w:rsid w:val="000B6F27"/>
    <w:rsid w:val="000B7483"/>
    <w:rsid w:val="000B78EF"/>
    <w:rsid w:val="000B7BD4"/>
    <w:rsid w:val="000C01CF"/>
    <w:rsid w:val="000C0C5A"/>
    <w:rsid w:val="000C112F"/>
    <w:rsid w:val="000C1737"/>
    <w:rsid w:val="000C177A"/>
    <w:rsid w:val="000C17A3"/>
    <w:rsid w:val="000C1A77"/>
    <w:rsid w:val="000C1D2B"/>
    <w:rsid w:val="000C1F5C"/>
    <w:rsid w:val="000C201D"/>
    <w:rsid w:val="000C23E8"/>
    <w:rsid w:val="000C2442"/>
    <w:rsid w:val="000C26D3"/>
    <w:rsid w:val="000C29FA"/>
    <w:rsid w:val="000C2A9D"/>
    <w:rsid w:val="000C3167"/>
    <w:rsid w:val="000C3501"/>
    <w:rsid w:val="000C35A0"/>
    <w:rsid w:val="000C3853"/>
    <w:rsid w:val="000C3A2B"/>
    <w:rsid w:val="000C3CFE"/>
    <w:rsid w:val="000C3E33"/>
    <w:rsid w:val="000C3FE0"/>
    <w:rsid w:val="000C4E38"/>
    <w:rsid w:val="000C5049"/>
    <w:rsid w:val="000C52F5"/>
    <w:rsid w:val="000C53F3"/>
    <w:rsid w:val="000C549E"/>
    <w:rsid w:val="000C597A"/>
    <w:rsid w:val="000C5F63"/>
    <w:rsid w:val="000C6064"/>
    <w:rsid w:val="000C64E1"/>
    <w:rsid w:val="000C6E38"/>
    <w:rsid w:val="000C6ED6"/>
    <w:rsid w:val="000C7220"/>
    <w:rsid w:val="000C73F5"/>
    <w:rsid w:val="000C782E"/>
    <w:rsid w:val="000C7B0C"/>
    <w:rsid w:val="000C7CF9"/>
    <w:rsid w:val="000C7EA2"/>
    <w:rsid w:val="000D05FA"/>
    <w:rsid w:val="000D0809"/>
    <w:rsid w:val="000D08B3"/>
    <w:rsid w:val="000D097A"/>
    <w:rsid w:val="000D0A53"/>
    <w:rsid w:val="000D0B18"/>
    <w:rsid w:val="000D0BEB"/>
    <w:rsid w:val="000D11FE"/>
    <w:rsid w:val="000D1730"/>
    <w:rsid w:val="000D18F9"/>
    <w:rsid w:val="000D1A97"/>
    <w:rsid w:val="000D1C56"/>
    <w:rsid w:val="000D2195"/>
    <w:rsid w:val="000D21CD"/>
    <w:rsid w:val="000D2204"/>
    <w:rsid w:val="000D24BA"/>
    <w:rsid w:val="000D24D4"/>
    <w:rsid w:val="000D267B"/>
    <w:rsid w:val="000D27BE"/>
    <w:rsid w:val="000D28B4"/>
    <w:rsid w:val="000D2913"/>
    <w:rsid w:val="000D29D2"/>
    <w:rsid w:val="000D2B6F"/>
    <w:rsid w:val="000D2C3F"/>
    <w:rsid w:val="000D2F97"/>
    <w:rsid w:val="000D3474"/>
    <w:rsid w:val="000D36FB"/>
    <w:rsid w:val="000D37C2"/>
    <w:rsid w:val="000D38E6"/>
    <w:rsid w:val="000D38FE"/>
    <w:rsid w:val="000D39B3"/>
    <w:rsid w:val="000D3F56"/>
    <w:rsid w:val="000D4103"/>
    <w:rsid w:val="000D4386"/>
    <w:rsid w:val="000D4724"/>
    <w:rsid w:val="000D49A6"/>
    <w:rsid w:val="000D49F9"/>
    <w:rsid w:val="000D4A27"/>
    <w:rsid w:val="000D4BFA"/>
    <w:rsid w:val="000D4C23"/>
    <w:rsid w:val="000D4D2D"/>
    <w:rsid w:val="000D504E"/>
    <w:rsid w:val="000D522C"/>
    <w:rsid w:val="000D525A"/>
    <w:rsid w:val="000D5592"/>
    <w:rsid w:val="000D5623"/>
    <w:rsid w:val="000D563E"/>
    <w:rsid w:val="000D571E"/>
    <w:rsid w:val="000D58FD"/>
    <w:rsid w:val="000D5938"/>
    <w:rsid w:val="000D5A77"/>
    <w:rsid w:val="000D5D86"/>
    <w:rsid w:val="000D62A0"/>
    <w:rsid w:val="000D65A6"/>
    <w:rsid w:val="000D6D43"/>
    <w:rsid w:val="000D6DCF"/>
    <w:rsid w:val="000D6F16"/>
    <w:rsid w:val="000D6FD4"/>
    <w:rsid w:val="000D74D3"/>
    <w:rsid w:val="000D7B4C"/>
    <w:rsid w:val="000D7F1F"/>
    <w:rsid w:val="000E0660"/>
    <w:rsid w:val="000E0918"/>
    <w:rsid w:val="000E0DC3"/>
    <w:rsid w:val="000E100D"/>
    <w:rsid w:val="000E1CF2"/>
    <w:rsid w:val="000E2355"/>
    <w:rsid w:val="000E2715"/>
    <w:rsid w:val="000E2B25"/>
    <w:rsid w:val="000E2FF1"/>
    <w:rsid w:val="000E3028"/>
    <w:rsid w:val="000E31A5"/>
    <w:rsid w:val="000E32C4"/>
    <w:rsid w:val="000E3D66"/>
    <w:rsid w:val="000E41BB"/>
    <w:rsid w:val="000E41D9"/>
    <w:rsid w:val="000E45B7"/>
    <w:rsid w:val="000E5520"/>
    <w:rsid w:val="000E55AC"/>
    <w:rsid w:val="000E55D4"/>
    <w:rsid w:val="000E5D8A"/>
    <w:rsid w:val="000E5F9D"/>
    <w:rsid w:val="000E6459"/>
    <w:rsid w:val="000E65C2"/>
    <w:rsid w:val="000E678D"/>
    <w:rsid w:val="000E6850"/>
    <w:rsid w:val="000E7A21"/>
    <w:rsid w:val="000E7F8A"/>
    <w:rsid w:val="000F0002"/>
    <w:rsid w:val="000F0EDA"/>
    <w:rsid w:val="000F184F"/>
    <w:rsid w:val="000F1AD5"/>
    <w:rsid w:val="000F1B64"/>
    <w:rsid w:val="000F1D06"/>
    <w:rsid w:val="000F1D7A"/>
    <w:rsid w:val="000F25E7"/>
    <w:rsid w:val="000F2922"/>
    <w:rsid w:val="000F2C34"/>
    <w:rsid w:val="000F3313"/>
    <w:rsid w:val="000F36BA"/>
    <w:rsid w:val="000F37E4"/>
    <w:rsid w:val="000F3AD3"/>
    <w:rsid w:val="000F4167"/>
    <w:rsid w:val="000F426B"/>
    <w:rsid w:val="000F4514"/>
    <w:rsid w:val="000F4636"/>
    <w:rsid w:val="000F4843"/>
    <w:rsid w:val="000F4E22"/>
    <w:rsid w:val="000F550F"/>
    <w:rsid w:val="000F57A9"/>
    <w:rsid w:val="000F5C2C"/>
    <w:rsid w:val="000F5D10"/>
    <w:rsid w:val="000F5E91"/>
    <w:rsid w:val="000F650B"/>
    <w:rsid w:val="000F6717"/>
    <w:rsid w:val="000F68AF"/>
    <w:rsid w:val="000F69EE"/>
    <w:rsid w:val="000F7077"/>
    <w:rsid w:val="000F7647"/>
    <w:rsid w:val="000F7A9C"/>
    <w:rsid w:val="000F7AAE"/>
    <w:rsid w:val="000F7ACF"/>
    <w:rsid w:val="000F7F19"/>
    <w:rsid w:val="00100220"/>
    <w:rsid w:val="001002A6"/>
    <w:rsid w:val="0010057E"/>
    <w:rsid w:val="0010071A"/>
    <w:rsid w:val="001008DF"/>
    <w:rsid w:val="00100FA7"/>
    <w:rsid w:val="00101241"/>
    <w:rsid w:val="001014F5"/>
    <w:rsid w:val="00101509"/>
    <w:rsid w:val="001019E4"/>
    <w:rsid w:val="00101BE6"/>
    <w:rsid w:val="0010210D"/>
    <w:rsid w:val="00102613"/>
    <w:rsid w:val="0010286A"/>
    <w:rsid w:val="001029BB"/>
    <w:rsid w:val="00102CAA"/>
    <w:rsid w:val="00102E27"/>
    <w:rsid w:val="00102E5D"/>
    <w:rsid w:val="00103060"/>
    <w:rsid w:val="0010333F"/>
    <w:rsid w:val="00103766"/>
    <w:rsid w:val="00103ABB"/>
    <w:rsid w:val="00104151"/>
    <w:rsid w:val="0010430A"/>
    <w:rsid w:val="001043B6"/>
    <w:rsid w:val="00104459"/>
    <w:rsid w:val="00104A3C"/>
    <w:rsid w:val="00104DE5"/>
    <w:rsid w:val="001058DB"/>
    <w:rsid w:val="00105B33"/>
    <w:rsid w:val="00105D62"/>
    <w:rsid w:val="00105D84"/>
    <w:rsid w:val="00105DEA"/>
    <w:rsid w:val="00106079"/>
    <w:rsid w:val="0010657E"/>
    <w:rsid w:val="001068B8"/>
    <w:rsid w:val="00106A9B"/>
    <w:rsid w:val="00106BBB"/>
    <w:rsid w:val="00106BFB"/>
    <w:rsid w:val="00106D3E"/>
    <w:rsid w:val="00106F37"/>
    <w:rsid w:val="001077E7"/>
    <w:rsid w:val="001078CE"/>
    <w:rsid w:val="00107CCF"/>
    <w:rsid w:val="0011034E"/>
    <w:rsid w:val="001105B9"/>
    <w:rsid w:val="00110690"/>
    <w:rsid w:val="001109AD"/>
    <w:rsid w:val="00110B06"/>
    <w:rsid w:val="0011122B"/>
    <w:rsid w:val="00111674"/>
    <w:rsid w:val="00111951"/>
    <w:rsid w:val="00111AB9"/>
    <w:rsid w:val="00111C2D"/>
    <w:rsid w:val="00111CD2"/>
    <w:rsid w:val="00111FA4"/>
    <w:rsid w:val="00112069"/>
    <w:rsid w:val="001125E9"/>
    <w:rsid w:val="001125F6"/>
    <w:rsid w:val="0011320F"/>
    <w:rsid w:val="0011324D"/>
    <w:rsid w:val="001139B4"/>
    <w:rsid w:val="001139E5"/>
    <w:rsid w:val="00113FE3"/>
    <w:rsid w:val="00114197"/>
    <w:rsid w:val="001141A5"/>
    <w:rsid w:val="00115671"/>
    <w:rsid w:val="00115C89"/>
    <w:rsid w:val="00115F6E"/>
    <w:rsid w:val="0011650E"/>
    <w:rsid w:val="001167B7"/>
    <w:rsid w:val="001167F8"/>
    <w:rsid w:val="00116A43"/>
    <w:rsid w:val="00116AB3"/>
    <w:rsid w:val="00116F4D"/>
    <w:rsid w:val="00117180"/>
    <w:rsid w:val="00117282"/>
    <w:rsid w:val="001174E3"/>
    <w:rsid w:val="00117811"/>
    <w:rsid w:val="00120379"/>
    <w:rsid w:val="00120665"/>
    <w:rsid w:val="00120726"/>
    <w:rsid w:val="001207E9"/>
    <w:rsid w:val="00120C06"/>
    <w:rsid w:val="001219AE"/>
    <w:rsid w:val="00121A12"/>
    <w:rsid w:val="00121F50"/>
    <w:rsid w:val="001222BD"/>
    <w:rsid w:val="00122492"/>
    <w:rsid w:val="001224A5"/>
    <w:rsid w:val="00122578"/>
    <w:rsid w:val="00122A3C"/>
    <w:rsid w:val="00122BCF"/>
    <w:rsid w:val="00122FC9"/>
    <w:rsid w:val="0012326D"/>
    <w:rsid w:val="00123500"/>
    <w:rsid w:val="00123755"/>
    <w:rsid w:val="00123918"/>
    <w:rsid w:val="00123B2F"/>
    <w:rsid w:val="00123D82"/>
    <w:rsid w:val="00123E43"/>
    <w:rsid w:val="00123E56"/>
    <w:rsid w:val="0012458B"/>
    <w:rsid w:val="0012488A"/>
    <w:rsid w:val="00124E20"/>
    <w:rsid w:val="00124E9F"/>
    <w:rsid w:val="001252AA"/>
    <w:rsid w:val="001252EE"/>
    <w:rsid w:val="00125772"/>
    <w:rsid w:val="00125B4F"/>
    <w:rsid w:val="00125BB8"/>
    <w:rsid w:val="00125C69"/>
    <w:rsid w:val="00125DBD"/>
    <w:rsid w:val="0012630E"/>
    <w:rsid w:val="0012677A"/>
    <w:rsid w:val="001269F9"/>
    <w:rsid w:val="0012703B"/>
    <w:rsid w:val="00127235"/>
    <w:rsid w:val="001279D6"/>
    <w:rsid w:val="00127AA6"/>
    <w:rsid w:val="001302D0"/>
    <w:rsid w:val="00130528"/>
    <w:rsid w:val="001306A4"/>
    <w:rsid w:val="00130CB6"/>
    <w:rsid w:val="00131013"/>
    <w:rsid w:val="001310ED"/>
    <w:rsid w:val="001310F7"/>
    <w:rsid w:val="0013151A"/>
    <w:rsid w:val="0013179E"/>
    <w:rsid w:val="001318A9"/>
    <w:rsid w:val="00131BA0"/>
    <w:rsid w:val="001320D2"/>
    <w:rsid w:val="00132281"/>
    <w:rsid w:val="00132420"/>
    <w:rsid w:val="00132450"/>
    <w:rsid w:val="001326EC"/>
    <w:rsid w:val="001328DB"/>
    <w:rsid w:val="00132F55"/>
    <w:rsid w:val="0013337F"/>
    <w:rsid w:val="00133B4D"/>
    <w:rsid w:val="00133B77"/>
    <w:rsid w:val="00133DD3"/>
    <w:rsid w:val="00134439"/>
    <w:rsid w:val="0013448C"/>
    <w:rsid w:val="00134B07"/>
    <w:rsid w:val="00134C98"/>
    <w:rsid w:val="00134CB0"/>
    <w:rsid w:val="00134D69"/>
    <w:rsid w:val="00135328"/>
    <w:rsid w:val="001369E6"/>
    <w:rsid w:val="00136AED"/>
    <w:rsid w:val="00136C57"/>
    <w:rsid w:val="001374AE"/>
    <w:rsid w:val="00137624"/>
    <w:rsid w:val="00137768"/>
    <w:rsid w:val="00137B2F"/>
    <w:rsid w:val="00137BD5"/>
    <w:rsid w:val="00137BD9"/>
    <w:rsid w:val="00137C62"/>
    <w:rsid w:val="00140367"/>
    <w:rsid w:val="001408FD"/>
    <w:rsid w:val="00140E43"/>
    <w:rsid w:val="0014117F"/>
    <w:rsid w:val="00141662"/>
    <w:rsid w:val="00141A1D"/>
    <w:rsid w:val="00141AFE"/>
    <w:rsid w:val="00141C22"/>
    <w:rsid w:val="00141C71"/>
    <w:rsid w:val="00141C93"/>
    <w:rsid w:val="00141FF2"/>
    <w:rsid w:val="0014218B"/>
    <w:rsid w:val="00142354"/>
    <w:rsid w:val="0014267C"/>
    <w:rsid w:val="00142912"/>
    <w:rsid w:val="00142C05"/>
    <w:rsid w:val="00143032"/>
    <w:rsid w:val="001431B8"/>
    <w:rsid w:val="00143225"/>
    <w:rsid w:val="00143397"/>
    <w:rsid w:val="00143B9A"/>
    <w:rsid w:val="00143D28"/>
    <w:rsid w:val="0014423A"/>
    <w:rsid w:val="0014438F"/>
    <w:rsid w:val="001443A9"/>
    <w:rsid w:val="001444C0"/>
    <w:rsid w:val="001449BD"/>
    <w:rsid w:val="00145084"/>
    <w:rsid w:val="001451FC"/>
    <w:rsid w:val="00145268"/>
    <w:rsid w:val="00145279"/>
    <w:rsid w:val="00145454"/>
    <w:rsid w:val="001456A5"/>
    <w:rsid w:val="00145CE9"/>
    <w:rsid w:val="001460A9"/>
    <w:rsid w:val="001462D1"/>
    <w:rsid w:val="001466FB"/>
    <w:rsid w:val="00146B93"/>
    <w:rsid w:val="001472B0"/>
    <w:rsid w:val="001473DE"/>
    <w:rsid w:val="00147948"/>
    <w:rsid w:val="00147C34"/>
    <w:rsid w:val="00147DD6"/>
    <w:rsid w:val="00150060"/>
    <w:rsid w:val="001502FA"/>
    <w:rsid w:val="0015091D"/>
    <w:rsid w:val="00150EC7"/>
    <w:rsid w:val="00151444"/>
    <w:rsid w:val="00151801"/>
    <w:rsid w:val="00151A59"/>
    <w:rsid w:val="00151DE9"/>
    <w:rsid w:val="00151E92"/>
    <w:rsid w:val="00151FD1"/>
    <w:rsid w:val="00152553"/>
    <w:rsid w:val="001528C0"/>
    <w:rsid w:val="00152A3B"/>
    <w:rsid w:val="0015344B"/>
    <w:rsid w:val="0015380A"/>
    <w:rsid w:val="00153C03"/>
    <w:rsid w:val="00153CBB"/>
    <w:rsid w:val="00153F9D"/>
    <w:rsid w:val="00153FEB"/>
    <w:rsid w:val="0015415B"/>
    <w:rsid w:val="00154846"/>
    <w:rsid w:val="0015493F"/>
    <w:rsid w:val="00154B92"/>
    <w:rsid w:val="00154D17"/>
    <w:rsid w:val="0015596B"/>
    <w:rsid w:val="00155BAC"/>
    <w:rsid w:val="00156011"/>
    <w:rsid w:val="0015685F"/>
    <w:rsid w:val="00156FF3"/>
    <w:rsid w:val="00156FF7"/>
    <w:rsid w:val="00157007"/>
    <w:rsid w:val="0015713D"/>
    <w:rsid w:val="001572D9"/>
    <w:rsid w:val="00157402"/>
    <w:rsid w:val="00157471"/>
    <w:rsid w:val="001575AF"/>
    <w:rsid w:val="00157AA1"/>
    <w:rsid w:val="00157B32"/>
    <w:rsid w:val="00157D73"/>
    <w:rsid w:val="0016068D"/>
    <w:rsid w:val="0016084E"/>
    <w:rsid w:val="00160CC9"/>
    <w:rsid w:val="00160DC0"/>
    <w:rsid w:val="00160DC3"/>
    <w:rsid w:val="00160EA8"/>
    <w:rsid w:val="00161343"/>
    <w:rsid w:val="00161B67"/>
    <w:rsid w:val="00161FAD"/>
    <w:rsid w:val="00162114"/>
    <w:rsid w:val="001622B2"/>
    <w:rsid w:val="001625ED"/>
    <w:rsid w:val="001626A1"/>
    <w:rsid w:val="00162D6A"/>
    <w:rsid w:val="00162FD0"/>
    <w:rsid w:val="00163123"/>
    <w:rsid w:val="00163435"/>
    <w:rsid w:val="00163994"/>
    <w:rsid w:val="00163B6C"/>
    <w:rsid w:val="00164127"/>
    <w:rsid w:val="0016506F"/>
    <w:rsid w:val="00165242"/>
    <w:rsid w:val="00165288"/>
    <w:rsid w:val="0016529F"/>
    <w:rsid w:val="001652E8"/>
    <w:rsid w:val="001655DA"/>
    <w:rsid w:val="00165752"/>
    <w:rsid w:val="00165B4E"/>
    <w:rsid w:val="001660B3"/>
    <w:rsid w:val="0016616E"/>
    <w:rsid w:val="001664C8"/>
    <w:rsid w:val="0016695D"/>
    <w:rsid w:val="00166C95"/>
    <w:rsid w:val="00167467"/>
    <w:rsid w:val="00167840"/>
    <w:rsid w:val="00170084"/>
    <w:rsid w:val="001709E1"/>
    <w:rsid w:val="00170F05"/>
    <w:rsid w:val="0017179E"/>
    <w:rsid w:val="00171834"/>
    <w:rsid w:val="00171C31"/>
    <w:rsid w:val="00172277"/>
    <w:rsid w:val="0017242E"/>
    <w:rsid w:val="0017268A"/>
    <w:rsid w:val="001727B2"/>
    <w:rsid w:val="001727C4"/>
    <w:rsid w:val="00172A03"/>
    <w:rsid w:val="00172A27"/>
    <w:rsid w:val="00172D9A"/>
    <w:rsid w:val="0017331D"/>
    <w:rsid w:val="001735AF"/>
    <w:rsid w:val="0017388C"/>
    <w:rsid w:val="00173927"/>
    <w:rsid w:val="00173A80"/>
    <w:rsid w:val="00173E72"/>
    <w:rsid w:val="00173F8F"/>
    <w:rsid w:val="00174059"/>
    <w:rsid w:val="001740C2"/>
    <w:rsid w:val="001743D5"/>
    <w:rsid w:val="0017462F"/>
    <w:rsid w:val="001749FD"/>
    <w:rsid w:val="00174E17"/>
    <w:rsid w:val="0017551B"/>
    <w:rsid w:val="00175A53"/>
    <w:rsid w:val="00175D1A"/>
    <w:rsid w:val="00176472"/>
    <w:rsid w:val="00176819"/>
    <w:rsid w:val="00176CA7"/>
    <w:rsid w:val="00176D40"/>
    <w:rsid w:val="001770AC"/>
    <w:rsid w:val="0017729F"/>
    <w:rsid w:val="0017780F"/>
    <w:rsid w:val="0017796E"/>
    <w:rsid w:val="001779D7"/>
    <w:rsid w:val="00177B4D"/>
    <w:rsid w:val="00177D76"/>
    <w:rsid w:val="00180384"/>
    <w:rsid w:val="0018049D"/>
    <w:rsid w:val="00180524"/>
    <w:rsid w:val="00180634"/>
    <w:rsid w:val="00180709"/>
    <w:rsid w:val="00180733"/>
    <w:rsid w:val="00180AAE"/>
    <w:rsid w:val="00180EEB"/>
    <w:rsid w:val="00180F09"/>
    <w:rsid w:val="00181433"/>
    <w:rsid w:val="001814E2"/>
    <w:rsid w:val="0018171F"/>
    <w:rsid w:val="00181F5D"/>
    <w:rsid w:val="001820F2"/>
    <w:rsid w:val="00182251"/>
    <w:rsid w:val="001823E8"/>
    <w:rsid w:val="00182724"/>
    <w:rsid w:val="0018287C"/>
    <w:rsid w:val="00182BE6"/>
    <w:rsid w:val="00182C23"/>
    <w:rsid w:val="001832FB"/>
    <w:rsid w:val="001838CA"/>
    <w:rsid w:val="00183972"/>
    <w:rsid w:val="00183B51"/>
    <w:rsid w:val="001840AD"/>
    <w:rsid w:val="00184250"/>
    <w:rsid w:val="001845E7"/>
    <w:rsid w:val="0018468E"/>
    <w:rsid w:val="00184713"/>
    <w:rsid w:val="00185023"/>
    <w:rsid w:val="001857B6"/>
    <w:rsid w:val="00186581"/>
    <w:rsid w:val="0018680E"/>
    <w:rsid w:val="001869C7"/>
    <w:rsid w:val="00186C45"/>
    <w:rsid w:val="00186D76"/>
    <w:rsid w:val="00186E07"/>
    <w:rsid w:val="0018728D"/>
    <w:rsid w:val="00187338"/>
    <w:rsid w:val="0018754D"/>
    <w:rsid w:val="00187E63"/>
    <w:rsid w:val="00187E86"/>
    <w:rsid w:val="00190815"/>
    <w:rsid w:val="0019084E"/>
    <w:rsid w:val="00190DA9"/>
    <w:rsid w:val="00191137"/>
    <w:rsid w:val="0019165A"/>
    <w:rsid w:val="00191934"/>
    <w:rsid w:val="00191F94"/>
    <w:rsid w:val="001921A6"/>
    <w:rsid w:val="001922FD"/>
    <w:rsid w:val="001926AC"/>
    <w:rsid w:val="001926BD"/>
    <w:rsid w:val="00192783"/>
    <w:rsid w:val="00192830"/>
    <w:rsid w:val="00193242"/>
    <w:rsid w:val="001933E5"/>
    <w:rsid w:val="0019346D"/>
    <w:rsid w:val="00193CFF"/>
    <w:rsid w:val="00194185"/>
    <w:rsid w:val="00194301"/>
    <w:rsid w:val="00194776"/>
    <w:rsid w:val="00194A41"/>
    <w:rsid w:val="00195160"/>
    <w:rsid w:val="00196199"/>
    <w:rsid w:val="00196AB6"/>
    <w:rsid w:val="00196D76"/>
    <w:rsid w:val="001972D8"/>
    <w:rsid w:val="0019746E"/>
    <w:rsid w:val="0019780C"/>
    <w:rsid w:val="00197D48"/>
    <w:rsid w:val="00197DE8"/>
    <w:rsid w:val="001A0344"/>
    <w:rsid w:val="001A0345"/>
    <w:rsid w:val="001A0379"/>
    <w:rsid w:val="001A03FE"/>
    <w:rsid w:val="001A0549"/>
    <w:rsid w:val="001A07EA"/>
    <w:rsid w:val="001A0829"/>
    <w:rsid w:val="001A0854"/>
    <w:rsid w:val="001A12AA"/>
    <w:rsid w:val="001A130E"/>
    <w:rsid w:val="001A13AF"/>
    <w:rsid w:val="001A13DF"/>
    <w:rsid w:val="001A16B8"/>
    <w:rsid w:val="001A194C"/>
    <w:rsid w:val="001A1B30"/>
    <w:rsid w:val="001A2006"/>
    <w:rsid w:val="001A25FA"/>
    <w:rsid w:val="001A267A"/>
    <w:rsid w:val="001A2A2C"/>
    <w:rsid w:val="001A2BCD"/>
    <w:rsid w:val="001A2D5D"/>
    <w:rsid w:val="001A2E36"/>
    <w:rsid w:val="001A30C5"/>
    <w:rsid w:val="001A34D0"/>
    <w:rsid w:val="001A3617"/>
    <w:rsid w:val="001A361D"/>
    <w:rsid w:val="001A3BE9"/>
    <w:rsid w:val="001A4092"/>
    <w:rsid w:val="001A41E5"/>
    <w:rsid w:val="001A420C"/>
    <w:rsid w:val="001A454E"/>
    <w:rsid w:val="001A497F"/>
    <w:rsid w:val="001A5042"/>
    <w:rsid w:val="001A52A5"/>
    <w:rsid w:val="001A537A"/>
    <w:rsid w:val="001A544D"/>
    <w:rsid w:val="001A549D"/>
    <w:rsid w:val="001A54B5"/>
    <w:rsid w:val="001A5648"/>
    <w:rsid w:val="001A57F9"/>
    <w:rsid w:val="001A58A4"/>
    <w:rsid w:val="001A5EFE"/>
    <w:rsid w:val="001A637F"/>
    <w:rsid w:val="001A68A5"/>
    <w:rsid w:val="001A6C1C"/>
    <w:rsid w:val="001A6E33"/>
    <w:rsid w:val="001A741C"/>
    <w:rsid w:val="001A748E"/>
    <w:rsid w:val="001A7CA4"/>
    <w:rsid w:val="001A7F0D"/>
    <w:rsid w:val="001A7F1B"/>
    <w:rsid w:val="001B0671"/>
    <w:rsid w:val="001B06A3"/>
    <w:rsid w:val="001B0AB7"/>
    <w:rsid w:val="001B0CCF"/>
    <w:rsid w:val="001B0F91"/>
    <w:rsid w:val="001B1CF2"/>
    <w:rsid w:val="001B1E06"/>
    <w:rsid w:val="001B2024"/>
    <w:rsid w:val="001B218E"/>
    <w:rsid w:val="001B25FD"/>
    <w:rsid w:val="001B27B0"/>
    <w:rsid w:val="001B2D59"/>
    <w:rsid w:val="001B2DAC"/>
    <w:rsid w:val="001B36BC"/>
    <w:rsid w:val="001B3795"/>
    <w:rsid w:val="001B3A35"/>
    <w:rsid w:val="001B3AA1"/>
    <w:rsid w:val="001B3BDD"/>
    <w:rsid w:val="001B405F"/>
    <w:rsid w:val="001B40EB"/>
    <w:rsid w:val="001B412D"/>
    <w:rsid w:val="001B432E"/>
    <w:rsid w:val="001B4531"/>
    <w:rsid w:val="001B4686"/>
    <w:rsid w:val="001B46D2"/>
    <w:rsid w:val="001B4853"/>
    <w:rsid w:val="001B4A2D"/>
    <w:rsid w:val="001B4AB7"/>
    <w:rsid w:val="001B5036"/>
    <w:rsid w:val="001B5243"/>
    <w:rsid w:val="001B5F31"/>
    <w:rsid w:val="001B6098"/>
    <w:rsid w:val="001B6A0E"/>
    <w:rsid w:val="001B6BA5"/>
    <w:rsid w:val="001B6C43"/>
    <w:rsid w:val="001B6F0B"/>
    <w:rsid w:val="001B733C"/>
    <w:rsid w:val="001B75EC"/>
    <w:rsid w:val="001B77CD"/>
    <w:rsid w:val="001B7985"/>
    <w:rsid w:val="001B79BA"/>
    <w:rsid w:val="001C0765"/>
    <w:rsid w:val="001C0E75"/>
    <w:rsid w:val="001C1233"/>
    <w:rsid w:val="001C12A4"/>
    <w:rsid w:val="001C12F9"/>
    <w:rsid w:val="001C22AB"/>
    <w:rsid w:val="001C2597"/>
    <w:rsid w:val="001C28D8"/>
    <w:rsid w:val="001C3423"/>
    <w:rsid w:val="001C352E"/>
    <w:rsid w:val="001C3DB3"/>
    <w:rsid w:val="001C40CF"/>
    <w:rsid w:val="001C418E"/>
    <w:rsid w:val="001C41E7"/>
    <w:rsid w:val="001C5239"/>
    <w:rsid w:val="001C56C1"/>
    <w:rsid w:val="001C5832"/>
    <w:rsid w:val="001C58DA"/>
    <w:rsid w:val="001C5B00"/>
    <w:rsid w:val="001C5B47"/>
    <w:rsid w:val="001C601C"/>
    <w:rsid w:val="001C6099"/>
    <w:rsid w:val="001C6752"/>
    <w:rsid w:val="001C6B50"/>
    <w:rsid w:val="001C6DBC"/>
    <w:rsid w:val="001C6FE6"/>
    <w:rsid w:val="001C753F"/>
    <w:rsid w:val="001C75DB"/>
    <w:rsid w:val="001C7989"/>
    <w:rsid w:val="001C7DF2"/>
    <w:rsid w:val="001C7F0B"/>
    <w:rsid w:val="001D0203"/>
    <w:rsid w:val="001D0961"/>
    <w:rsid w:val="001D0C95"/>
    <w:rsid w:val="001D1530"/>
    <w:rsid w:val="001D1A62"/>
    <w:rsid w:val="001D1AB0"/>
    <w:rsid w:val="001D1DCB"/>
    <w:rsid w:val="001D28A1"/>
    <w:rsid w:val="001D2BDA"/>
    <w:rsid w:val="001D2C85"/>
    <w:rsid w:val="001D2D75"/>
    <w:rsid w:val="001D2DE1"/>
    <w:rsid w:val="001D3383"/>
    <w:rsid w:val="001D383D"/>
    <w:rsid w:val="001D3C63"/>
    <w:rsid w:val="001D3D1B"/>
    <w:rsid w:val="001D4067"/>
    <w:rsid w:val="001D44B9"/>
    <w:rsid w:val="001D4773"/>
    <w:rsid w:val="001D4B42"/>
    <w:rsid w:val="001D4D34"/>
    <w:rsid w:val="001D4DB4"/>
    <w:rsid w:val="001D5250"/>
    <w:rsid w:val="001D57A4"/>
    <w:rsid w:val="001D5A27"/>
    <w:rsid w:val="001D5B62"/>
    <w:rsid w:val="001D60DA"/>
    <w:rsid w:val="001D61BD"/>
    <w:rsid w:val="001D623D"/>
    <w:rsid w:val="001D6375"/>
    <w:rsid w:val="001D65F3"/>
    <w:rsid w:val="001D7151"/>
    <w:rsid w:val="001D772A"/>
    <w:rsid w:val="001E016D"/>
    <w:rsid w:val="001E165B"/>
    <w:rsid w:val="001E174A"/>
    <w:rsid w:val="001E18CC"/>
    <w:rsid w:val="001E19C3"/>
    <w:rsid w:val="001E1B16"/>
    <w:rsid w:val="001E204A"/>
    <w:rsid w:val="001E25B6"/>
    <w:rsid w:val="001E2775"/>
    <w:rsid w:val="001E2A31"/>
    <w:rsid w:val="001E2A5D"/>
    <w:rsid w:val="001E2B69"/>
    <w:rsid w:val="001E2C0C"/>
    <w:rsid w:val="001E2EBD"/>
    <w:rsid w:val="001E2ED0"/>
    <w:rsid w:val="001E3231"/>
    <w:rsid w:val="001E33B8"/>
    <w:rsid w:val="001E340A"/>
    <w:rsid w:val="001E3FA6"/>
    <w:rsid w:val="001E3FBF"/>
    <w:rsid w:val="001E42C9"/>
    <w:rsid w:val="001E4ABF"/>
    <w:rsid w:val="001E4D53"/>
    <w:rsid w:val="001E5326"/>
    <w:rsid w:val="001E5328"/>
    <w:rsid w:val="001E532F"/>
    <w:rsid w:val="001E54E1"/>
    <w:rsid w:val="001E5771"/>
    <w:rsid w:val="001E5C69"/>
    <w:rsid w:val="001E5FF5"/>
    <w:rsid w:val="001E63CA"/>
    <w:rsid w:val="001E6AAD"/>
    <w:rsid w:val="001E6DD6"/>
    <w:rsid w:val="001E714A"/>
    <w:rsid w:val="001E7855"/>
    <w:rsid w:val="001E787C"/>
    <w:rsid w:val="001E7919"/>
    <w:rsid w:val="001E79A6"/>
    <w:rsid w:val="001E79DD"/>
    <w:rsid w:val="001E79E4"/>
    <w:rsid w:val="001F0038"/>
    <w:rsid w:val="001F0197"/>
    <w:rsid w:val="001F01E2"/>
    <w:rsid w:val="001F0588"/>
    <w:rsid w:val="001F0943"/>
    <w:rsid w:val="001F096F"/>
    <w:rsid w:val="001F0B94"/>
    <w:rsid w:val="001F1798"/>
    <w:rsid w:val="001F1913"/>
    <w:rsid w:val="001F1991"/>
    <w:rsid w:val="001F19EF"/>
    <w:rsid w:val="001F1A15"/>
    <w:rsid w:val="001F1E41"/>
    <w:rsid w:val="001F1FD2"/>
    <w:rsid w:val="001F2368"/>
    <w:rsid w:val="001F23B3"/>
    <w:rsid w:val="001F2524"/>
    <w:rsid w:val="001F257E"/>
    <w:rsid w:val="001F285F"/>
    <w:rsid w:val="001F2924"/>
    <w:rsid w:val="001F2A8E"/>
    <w:rsid w:val="001F3056"/>
    <w:rsid w:val="001F30DD"/>
    <w:rsid w:val="001F3792"/>
    <w:rsid w:val="001F3888"/>
    <w:rsid w:val="001F38FE"/>
    <w:rsid w:val="001F4051"/>
    <w:rsid w:val="001F4074"/>
    <w:rsid w:val="001F457A"/>
    <w:rsid w:val="001F47D3"/>
    <w:rsid w:val="001F4A2A"/>
    <w:rsid w:val="001F4EBC"/>
    <w:rsid w:val="001F4FE2"/>
    <w:rsid w:val="001F5777"/>
    <w:rsid w:val="001F5833"/>
    <w:rsid w:val="001F5BB3"/>
    <w:rsid w:val="001F6594"/>
    <w:rsid w:val="001F65BD"/>
    <w:rsid w:val="001F668B"/>
    <w:rsid w:val="001F673A"/>
    <w:rsid w:val="001F7497"/>
    <w:rsid w:val="001F7602"/>
    <w:rsid w:val="001F78CB"/>
    <w:rsid w:val="00200044"/>
    <w:rsid w:val="002000D5"/>
    <w:rsid w:val="00200476"/>
    <w:rsid w:val="00200955"/>
    <w:rsid w:val="00200B2E"/>
    <w:rsid w:val="0020142B"/>
    <w:rsid w:val="00201A42"/>
    <w:rsid w:val="002023B4"/>
    <w:rsid w:val="0020241D"/>
    <w:rsid w:val="0020288F"/>
    <w:rsid w:val="00202B33"/>
    <w:rsid w:val="00202B5D"/>
    <w:rsid w:val="00202D2E"/>
    <w:rsid w:val="00202E3B"/>
    <w:rsid w:val="0020352F"/>
    <w:rsid w:val="002035F5"/>
    <w:rsid w:val="00203727"/>
    <w:rsid w:val="00203EF0"/>
    <w:rsid w:val="00204588"/>
    <w:rsid w:val="00204C18"/>
    <w:rsid w:val="0020531E"/>
    <w:rsid w:val="00205530"/>
    <w:rsid w:val="0020571C"/>
    <w:rsid w:val="00205A56"/>
    <w:rsid w:val="00205B1E"/>
    <w:rsid w:val="00205B5B"/>
    <w:rsid w:val="00205C47"/>
    <w:rsid w:val="00205F48"/>
    <w:rsid w:val="00205F9E"/>
    <w:rsid w:val="0020614C"/>
    <w:rsid w:val="0020668D"/>
    <w:rsid w:val="0020685F"/>
    <w:rsid w:val="00206C1F"/>
    <w:rsid w:val="00206D57"/>
    <w:rsid w:val="00206FD2"/>
    <w:rsid w:val="0020737F"/>
    <w:rsid w:val="002077E8"/>
    <w:rsid w:val="00207925"/>
    <w:rsid w:val="002079F2"/>
    <w:rsid w:val="00207BD8"/>
    <w:rsid w:val="002101EE"/>
    <w:rsid w:val="00210274"/>
    <w:rsid w:val="00210408"/>
    <w:rsid w:val="0021047A"/>
    <w:rsid w:val="00210783"/>
    <w:rsid w:val="0021092D"/>
    <w:rsid w:val="00210F56"/>
    <w:rsid w:val="00210FA2"/>
    <w:rsid w:val="0021121E"/>
    <w:rsid w:val="00211260"/>
    <w:rsid w:val="002113B5"/>
    <w:rsid w:val="00211A22"/>
    <w:rsid w:val="00211E6C"/>
    <w:rsid w:val="00211EE3"/>
    <w:rsid w:val="00211EF2"/>
    <w:rsid w:val="002128C4"/>
    <w:rsid w:val="0021292C"/>
    <w:rsid w:val="00212DA1"/>
    <w:rsid w:val="00212F61"/>
    <w:rsid w:val="00212F97"/>
    <w:rsid w:val="002130B8"/>
    <w:rsid w:val="002130DA"/>
    <w:rsid w:val="00213470"/>
    <w:rsid w:val="00213725"/>
    <w:rsid w:val="002137A0"/>
    <w:rsid w:val="00213A6F"/>
    <w:rsid w:val="00213D49"/>
    <w:rsid w:val="00213E3B"/>
    <w:rsid w:val="002141DC"/>
    <w:rsid w:val="002142E4"/>
    <w:rsid w:val="00214436"/>
    <w:rsid w:val="00215187"/>
    <w:rsid w:val="002151C2"/>
    <w:rsid w:val="00215293"/>
    <w:rsid w:val="002152DA"/>
    <w:rsid w:val="0021531F"/>
    <w:rsid w:val="002153AE"/>
    <w:rsid w:val="002155B2"/>
    <w:rsid w:val="00215B58"/>
    <w:rsid w:val="00215FC5"/>
    <w:rsid w:val="0021626E"/>
    <w:rsid w:val="002163C9"/>
    <w:rsid w:val="0021677A"/>
    <w:rsid w:val="00216A50"/>
    <w:rsid w:val="00216AFA"/>
    <w:rsid w:val="00217096"/>
    <w:rsid w:val="00217171"/>
    <w:rsid w:val="00217C12"/>
    <w:rsid w:val="00217F28"/>
    <w:rsid w:val="0022000C"/>
    <w:rsid w:val="002200D3"/>
    <w:rsid w:val="00220279"/>
    <w:rsid w:val="00220438"/>
    <w:rsid w:val="00220B4F"/>
    <w:rsid w:val="00220C36"/>
    <w:rsid w:val="00220DB6"/>
    <w:rsid w:val="0022120F"/>
    <w:rsid w:val="002212EF"/>
    <w:rsid w:val="0022191F"/>
    <w:rsid w:val="00221CA0"/>
    <w:rsid w:val="00221E01"/>
    <w:rsid w:val="00221EB6"/>
    <w:rsid w:val="00222166"/>
    <w:rsid w:val="00222624"/>
    <w:rsid w:val="002228AE"/>
    <w:rsid w:val="002229D0"/>
    <w:rsid w:val="00222BE4"/>
    <w:rsid w:val="00222C0F"/>
    <w:rsid w:val="0022438A"/>
    <w:rsid w:val="00224900"/>
    <w:rsid w:val="00224EEB"/>
    <w:rsid w:val="002250AF"/>
    <w:rsid w:val="0022521B"/>
    <w:rsid w:val="00225485"/>
    <w:rsid w:val="00225684"/>
    <w:rsid w:val="002258B3"/>
    <w:rsid w:val="0022676A"/>
    <w:rsid w:val="00226862"/>
    <w:rsid w:val="00226D4C"/>
    <w:rsid w:val="00226DF9"/>
    <w:rsid w:val="00226E28"/>
    <w:rsid w:val="002271EA"/>
    <w:rsid w:val="002273AC"/>
    <w:rsid w:val="002276EA"/>
    <w:rsid w:val="00227884"/>
    <w:rsid w:val="00227B5D"/>
    <w:rsid w:val="00227B9C"/>
    <w:rsid w:val="00230A98"/>
    <w:rsid w:val="00230CDA"/>
    <w:rsid w:val="00230DCC"/>
    <w:rsid w:val="00231417"/>
    <w:rsid w:val="002315F6"/>
    <w:rsid w:val="0023164F"/>
    <w:rsid w:val="0023179A"/>
    <w:rsid w:val="0023186E"/>
    <w:rsid w:val="00231BE8"/>
    <w:rsid w:val="00231D07"/>
    <w:rsid w:val="002324D6"/>
    <w:rsid w:val="002326BF"/>
    <w:rsid w:val="00232B3C"/>
    <w:rsid w:val="00232D28"/>
    <w:rsid w:val="00232DF5"/>
    <w:rsid w:val="00233701"/>
    <w:rsid w:val="00233B9B"/>
    <w:rsid w:val="002343E2"/>
    <w:rsid w:val="0023469B"/>
    <w:rsid w:val="00234754"/>
    <w:rsid w:val="0023515B"/>
    <w:rsid w:val="002359CB"/>
    <w:rsid w:val="00235A74"/>
    <w:rsid w:val="00235C50"/>
    <w:rsid w:val="002360F9"/>
    <w:rsid w:val="002362E3"/>
    <w:rsid w:val="0023675C"/>
    <w:rsid w:val="00237066"/>
    <w:rsid w:val="002371CF"/>
    <w:rsid w:val="002377BA"/>
    <w:rsid w:val="0023790A"/>
    <w:rsid w:val="00237EE3"/>
    <w:rsid w:val="00240501"/>
    <w:rsid w:val="00240503"/>
    <w:rsid w:val="0024059F"/>
    <w:rsid w:val="002409D5"/>
    <w:rsid w:val="00241249"/>
    <w:rsid w:val="00241305"/>
    <w:rsid w:val="00241B43"/>
    <w:rsid w:val="00241B9B"/>
    <w:rsid w:val="00242134"/>
    <w:rsid w:val="00242257"/>
    <w:rsid w:val="002422AE"/>
    <w:rsid w:val="002423B4"/>
    <w:rsid w:val="002424AC"/>
    <w:rsid w:val="002426B3"/>
    <w:rsid w:val="00242C82"/>
    <w:rsid w:val="00242EFE"/>
    <w:rsid w:val="00242F78"/>
    <w:rsid w:val="00243146"/>
    <w:rsid w:val="002431AD"/>
    <w:rsid w:val="00243267"/>
    <w:rsid w:val="0024370B"/>
    <w:rsid w:val="002438E3"/>
    <w:rsid w:val="00243AD5"/>
    <w:rsid w:val="00243DB7"/>
    <w:rsid w:val="002442E3"/>
    <w:rsid w:val="002444EA"/>
    <w:rsid w:val="00244689"/>
    <w:rsid w:val="00244756"/>
    <w:rsid w:val="002451F4"/>
    <w:rsid w:val="002456CE"/>
    <w:rsid w:val="002458B3"/>
    <w:rsid w:val="00245C56"/>
    <w:rsid w:val="00246139"/>
    <w:rsid w:val="0024629A"/>
    <w:rsid w:val="00246450"/>
    <w:rsid w:val="00246F4B"/>
    <w:rsid w:val="00247162"/>
    <w:rsid w:val="00247186"/>
    <w:rsid w:val="00247315"/>
    <w:rsid w:val="00247838"/>
    <w:rsid w:val="00247B1A"/>
    <w:rsid w:val="00247D45"/>
    <w:rsid w:val="00247EB3"/>
    <w:rsid w:val="00250078"/>
    <w:rsid w:val="00250E89"/>
    <w:rsid w:val="002511F0"/>
    <w:rsid w:val="002513D4"/>
    <w:rsid w:val="00251458"/>
    <w:rsid w:val="0025219D"/>
    <w:rsid w:val="002524A0"/>
    <w:rsid w:val="0025266D"/>
    <w:rsid w:val="002527A3"/>
    <w:rsid w:val="00252F4E"/>
    <w:rsid w:val="00253499"/>
    <w:rsid w:val="00253C19"/>
    <w:rsid w:val="00253C95"/>
    <w:rsid w:val="00253CF8"/>
    <w:rsid w:val="002543D4"/>
    <w:rsid w:val="00254797"/>
    <w:rsid w:val="002547BA"/>
    <w:rsid w:val="00254DCE"/>
    <w:rsid w:val="0025500E"/>
    <w:rsid w:val="0025544A"/>
    <w:rsid w:val="002555D0"/>
    <w:rsid w:val="00255637"/>
    <w:rsid w:val="00255643"/>
    <w:rsid w:val="00255A87"/>
    <w:rsid w:val="00255B6C"/>
    <w:rsid w:val="00255C27"/>
    <w:rsid w:val="00255E1C"/>
    <w:rsid w:val="00255E79"/>
    <w:rsid w:val="00255EC7"/>
    <w:rsid w:val="0025609F"/>
    <w:rsid w:val="002566BB"/>
    <w:rsid w:val="00256DDD"/>
    <w:rsid w:val="00256F91"/>
    <w:rsid w:val="00257012"/>
    <w:rsid w:val="002571AF"/>
    <w:rsid w:val="00257681"/>
    <w:rsid w:val="00257688"/>
    <w:rsid w:val="0025787C"/>
    <w:rsid w:val="002578CD"/>
    <w:rsid w:val="00257C2D"/>
    <w:rsid w:val="00257F40"/>
    <w:rsid w:val="0026040F"/>
    <w:rsid w:val="0026057D"/>
    <w:rsid w:val="0026075D"/>
    <w:rsid w:val="00260AC3"/>
    <w:rsid w:val="00260B9F"/>
    <w:rsid w:val="0026203F"/>
    <w:rsid w:val="00262D88"/>
    <w:rsid w:val="00262F63"/>
    <w:rsid w:val="0026350C"/>
    <w:rsid w:val="002636AA"/>
    <w:rsid w:val="00263D07"/>
    <w:rsid w:val="00263D2C"/>
    <w:rsid w:val="00263EB9"/>
    <w:rsid w:val="002646D2"/>
    <w:rsid w:val="00264862"/>
    <w:rsid w:val="002649DB"/>
    <w:rsid w:val="00264C5E"/>
    <w:rsid w:val="00264DC1"/>
    <w:rsid w:val="00265329"/>
    <w:rsid w:val="0026536A"/>
    <w:rsid w:val="00265615"/>
    <w:rsid w:val="002656BE"/>
    <w:rsid w:val="00265DB4"/>
    <w:rsid w:val="002662CC"/>
    <w:rsid w:val="0026734E"/>
    <w:rsid w:val="0026775D"/>
    <w:rsid w:val="00267900"/>
    <w:rsid w:val="00267AE7"/>
    <w:rsid w:val="00267B13"/>
    <w:rsid w:val="0027011F"/>
    <w:rsid w:val="002704B7"/>
    <w:rsid w:val="002704FA"/>
    <w:rsid w:val="00270797"/>
    <w:rsid w:val="0027086E"/>
    <w:rsid w:val="00270AF6"/>
    <w:rsid w:val="00270C74"/>
    <w:rsid w:val="00270E17"/>
    <w:rsid w:val="00270E46"/>
    <w:rsid w:val="002714D2"/>
    <w:rsid w:val="00271827"/>
    <w:rsid w:val="0027196A"/>
    <w:rsid w:val="00271CB3"/>
    <w:rsid w:val="0027209D"/>
    <w:rsid w:val="002720E1"/>
    <w:rsid w:val="0027258C"/>
    <w:rsid w:val="002727B8"/>
    <w:rsid w:val="00272851"/>
    <w:rsid w:val="00272A0B"/>
    <w:rsid w:val="00272BF3"/>
    <w:rsid w:val="00272F70"/>
    <w:rsid w:val="0027358C"/>
    <w:rsid w:val="00273982"/>
    <w:rsid w:val="00273A4B"/>
    <w:rsid w:val="00273AB2"/>
    <w:rsid w:val="00273C8C"/>
    <w:rsid w:val="00273D88"/>
    <w:rsid w:val="00274050"/>
    <w:rsid w:val="0027476D"/>
    <w:rsid w:val="002756EE"/>
    <w:rsid w:val="0027571D"/>
    <w:rsid w:val="002758DC"/>
    <w:rsid w:val="00275919"/>
    <w:rsid w:val="00275CA0"/>
    <w:rsid w:val="00276242"/>
    <w:rsid w:val="00276616"/>
    <w:rsid w:val="002766F7"/>
    <w:rsid w:val="00276EB3"/>
    <w:rsid w:val="0027726F"/>
    <w:rsid w:val="00277725"/>
    <w:rsid w:val="0027781D"/>
    <w:rsid w:val="00277952"/>
    <w:rsid w:val="00277FAB"/>
    <w:rsid w:val="002800DE"/>
    <w:rsid w:val="0028033B"/>
    <w:rsid w:val="00280510"/>
    <w:rsid w:val="0028096B"/>
    <w:rsid w:val="00280B27"/>
    <w:rsid w:val="00280CB9"/>
    <w:rsid w:val="00280D13"/>
    <w:rsid w:val="00280E56"/>
    <w:rsid w:val="00280FD0"/>
    <w:rsid w:val="002812A3"/>
    <w:rsid w:val="00281471"/>
    <w:rsid w:val="0028173F"/>
    <w:rsid w:val="00281769"/>
    <w:rsid w:val="00281EEA"/>
    <w:rsid w:val="00281F00"/>
    <w:rsid w:val="0028224C"/>
    <w:rsid w:val="00282746"/>
    <w:rsid w:val="00282A94"/>
    <w:rsid w:val="00283B26"/>
    <w:rsid w:val="00283FF6"/>
    <w:rsid w:val="00284080"/>
    <w:rsid w:val="00284241"/>
    <w:rsid w:val="002848B4"/>
    <w:rsid w:val="00284EA4"/>
    <w:rsid w:val="0028507F"/>
    <w:rsid w:val="00285248"/>
    <w:rsid w:val="00285250"/>
    <w:rsid w:val="002854D0"/>
    <w:rsid w:val="00285538"/>
    <w:rsid w:val="002858C9"/>
    <w:rsid w:val="00285AAA"/>
    <w:rsid w:val="00285FB7"/>
    <w:rsid w:val="002869F2"/>
    <w:rsid w:val="00286DB6"/>
    <w:rsid w:val="00286DB9"/>
    <w:rsid w:val="00286DC2"/>
    <w:rsid w:val="00287336"/>
    <w:rsid w:val="00287369"/>
    <w:rsid w:val="00287601"/>
    <w:rsid w:val="002876BB"/>
    <w:rsid w:val="002876E2"/>
    <w:rsid w:val="00287749"/>
    <w:rsid w:val="002878D8"/>
    <w:rsid w:val="002878F4"/>
    <w:rsid w:val="00287A82"/>
    <w:rsid w:val="00287D36"/>
    <w:rsid w:val="00287E16"/>
    <w:rsid w:val="00287EA2"/>
    <w:rsid w:val="0029020C"/>
    <w:rsid w:val="00290A01"/>
    <w:rsid w:val="00290A62"/>
    <w:rsid w:val="00291526"/>
    <w:rsid w:val="00291B4F"/>
    <w:rsid w:val="00291E51"/>
    <w:rsid w:val="00291EB4"/>
    <w:rsid w:val="002925DE"/>
    <w:rsid w:val="002925E0"/>
    <w:rsid w:val="0029266C"/>
    <w:rsid w:val="00292DE5"/>
    <w:rsid w:val="00293956"/>
    <w:rsid w:val="00293BB0"/>
    <w:rsid w:val="00294162"/>
    <w:rsid w:val="00294164"/>
    <w:rsid w:val="0029425A"/>
    <w:rsid w:val="00294FF2"/>
    <w:rsid w:val="0029527C"/>
    <w:rsid w:val="00295400"/>
    <w:rsid w:val="00295451"/>
    <w:rsid w:val="00295598"/>
    <w:rsid w:val="002955C1"/>
    <w:rsid w:val="00295988"/>
    <w:rsid w:val="00295A73"/>
    <w:rsid w:val="00295C15"/>
    <w:rsid w:val="00295CD6"/>
    <w:rsid w:val="00296095"/>
    <w:rsid w:val="00296418"/>
    <w:rsid w:val="00296658"/>
    <w:rsid w:val="0029677C"/>
    <w:rsid w:val="002967E7"/>
    <w:rsid w:val="00296860"/>
    <w:rsid w:val="00296DF3"/>
    <w:rsid w:val="00297083"/>
    <w:rsid w:val="0029724D"/>
    <w:rsid w:val="002973D8"/>
    <w:rsid w:val="0029757B"/>
    <w:rsid w:val="0029759A"/>
    <w:rsid w:val="00297695"/>
    <w:rsid w:val="002976AD"/>
    <w:rsid w:val="00297EED"/>
    <w:rsid w:val="002A0264"/>
    <w:rsid w:val="002A1125"/>
    <w:rsid w:val="002A138A"/>
    <w:rsid w:val="002A180F"/>
    <w:rsid w:val="002A1A00"/>
    <w:rsid w:val="002A1B42"/>
    <w:rsid w:val="002A2963"/>
    <w:rsid w:val="002A2D44"/>
    <w:rsid w:val="002A2F68"/>
    <w:rsid w:val="002A2F80"/>
    <w:rsid w:val="002A30A2"/>
    <w:rsid w:val="002A33E3"/>
    <w:rsid w:val="002A33F9"/>
    <w:rsid w:val="002A3A35"/>
    <w:rsid w:val="002A3D7B"/>
    <w:rsid w:val="002A43A2"/>
    <w:rsid w:val="002A46AA"/>
    <w:rsid w:val="002A4844"/>
    <w:rsid w:val="002A4EA9"/>
    <w:rsid w:val="002A5347"/>
    <w:rsid w:val="002A56E7"/>
    <w:rsid w:val="002A5891"/>
    <w:rsid w:val="002A58C8"/>
    <w:rsid w:val="002A5D10"/>
    <w:rsid w:val="002A6B8B"/>
    <w:rsid w:val="002A73EC"/>
    <w:rsid w:val="002A74AE"/>
    <w:rsid w:val="002A7591"/>
    <w:rsid w:val="002A798A"/>
    <w:rsid w:val="002A7E10"/>
    <w:rsid w:val="002B0033"/>
    <w:rsid w:val="002B085D"/>
    <w:rsid w:val="002B085F"/>
    <w:rsid w:val="002B0957"/>
    <w:rsid w:val="002B12C3"/>
    <w:rsid w:val="002B1CFB"/>
    <w:rsid w:val="002B2217"/>
    <w:rsid w:val="002B23A8"/>
    <w:rsid w:val="002B2418"/>
    <w:rsid w:val="002B2507"/>
    <w:rsid w:val="002B28C9"/>
    <w:rsid w:val="002B2A63"/>
    <w:rsid w:val="002B2A93"/>
    <w:rsid w:val="002B3087"/>
    <w:rsid w:val="002B3323"/>
    <w:rsid w:val="002B3B9D"/>
    <w:rsid w:val="002B3C16"/>
    <w:rsid w:val="002B424A"/>
    <w:rsid w:val="002B4BAA"/>
    <w:rsid w:val="002B4E3D"/>
    <w:rsid w:val="002B518F"/>
    <w:rsid w:val="002B54F1"/>
    <w:rsid w:val="002B6842"/>
    <w:rsid w:val="002B6C67"/>
    <w:rsid w:val="002B6C9A"/>
    <w:rsid w:val="002B6F42"/>
    <w:rsid w:val="002B71CC"/>
    <w:rsid w:val="002B78A8"/>
    <w:rsid w:val="002B7F72"/>
    <w:rsid w:val="002B7FD4"/>
    <w:rsid w:val="002C020F"/>
    <w:rsid w:val="002C0212"/>
    <w:rsid w:val="002C0654"/>
    <w:rsid w:val="002C0DC7"/>
    <w:rsid w:val="002C116C"/>
    <w:rsid w:val="002C120B"/>
    <w:rsid w:val="002C1BC5"/>
    <w:rsid w:val="002C1D91"/>
    <w:rsid w:val="002C238E"/>
    <w:rsid w:val="002C24E4"/>
    <w:rsid w:val="002C276D"/>
    <w:rsid w:val="002C2E45"/>
    <w:rsid w:val="002C2EF7"/>
    <w:rsid w:val="002C2FA5"/>
    <w:rsid w:val="002C33CD"/>
    <w:rsid w:val="002C3754"/>
    <w:rsid w:val="002C37E8"/>
    <w:rsid w:val="002C387F"/>
    <w:rsid w:val="002C38FC"/>
    <w:rsid w:val="002C3FCB"/>
    <w:rsid w:val="002C4067"/>
    <w:rsid w:val="002C4648"/>
    <w:rsid w:val="002C47B2"/>
    <w:rsid w:val="002C5225"/>
    <w:rsid w:val="002C5551"/>
    <w:rsid w:val="002C5B90"/>
    <w:rsid w:val="002C5FAC"/>
    <w:rsid w:val="002C6B4D"/>
    <w:rsid w:val="002C6B8C"/>
    <w:rsid w:val="002C6D97"/>
    <w:rsid w:val="002C6F26"/>
    <w:rsid w:val="002C715F"/>
    <w:rsid w:val="002C7180"/>
    <w:rsid w:val="002C773E"/>
    <w:rsid w:val="002C7764"/>
    <w:rsid w:val="002C7B1F"/>
    <w:rsid w:val="002C7B3E"/>
    <w:rsid w:val="002C7DAF"/>
    <w:rsid w:val="002C7DC6"/>
    <w:rsid w:val="002D0274"/>
    <w:rsid w:val="002D03E4"/>
    <w:rsid w:val="002D0459"/>
    <w:rsid w:val="002D0508"/>
    <w:rsid w:val="002D05E1"/>
    <w:rsid w:val="002D0926"/>
    <w:rsid w:val="002D0BC4"/>
    <w:rsid w:val="002D0D10"/>
    <w:rsid w:val="002D1784"/>
    <w:rsid w:val="002D23F6"/>
    <w:rsid w:val="002D28EA"/>
    <w:rsid w:val="002D31CA"/>
    <w:rsid w:val="002D31E8"/>
    <w:rsid w:val="002D3204"/>
    <w:rsid w:val="002D33EE"/>
    <w:rsid w:val="002D3686"/>
    <w:rsid w:val="002D39A6"/>
    <w:rsid w:val="002D410E"/>
    <w:rsid w:val="002D447E"/>
    <w:rsid w:val="002D481C"/>
    <w:rsid w:val="002D482F"/>
    <w:rsid w:val="002D4ACA"/>
    <w:rsid w:val="002D4B15"/>
    <w:rsid w:val="002D4E56"/>
    <w:rsid w:val="002D4F50"/>
    <w:rsid w:val="002D5233"/>
    <w:rsid w:val="002D58A6"/>
    <w:rsid w:val="002D5A2A"/>
    <w:rsid w:val="002D5CB4"/>
    <w:rsid w:val="002D5DDF"/>
    <w:rsid w:val="002D5F29"/>
    <w:rsid w:val="002D5FA1"/>
    <w:rsid w:val="002D6782"/>
    <w:rsid w:val="002D67EE"/>
    <w:rsid w:val="002D68FB"/>
    <w:rsid w:val="002D6916"/>
    <w:rsid w:val="002D6AFB"/>
    <w:rsid w:val="002D7450"/>
    <w:rsid w:val="002D7E6A"/>
    <w:rsid w:val="002E0899"/>
    <w:rsid w:val="002E0F9D"/>
    <w:rsid w:val="002E131C"/>
    <w:rsid w:val="002E1B89"/>
    <w:rsid w:val="002E1DD5"/>
    <w:rsid w:val="002E20BC"/>
    <w:rsid w:val="002E23B4"/>
    <w:rsid w:val="002E28D2"/>
    <w:rsid w:val="002E29A1"/>
    <w:rsid w:val="002E2B20"/>
    <w:rsid w:val="002E2B61"/>
    <w:rsid w:val="002E2BFD"/>
    <w:rsid w:val="002E39BF"/>
    <w:rsid w:val="002E52C2"/>
    <w:rsid w:val="002E5C1D"/>
    <w:rsid w:val="002E66CF"/>
    <w:rsid w:val="002E6E59"/>
    <w:rsid w:val="002E6ED7"/>
    <w:rsid w:val="002E758D"/>
    <w:rsid w:val="002E76DF"/>
    <w:rsid w:val="002E7927"/>
    <w:rsid w:val="002E7CC2"/>
    <w:rsid w:val="002E7D96"/>
    <w:rsid w:val="002E7DB4"/>
    <w:rsid w:val="002E7DFE"/>
    <w:rsid w:val="002E7FA7"/>
    <w:rsid w:val="002E7FDB"/>
    <w:rsid w:val="002F0463"/>
    <w:rsid w:val="002F073C"/>
    <w:rsid w:val="002F0CCD"/>
    <w:rsid w:val="002F10CA"/>
    <w:rsid w:val="002F10E6"/>
    <w:rsid w:val="002F15A4"/>
    <w:rsid w:val="002F195B"/>
    <w:rsid w:val="002F1A19"/>
    <w:rsid w:val="002F1A9F"/>
    <w:rsid w:val="002F1AB5"/>
    <w:rsid w:val="002F1B29"/>
    <w:rsid w:val="002F1BC8"/>
    <w:rsid w:val="002F1E45"/>
    <w:rsid w:val="002F2883"/>
    <w:rsid w:val="002F36B3"/>
    <w:rsid w:val="002F37E1"/>
    <w:rsid w:val="002F3891"/>
    <w:rsid w:val="002F3B82"/>
    <w:rsid w:val="002F3D2F"/>
    <w:rsid w:val="002F3D9F"/>
    <w:rsid w:val="002F4025"/>
    <w:rsid w:val="002F4393"/>
    <w:rsid w:val="002F441F"/>
    <w:rsid w:val="002F4686"/>
    <w:rsid w:val="002F4ACC"/>
    <w:rsid w:val="002F509E"/>
    <w:rsid w:val="002F50E1"/>
    <w:rsid w:val="002F56E8"/>
    <w:rsid w:val="002F5708"/>
    <w:rsid w:val="002F5D36"/>
    <w:rsid w:val="002F5F1F"/>
    <w:rsid w:val="002F610E"/>
    <w:rsid w:val="002F61F5"/>
    <w:rsid w:val="002F641E"/>
    <w:rsid w:val="002F645A"/>
    <w:rsid w:val="002F6613"/>
    <w:rsid w:val="002F69E1"/>
    <w:rsid w:val="002F6EB7"/>
    <w:rsid w:val="002F7134"/>
    <w:rsid w:val="002F71EE"/>
    <w:rsid w:val="002F7274"/>
    <w:rsid w:val="002F729E"/>
    <w:rsid w:val="002F72B8"/>
    <w:rsid w:val="002F76FA"/>
    <w:rsid w:val="002F7EF9"/>
    <w:rsid w:val="002F7F7A"/>
    <w:rsid w:val="002F7FC7"/>
    <w:rsid w:val="0030006C"/>
    <w:rsid w:val="003003A5"/>
    <w:rsid w:val="003005F7"/>
    <w:rsid w:val="00300749"/>
    <w:rsid w:val="00300792"/>
    <w:rsid w:val="00300D91"/>
    <w:rsid w:val="0030102A"/>
    <w:rsid w:val="00301334"/>
    <w:rsid w:val="00301394"/>
    <w:rsid w:val="003014E7"/>
    <w:rsid w:val="0030184D"/>
    <w:rsid w:val="00301D15"/>
    <w:rsid w:val="00302080"/>
    <w:rsid w:val="00302257"/>
    <w:rsid w:val="00302440"/>
    <w:rsid w:val="00302ABC"/>
    <w:rsid w:val="00302BDE"/>
    <w:rsid w:val="0030320D"/>
    <w:rsid w:val="00303848"/>
    <w:rsid w:val="003039B1"/>
    <w:rsid w:val="00303B2D"/>
    <w:rsid w:val="00303C0D"/>
    <w:rsid w:val="00303C6F"/>
    <w:rsid w:val="0030466C"/>
    <w:rsid w:val="00304972"/>
    <w:rsid w:val="00304CF2"/>
    <w:rsid w:val="003050B4"/>
    <w:rsid w:val="00305370"/>
    <w:rsid w:val="0030579B"/>
    <w:rsid w:val="00305B59"/>
    <w:rsid w:val="00306544"/>
    <w:rsid w:val="003065D1"/>
    <w:rsid w:val="00306A23"/>
    <w:rsid w:val="00306B8B"/>
    <w:rsid w:val="00306D2D"/>
    <w:rsid w:val="0030711A"/>
    <w:rsid w:val="003073CD"/>
    <w:rsid w:val="003076A6"/>
    <w:rsid w:val="00307E4D"/>
    <w:rsid w:val="0031014A"/>
    <w:rsid w:val="003101C2"/>
    <w:rsid w:val="00310553"/>
    <w:rsid w:val="003108AF"/>
    <w:rsid w:val="003113CA"/>
    <w:rsid w:val="0031155F"/>
    <w:rsid w:val="0031169C"/>
    <w:rsid w:val="00311A48"/>
    <w:rsid w:val="00311C6A"/>
    <w:rsid w:val="00311CB9"/>
    <w:rsid w:val="00311DE3"/>
    <w:rsid w:val="00311E38"/>
    <w:rsid w:val="003126C9"/>
    <w:rsid w:val="00312C04"/>
    <w:rsid w:val="00312C5C"/>
    <w:rsid w:val="00313E1F"/>
    <w:rsid w:val="00314034"/>
    <w:rsid w:val="003141DD"/>
    <w:rsid w:val="003143BD"/>
    <w:rsid w:val="00314E93"/>
    <w:rsid w:val="00315E1A"/>
    <w:rsid w:val="00315F05"/>
    <w:rsid w:val="00316837"/>
    <w:rsid w:val="003169F3"/>
    <w:rsid w:val="00317866"/>
    <w:rsid w:val="00317C1D"/>
    <w:rsid w:val="00317D2C"/>
    <w:rsid w:val="00320AAE"/>
    <w:rsid w:val="003211E6"/>
    <w:rsid w:val="00321AA1"/>
    <w:rsid w:val="00321E0E"/>
    <w:rsid w:val="00322118"/>
    <w:rsid w:val="0032215B"/>
    <w:rsid w:val="00322AD7"/>
    <w:rsid w:val="00322B03"/>
    <w:rsid w:val="00322ED0"/>
    <w:rsid w:val="00322F3E"/>
    <w:rsid w:val="00322FCD"/>
    <w:rsid w:val="0032301E"/>
    <w:rsid w:val="00323468"/>
    <w:rsid w:val="0032377E"/>
    <w:rsid w:val="0032389F"/>
    <w:rsid w:val="00323BFA"/>
    <w:rsid w:val="00323C26"/>
    <w:rsid w:val="00323E3F"/>
    <w:rsid w:val="00324333"/>
    <w:rsid w:val="00324A5F"/>
    <w:rsid w:val="00324CB0"/>
    <w:rsid w:val="00324E3C"/>
    <w:rsid w:val="0032531B"/>
    <w:rsid w:val="00325723"/>
    <w:rsid w:val="00325CBF"/>
    <w:rsid w:val="00325DA1"/>
    <w:rsid w:val="003269B6"/>
    <w:rsid w:val="00326D27"/>
    <w:rsid w:val="0032738C"/>
    <w:rsid w:val="003273BA"/>
    <w:rsid w:val="00327B2F"/>
    <w:rsid w:val="00327C32"/>
    <w:rsid w:val="00327D6F"/>
    <w:rsid w:val="00330148"/>
    <w:rsid w:val="00330B9D"/>
    <w:rsid w:val="00330BDC"/>
    <w:rsid w:val="00331079"/>
    <w:rsid w:val="003310C6"/>
    <w:rsid w:val="003313FF"/>
    <w:rsid w:val="00331A0B"/>
    <w:rsid w:val="00332276"/>
    <w:rsid w:val="0033257B"/>
    <w:rsid w:val="003329E5"/>
    <w:rsid w:val="00332C3E"/>
    <w:rsid w:val="00332CAF"/>
    <w:rsid w:val="00332E7F"/>
    <w:rsid w:val="0033330C"/>
    <w:rsid w:val="00333316"/>
    <w:rsid w:val="0033342E"/>
    <w:rsid w:val="00333D5F"/>
    <w:rsid w:val="0033434A"/>
    <w:rsid w:val="003346EA"/>
    <w:rsid w:val="00334750"/>
    <w:rsid w:val="00334C79"/>
    <w:rsid w:val="00334CB7"/>
    <w:rsid w:val="00334F0B"/>
    <w:rsid w:val="003351E8"/>
    <w:rsid w:val="00335290"/>
    <w:rsid w:val="003352EF"/>
    <w:rsid w:val="003355A3"/>
    <w:rsid w:val="00335CCF"/>
    <w:rsid w:val="00335D9A"/>
    <w:rsid w:val="00336371"/>
    <w:rsid w:val="00336797"/>
    <w:rsid w:val="00336919"/>
    <w:rsid w:val="00336B62"/>
    <w:rsid w:val="003371EE"/>
    <w:rsid w:val="003373A3"/>
    <w:rsid w:val="00337C93"/>
    <w:rsid w:val="00340075"/>
    <w:rsid w:val="0034018C"/>
    <w:rsid w:val="00340632"/>
    <w:rsid w:val="003409E9"/>
    <w:rsid w:val="00341186"/>
    <w:rsid w:val="003412E6"/>
    <w:rsid w:val="00341764"/>
    <w:rsid w:val="00341AA6"/>
    <w:rsid w:val="00341D8A"/>
    <w:rsid w:val="00342566"/>
    <w:rsid w:val="00342C6F"/>
    <w:rsid w:val="00343350"/>
    <w:rsid w:val="003439F2"/>
    <w:rsid w:val="00343FF5"/>
    <w:rsid w:val="00344748"/>
    <w:rsid w:val="00344B74"/>
    <w:rsid w:val="00344CAB"/>
    <w:rsid w:val="00344EFE"/>
    <w:rsid w:val="003450BE"/>
    <w:rsid w:val="003451DF"/>
    <w:rsid w:val="003451FC"/>
    <w:rsid w:val="0034536C"/>
    <w:rsid w:val="003455D6"/>
    <w:rsid w:val="003458C7"/>
    <w:rsid w:val="00345BB7"/>
    <w:rsid w:val="00345C90"/>
    <w:rsid w:val="00345F98"/>
    <w:rsid w:val="003460C9"/>
    <w:rsid w:val="00346962"/>
    <w:rsid w:val="00346F13"/>
    <w:rsid w:val="00347367"/>
    <w:rsid w:val="00347457"/>
    <w:rsid w:val="00347514"/>
    <w:rsid w:val="0034766B"/>
    <w:rsid w:val="00347C83"/>
    <w:rsid w:val="003504E9"/>
    <w:rsid w:val="0035074D"/>
    <w:rsid w:val="00350795"/>
    <w:rsid w:val="00350A9B"/>
    <w:rsid w:val="00350E89"/>
    <w:rsid w:val="00351B37"/>
    <w:rsid w:val="00351B9D"/>
    <w:rsid w:val="003523C3"/>
    <w:rsid w:val="00352BD6"/>
    <w:rsid w:val="00352CEF"/>
    <w:rsid w:val="00353406"/>
    <w:rsid w:val="00353459"/>
    <w:rsid w:val="003538EC"/>
    <w:rsid w:val="0035444D"/>
    <w:rsid w:val="00354455"/>
    <w:rsid w:val="00354CFF"/>
    <w:rsid w:val="003553D1"/>
    <w:rsid w:val="003557EC"/>
    <w:rsid w:val="00355A07"/>
    <w:rsid w:val="00355AF0"/>
    <w:rsid w:val="00355CCB"/>
    <w:rsid w:val="00356588"/>
    <w:rsid w:val="00356596"/>
    <w:rsid w:val="003566B8"/>
    <w:rsid w:val="0035690B"/>
    <w:rsid w:val="00356A33"/>
    <w:rsid w:val="00356A7C"/>
    <w:rsid w:val="00356C1F"/>
    <w:rsid w:val="00357345"/>
    <w:rsid w:val="00357389"/>
    <w:rsid w:val="003575AD"/>
    <w:rsid w:val="00357D15"/>
    <w:rsid w:val="00357EB1"/>
    <w:rsid w:val="003608C5"/>
    <w:rsid w:val="00360BBA"/>
    <w:rsid w:val="00360D13"/>
    <w:rsid w:val="003611D8"/>
    <w:rsid w:val="003613BA"/>
    <w:rsid w:val="00361EF1"/>
    <w:rsid w:val="0036215E"/>
    <w:rsid w:val="003623D0"/>
    <w:rsid w:val="003629B3"/>
    <w:rsid w:val="00362E08"/>
    <w:rsid w:val="00362F34"/>
    <w:rsid w:val="003630B7"/>
    <w:rsid w:val="00363159"/>
    <w:rsid w:val="00363252"/>
    <w:rsid w:val="00363370"/>
    <w:rsid w:val="0036359C"/>
    <w:rsid w:val="0036366B"/>
    <w:rsid w:val="003636AA"/>
    <w:rsid w:val="00363774"/>
    <w:rsid w:val="0036391C"/>
    <w:rsid w:val="00363CEC"/>
    <w:rsid w:val="00363F30"/>
    <w:rsid w:val="00363FC3"/>
    <w:rsid w:val="003644FA"/>
    <w:rsid w:val="0036458A"/>
    <w:rsid w:val="003646AD"/>
    <w:rsid w:val="003647C0"/>
    <w:rsid w:val="003647C3"/>
    <w:rsid w:val="00364B4B"/>
    <w:rsid w:val="00364B4F"/>
    <w:rsid w:val="00364E03"/>
    <w:rsid w:val="003655C7"/>
    <w:rsid w:val="00365844"/>
    <w:rsid w:val="00365885"/>
    <w:rsid w:val="00365891"/>
    <w:rsid w:val="00365CB7"/>
    <w:rsid w:val="00366321"/>
    <w:rsid w:val="003665C5"/>
    <w:rsid w:val="00366798"/>
    <w:rsid w:val="00366A9E"/>
    <w:rsid w:val="00367206"/>
    <w:rsid w:val="00370008"/>
    <w:rsid w:val="00370027"/>
    <w:rsid w:val="003702B0"/>
    <w:rsid w:val="00370527"/>
    <w:rsid w:val="0037078E"/>
    <w:rsid w:val="00370E26"/>
    <w:rsid w:val="00370EF8"/>
    <w:rsid w:val="0037147D"/>
    <w:rsid w:val="003715AF"/>
    <w:rsid w:val="003717FD"/>
    <w:rsid w:val="003718E5"/>
    <w:rsid w:val="00371AA6"/>
    <w:rsid w:val="00371DDC"/>
    <w:rsid w:val="00371DF6"/>
    <w:rsid w:val="003720A3"/>
    <w:rsid w:val="003721D8"/>
    <w:rsid w:val="00372235"/>
    <w:rsid w:val="003722FA"/>
    <w:rsid w:val="00372358"/>
    <w:rsid w:val="0037283D"/>
    <w:rsid w:val="00372C45"/>
    <w:rsid w:val="00372EE5"/>
    <w:rsid w:val="0037337C"/>
    <w:rsid w:val="003733A9"/>
    <w:rsid w:val="003734CC"/>
    <w:rsid w:val="00373589"/>
    <w:rsid w:val="003735D2"/>
    <w:rsid w:val="003739FB"/>
    <w:rsid w:val="0037479E"/>
    <w:rsid w:val="00374D4D"/>
    <w:rsid w:val="00374EB4"/>
    <w:rsid w:val="00375AA7"/>
    <w:rsid w:val="003763DD"/>
    <w:rsid w:val="00376446"/>
    <w:rsid w:val="0037670A"/>
    <w:rsid w:val="003770C8"/>
    <w:rsid w:val="00377422"/>
    <w:rsid w:val="00377599"/>
    <w:rsid w:val="003775EC"/>
    <w:rsid w:val="003805BC"/>
    <w:rsid w:val="003806C8"/>
    <w:rsid w:val="003807AC"/>
    <w:rsid w:val="00380816"/>
    <w:rsid w:val="00380CC1"/>
    <w:rsid w:val="00380CD8"/>
    <w:rsid w:val="00380DDA"/>
    <w:rsid w:val="00380ECF"/>
    <w:rsid w:val="003815EF"/>
    <w:rsid w:val="003819BA"/>
    <w:rsid w:val="00381B04"/>
    <w:rsid w:val="00381B54"/>
    <w:rsid w:val="00381DD0"/>
    <w:rsid w:val="00382053"/>
    <w:rsid w:val="0038240A"/>
    <w:rsid w:val="00382765"/>
    <w:rsid w:val="00382874"/>
    <w:rsid w:val="00382922"/>
    <w:rsid w:val="00382F2A"/>
    <w:rsid w:val="0038315A"/>
    <w:rsid w:val="003836E4"/>
    <w:rsid w:val="00383825"/>
    <w:rsid w:val="003838B5"/>
    <w:rsid w:val="00383C81"/>
    <w:rsid w:val="003843F1"/>
    <w:rsid w:val="003845FB"/>
    <w:rsid w:val="0038476B"/>
    <w:rsid w:val="003848BA"/>
    <w:rsid w:val="003848F1"/>
    <w:rsid w:val="00384A9D"/>
    <w:rsid w:val="00384DBC"/>
    <w:rsid w:val="00384ECE"/>
    <w:rsid w:val="00385C3D"/>
    <w:rsid w:val="00385DB0"/>
    <w:rsid w:val="00386091"/>
    <w:rsid w:val="003863EC"/>
    <w:rsid w:val="00386659"/>
    <w:rsid w:val="003866DD"/>
    <w:rsid w:val="003869B9"/>
    <w:rsid w:val="00386E8B"/>
    <w:rsid w:val="00386ED6"/>
    <w:rsid w:val="00386FFF"/>
    <w:rsid w:val="0038709D"/>
    <w:rsid w:val="0038717B"/>
    <w:rsid w:val="00387B67"/>
    <w:rsid w:val="00387CC4"/>
    <w:rsid w:val="00387F43"/>
    <w:rsid w:val="00390C03"/>
    <w:rsid w:val="00390D81"/>
    <w:rsid w:val="00390FA3"/>
    <w:rsid w:val="00391A03"/>
    <w:rsid w:val="00391E80"/>
    <w:rsid w:val="00392110"/>
    <w:rsid w:val="00392276"/>
    <w:rsid w:val="00392B4B"/>
    <w:rsid w:val="00392C0A"/>
    <w:rsid w:val="00392E0D"/>
    <w:rsid w:val="00392F08"/>
    <w:rsid w:val="00393248"/>
    <w:rsid w:val="0039343B"/>
    <w:rsid w:val="00393444"/>
    <w:rsid w:val="0039358E"/>
    <w:rsid w:val="00393C5A"/>
    <w:rsid w:val="003940DB"/>
    <w:rsid w:val="00394895"/>
    <w:rsid w:val="00394B11"/>
    <w:rsid w:val="00394E5E"/>
    <w:rsid w:val="00394F45"/>
    <w:rsid w:val="003950B0"/>
    <w:rsid w:val="003951A6"/>
    <w:rsid w:val="0039553D"/>
    <w:rsid w:val="003955B7"/>
    <w:rsid w:val="00395838"/>
    <w:rsid w:val="00395D81"/>
    <w:rsid w:val="00395E49"/>
    <w:rsid w:val="003964C8"/>
    <w:rsid w:val="003969C7"/>
    <w:rsid w:val="00396A87"/>
    <w:rsid w:val="00396AD6"/>
    <w:rsid w:val="003970D3"/>
    <w:rsid w:val="0039726E"/>
    <w:rsid w:val="003977FD"/>
    <w:rsid w:val="00397802"/>
    <w:rsid w:val="00397CA6"/>
    <w:rsid w:val="003A0A58"/>
    <w:rsid w:val="003A0B50"/>
    <w:rsid w:val="003A0D48"/>
    <w:rsid w:val="003A1024"/>
    <w:rsid w:val="003A1293"/>
    <w:rsid w:val="003A1295"/>
    <w:rsid w:val="003A14CA"/>
    <w:rsid w:val="003A14EC"/>
    <w:rsid w:val="003A1A7B"/>
    <w:rsid w:val="003A1A8F"/>
    <w:rsid w:val="003A1C02"/>
    <w:rsid w:val="003A1C9D"/>
    <w:rsid w:val="003A20EE"/>
    <w:rsid w:val="003A2632"/>
    <w:rsid w:val="003A3258"/>
    <w:rsid w:val="003A3751"/>
    <w:rsid w:val="003A3A5F"/>
    <w:rsid w:val="003A3CF3"/>
    <w:rsid w:val="003A3F63"/>
    <w:rsid w:val="003A4122"/>
    <w:rsid w:val="003A4273"/>
    <w:rsid w:val="003A4712"/>
    <w:rsid w:val="003A53D2"/>
    <w:rsid w:val="003A5774"/>
    <w:rsid w:val="003A5876"/>
    <w:rsid w:val="003A62E8"/>
    <w:rsid w:val="003A683B"/>
    <w:rsid w:val="003A6F02"/>
    <w:rsid w:val="003A6F7C"/>
    <w:rsid w:val="003A7287"/>
    <w:rsid w:val="003A759F"/>
    <w:rsid w:val="003A769E"/>
    <w:rsid w:val="003A7F85"/>
    <w:rsid w:val="003A7FF3"/>
    <w:rsid w:val="003B01A8"/>
    <w:rsid w:val="003B0263"/>
    <w:rsid w:val="003B085B"/>
    <w:rsid w:val="003B0968"/>
    <w:rsid w:val="003B1472"/>
    <w:rsid w:val="003B1815"/>
    <w:rsid w:val="003B228B"/>
    <w:rsid w:val="003B2395"/>
    <w:rsid w:val="003B2465"/>
    <w:rsid w:val="003B284C"/>
    <w:rsid w:val="003B2B05"/>
    <w:rsid w:val="003B2C42"/>
    <w:rsid w:val="003B2CE8"/>
    <w:rsid w:val="003B2F6E"/>
    <w:rsid w:val="003B35BD"/>
    <w:rsid w:val="003B3625"/>
    <w:rsid w:val="003B3662"/>
    <w:rsid w:val="003B3D49"/>
    <w:rsid w:val="003B3E85"/>
    <w:rsid w:val="003B4110"/>
    <w:rsid w:val="003B420E"/>
    <w:rsid w:val="003B42E2"/>
    <w:rsid w:val="003B46D2"/>
    <w:rsid w:val="003B4934"/>
    <w:rsid w:val="003B4D00"/>
    <w:rsid w:val="003B5005"/>
    <w:rsid w:val="003B57FC"/>
    <w:rsid w:val="003B5B6E"/>
    <w:rsid w:val="003B5B96"/>
    <w:rsid w:val="003B5CED"/>
    <w:rsid w:val="003B5EE0"/>
    <w:rsid w:val="003B65B3"/>
    <w:rsid w:val="003B691C"/>
    <w:rsid w:val="003B6D0C"/>
    <w:rsid w:val="003B6DDD"/>
    <w:rsid w:val="003B774C"/>
    <w:rsid w:val="003B7999"/>
    <w:rsid w:val="003B7CA7"/>
    <w:rsid w:val="003C00DF"/>
    <w:rsid w:val="003C0439"/>
    <w:rsid w:val="003C0754"/>
    <w:rsid w:val="003C0A87"/>
    <w:rsid w:val="003C0BFF"/>
    <w:rsid w:val="003C16BD"/>
    <w:rsid w:val="003C1DB8"/>
    <w:rsid w:val="003C22AE"/>
    <w:rsid w:val="003C22DB"/>
    <w:rsid w:val="003C287A"/>
    <w:rsid w:val="003C2A65"/>
    <w:rsid w:val="003C2C16"/>
    <w:rsid w:val="003C2CB2"/>
    <w:rsid w:val="003C2E94"/>
    <w:rsid w:val="003C2EE2"/>
    <w:rsid w:val="003C33DE"/>
    <w:rsid w:val="003C33F9"/>
    <w:rsid w:val="003C388A"/>
    <w:rsid w:val="003C38BC"/>
    <w:rsid w:val="003C3B5A"/>
    <w:rsid w:val="003C3C2A"/>
    <w:rsid w:val="003C40FC"/>
    <w:rsid w:val="003C4799"/>
    <w:rsid w:val="003C4962"/>
    <w:rsid w:val="003C4963"/>
    <w:rsid w:val="003C4FD0"/>
    <w:rsid w:val="003C59C7"/>
    <w:rsid w:val="003C5EBF"/>
    <w:rsid w:val="003C6216"/>
    <w:rsid w:val="003C654D"/>
    <w:rsid w:val="003C69A7"/>
    <w:rsid w:val="003C6B08"/>
    <w:rsid w:val="003C6FB2"/>
    <w:rsid w:val="003C70F7"/>
    <w:rsid w:val="003C7156"/>
    <w:rsid w:val="003C731C"/>
    <w:rsid w:val="003C73D8"/>
    <w:rsid w:val="003C7773"/>
    <w:rsid w:val="003C789C"/>
    <w:rsid w:val="003C7BC6"/>
    <w:rsid w:val="003D00EF"/>
    <w:rsid w:val="003D02F9"/>
    <w:rsid w:val="003D0509"/>
    <w:rsid w:val="003D06EA"/>
    <w:rsid w:val="003D0A3F"/>
    <w:rsid w:val="003D11BD"/>
    <w:rsid w:val="003D14AD"/>
    <w:rsid w:val="003D15E8"/>
    <w:rsid w:val="003D1794"/>
    <w:rsid w:val="003D1A95"/>
    <w:rsid w:val="003D1DE1"/>
    <w:rsid w:val="003D1EE9"/>
    <w:rsid w:val="003D20DE"/>
    <w:rsid w:val="003D27DA"/>
    <w:rsid w:val="003D2844"/>
    <w:rsid w:val="003D2890"/>
    <w:rsid w:val="003D298E"/>
    <w:rsid w:val="003D2B78"/>
    <w:rsid w:val="003D2CCB"/>
    <w:rsid w:val="003D2D27"/>
    <w:rsid w:val="003D2F33"/>
    <w:rsid w:val="003D31EC"/>
    <w:rsid w:val="003D3C60"/>
    <w:rsid w:val="003D3CEC"/>
    <w:rsid w:val="003D3F65"/>
    <w:rsid w:val="003D4163"/>
    <w:rsid w:val="003D440F"/>
    <w:rsid w:val="003D446A"/>
    <w:rsid w:val="003D49E9"/>
    <w:rsid w:val="003D4CD5"/>
    <w:rsid w:val="003D4E9A"/>
    <w:rsid w:val="003D512A"/>
    <w:rsid w:val="003D51CE"/>
    <w:rsid w:val="003D53C2"/>
    <w:rsid w:val="003D5C25"/>
    <w:rsid w:val="003D5F36"/>
    <w:rsid w:val="003D608D"/>
    <w:rsid w:val="003D6239"/>
    <w:rsid w:val="003D66FA"/>
    <w:rsid w:val="003D6C05"/>
    <w:rsid w:val="003D7248"/>
    <w:rsid w:val="003D745A"/>
    <w:rsid w:val="003D748D"/>
    <w:rsid w:val="003D7AED"/>
    <w:rsid w:val="003E0024"/>
    <w:rsid w:val="003E0A41"/>
    <w:rsid w:val="003E0B97"/>
    <w:rsid w:val="003E0F91"/>
    <w:rsid w:val="003E12CE"/>
    <w:rsid w:val="003E1355"/>
    <w:rsid w:val="003E1895"/>
    <w:rsid w:val="003E2056"/>
    <w:rsid w:val="003E20CF"/>
    <w:rsid w:val="003E215A"/>
    <w:rsid w:val="003E222D"/>
    <w:rsid w:val="003E236E"/>
    <w:rsid w:val="003E24CA"/>
    <w:rsid w:val="003E250C"/>
    <w:rsid w:val="003E2E34"/>
    <w:rsid w:val="003E32A6"/>
    <w:rsid w:val="003E36D4"/>
    <w:rsid w:val="003E373B"/>
    <w:rsid w:val="003E37EB"/>
    <w:rsid w:val="003E3998"/>
    <w:rsid w:val="003E3B7B"/>
    <w:rsid w:val="003E4240"/>
    <w:rsid w:val="003E4331"/>
    <w:rsid w:val="003E4C78"/>
    <w:rsid w:val="003E580A"/>
    <w:rsid w:val="003E5B67"/>
    <w:rsid w:val="003E5BE7"/>
    <w:rsid w:val="003E658F"/>
    <w:rsid w:val="003E6880"/>
    <w:rsid w:val="003E6DCE"/>
    <w:rsid w:val="003E7157"/>
    <w:rsid w:val="003E728E"/>
    <w:rsid w:val="003E754B"/>
    <w:rsid w:val="003E7663"/>
    <w:rsid w:val="003E77FF"/>
    <w:rsid w:val="003E7851"/>
    <w:rsid w:val="003E7C70"/>
    <w:rsid w:val="003F037C"/>
    <w:rsid w:val="003F0421"/>
    <w:rsid w:val="003F06C4"/>
    <w:rsid w:val="003F0A43"/>
    <w:rsid w:val="003F0EFB"/>
    <w:rsid w:val="003F145A"/>
    <w:rsid w:val="003F1780"/>
    <w:rsid w:val="003F1E72"/>
    <w:rsid w:val="003F2737"/>
    <w:rsid w:val="003F2C73"/>
    <w:rsid w:val="003F31A9"/>
    <w:rsid w:val="003F3213"/>
    <w:rsid w:val="003F3357"/>
    <w:rsid w:val="003F3795"/>
    <w:rsid w:val="003F3799"/>
    <w:rsid w:val="003F382B"/>
    <w:rsid w:val="003F3E0D"/>
    <w:rsid w:val="003F44B1"/>
    <w:rsid w:val="003F44C6"/>
    <w:rsid w:val="003F4727"/>
    <w:rsid w:val="003F488E"/>
    <w:rsid w:val="003F496E"/>
    <w:rsid w:val="003F49AF"/>
    <w:rsid w:val="003F4D81"/>
    <w:rsid w:val="003F4F6D"/>
    <w:rsid w:val="003F5232"/>
    <w:rsid w:val="003F549F"/>
    <w:rsid w:val="003F54B1"/>
    <w:rsid w:val="003F61F7"/>
    <w:rsid w:val="003F6337"/>
    <w:rsid w:val="003F663A"/>
    <w:rsid w:val="003F6658"/>
    <w:rsid w:val="003F679D"/>
    <w:rsid w:val="003F6A28"/>
    <w:rsid w:val="003F6E78"/>
    <w:rsid w:val="003F7118"/>
    <w:rsid w:val="003F7182"/>
    <w:rsid w:val="003F71C4"/>
    <w:rsid w:val="003F7DB1"/>
    <w:rsid w:val="003F7F63"/>
    <w:rsid w:val="00400759"/>
    <w:rsid w:val="00400769"/>
    <w:rsid w:val="004007A0"/>
    <w:rsid w:val="0040089A"/>
    <w:rsid w:val="00400BCD"/>
    <w:rsid w:val="00400E49"/>
    <w:rsid w:val="00400E4F"/>
    <w:rsid w:val="00401F29"/>
    <w:rsid w:val="004020C2"/>
    <w:rsid w:val="00402220"/>
    <w:rsid w:val="0040247C"/>
    <w:rsid w:val="004024C0"/>
    <w:rsid w:val="0040285A"/>
    <w:rsid w:val="004029C2"/>
    <w:rsid w:val="00402B1A"/>
    <w:rsid w:val="00402F20"/>
    <w:rsid w:val="004030A5"/>
    <w:rsid w:val="004036A1"/>
    <w:rsid w:val="004041BA"/>
    <w:rsid w:val="00404245"/>
    <w:rsid w:val="00404923"/>
    <w:rsid w:val="004049FA"/>
    <w:rsid w:val="00404B59"/>
    <w:rsid w:val="00404C00"/>
    <w:rsid w:val="00404CA3"/>
    <w:rsid w:val="004050DA"/>
    <w:rsid w:val="00405240"/>
    <w:rsid w:val="00405565"/>
    <w:rsid w:val="00405626"/>
    <w:rsid w:val="00405689"/>
    <w:rsid w:val="004057AD"/>
    <w:rsid w:val="00405804"/>
    <w:rsid w:val="00405879"/>
    <w:rsid w:val="00405947"/>
    <w:rsid w:val="00405AE0"/>
    <w:rsid w:val="00405B4A"/>
    <w:rsid w:val="00405D1C"/>
    <w:rsid w:val="00405FD2"/>
    <w:rsid w:val="00406CA6"/>
    <w:rsid w:val="0040714F"/>
    <w:rsid w:val="004071A2"/>
    <w:rsid w:val="00407335"/>
    <w:rsid w:val="004075BD"/>
    <w:rsid w:val="004077D8"/>
    <w:rsid w:val="00407DD6"/>
    <w:rsid w:val="00410094"/>
    <w:rsid w:val="0041036B"/>
    <w:rsid w:val="0041061D"/>
    <w:rsid w:val="004109CC"/>
    <w:rsid w:val="00410A34"/>
    <w:rsid w:val="00410A55"/>
    <w:rsid w:val="00410EC0"/>
    <w:rsid w:val="00411021"/>
    <w:rsid w:val="00411278"/>
    <w:rsid w:val="004114B7"/>
    <w:rsid w:val="00411D4D"/>
    <w:rsid w:val="00411EA7"/>
    <w:rsid w:val="00411F96"/>
    <w:rsid w:val="004120E6"/>
    <w:rsid w:val="00412297"/>
    <w:rsid w:val="0041233E"/>
    <w:rsid w:val="004125B2"/>
    <w:rsid w:val="00412AE6"/>
    <w:rsid w:val="00412B3E"/>
    <w:rsid w:val="00412C3F"/>
    <w:rsid w:val="00413025"/>
    <w:rsid w:val="00413597"/>
    <w:rsid w:val="00413696"/>
    <w:rsid w:val="00413811"/>
    <w:rsid w:val="00413FB3"/>
    <w:rsid w:val="00414437"/>
    <w:rsid w:val="004148FA"/>
    <w:rsid w:val="00414BF3"/>
    <w:rsid w:val="00415076"/>
    <w:rsid w:val="0041513A"/>
    <w:rsid w:val="00415150"/>
    <w:rsid w:val="00415175"/>
    <w:rsid w:val="004154C0"/>
    <w:rsid w:val="004154FA"/>
    <w:rsid w:val="00415513"/>
    <w:rsid w:val="0041576D"/>
    <w:rsid w:val="00415A9D"/>
    <w:rsid w:val="00415AA9"/>
    <w:rsid w:val="0041649B"/>
    <w:rsid w:val="00416640"/>
    <w:rsid w:val="004167B0"/>
    <w:rsid w:val="004168CE"/>
    <w:rsid w:val="00416E20"/>
    <w:rsid w:val="004176C0"/>
    <w:rsid w:val="00417ABB"/>
    <w:rsid w:val="00417D8A"/>
    <w:rsid w:val="00417DA1"/>
    <w:rsid w:val="00417EF8"/>
    <w:rsid w:val="00417FBD"/>
    <w:rsid w:val="00420190"/>
    <w:rsid w:val="0042032F"/>
    <w:rsid w:val="0042034B"/>
    <w:rsid w:val="00420BA4"/>
    <w:rsid w:val="00420EB0"/>
    <w:rsid w:val="00421452"/>
    <w:rsid w:val="004217B5"/>
    <w:rsid w:val="00422404"/>
    <w:rsid w:val="00422528"/>
    <w:rsid w:val="00422BD7"/>
    <w:rsid w:val="004233CA"/>
    <w:rsid w:val="004235F2"/>
    <w:rsid w:val="004235FF"/>
    <w:rsid w:val="004239AD"/>
    <w:rsid w:val="00423B2F"/>
    <w:rsid w:val="00424575"/>
    <w:rsid w:val="00424763"/>
    <w:rsid w:val="00424A4C"/>
    <w:rsid w:val="00424CB5"/>
    <w:rsid w:val="0042565C"/>
    <w:rsid w:val="00425C7E"/>
    <w:rsid w:val="00425D2D"/>
    <w:rsid w:val="00425EC9"/>
    <w:rsid w:val="0042615D"/>
    <w:rsid w:val="004262AD"/>
    <w:rsid w:val="00427015"/>
    <w:rsid w:val="00427066"/>
    <w:rsid w:val="00427156"/>
    <w:rsid w:val="004274DA"/>
    <w:rsid w:val="0042797D"/>
    <w:rsid w:val="00427BC2"/>
    <w:rsid w:val="00430200"/>
    <w:rsid w:val="0043066C"/>
    <w:rsid w:val="0043069C"/>
    <w:rsid w:val="00430711"/>
    <w:rsid w:val="00430E5F"/>
    <w:rsid w:val="00431142"/>
    <w:rsid w:val="00431577"/>
    <w:rsid w:val="0043170E"/>
    <w:rsid w:val="00431D20"/>
    <w:rsid w:val="00431E0A"/>
    <w:rsid w:val="00431FEE"/>
    <w:rsid w:val="00432324"/>
    <w:rsid w:val="0043233D"/>
    <w:rsid w:val="00433121"/>
    <w:rsid w:val="0043317D"/>
    <w:rsid w:val="00433399"/>
    <w:rsid w:val="00433F59"/>
    <w:rsid w:val="004344FF"/>
    <w:rsid w:val="00434A5F"/>
    <w:rsid w:val="004351A0"/>
    <w:rsid w:val="0043538A"/>
    <w:rsid w:val="00435588"/>
    <w:rsid w:val="00435826"/>
    <w:rsid w:val="00435A99"/>
    <w:rsid w:val="00435B9F"/>
    <w:rsid w:val="004361D6"/>
    <w:rsid w:val="0043621E"/>
    <w:rsid w:val="0043628A"/>
    <w:rsid w:val="0043657F"/>
    <w:rsid w:val="0043670B"/>
    <w:rsid w:val="004367DB"/>
    <w:rsid w:val="00436A2D"/>
    <w:rsid w:val="00436EAA"/>
    <w:rsid w:val="00436F8F"/>
    <w:rsid w:val="00436FC4"/>
    <w:rsid w:val="004371E9"/>
    <w:rsid w:val="0043754C"/>
    <w:rsid w:val="004375B8"/>
    <w:rsid w:val="00437719"/>
    <w:rsid w:val="00437979"/>
    <w:rsid w:val="00437A6B"/>
    <w:rsid w:val="00437AA4"/>
    <w:rsid w:val="00437BD4"/>
    <w:rsid w:val="00437C29"/>
    <w:rsid w:val="00437C62"/>
    <w:rsid w:val="00440030"/>
    <w:rsid w:val="0044009B"/>
    <w:rsid w:val="00440100"/>
    <w:rsid w:val="00440281"/>
    <w:rsid w:val="00440310"/>
    <w:rsid w:val="00440341"/>
    <w:rsid w:val="00441369"/>
    <w:rsid w:val="0044156B"/>
    <w:rsid w:val="0044157C"/>
    <w:rsid w:val="004418C0"/>
    <w:rsid w:val="0044195A"/>
    <w:rsid w:val="00441C2C"/>
    <w:rsid w:val="00441C6A"/>
    <w:rsid w:val="00442064"/>
    <w:rsid w:val="004420A2"/>
    <w:rsid w:val="004423D6"/>
    <w:rsid w:val="00442409"/>
    <w:rsid w:val="00442515"/>
    <w:rsid w:val="00442569"/>
    <w:rsid w:val="00442976"/>
    <w:rsid w:val="00442B88"/>
    <w:rsid w:val="00442DB3"/>
    <w:rsid w:val="00442F5C"/>
    <w:rsid w:val="0044308D"/>
    <w:rsid w:val="0044313D"/>
    <w:rsid w:val="00443297"/>
    <w:rsid w:val="00443728"/>
    <w:rsid w:val="00443DA1"/>
    <w:rsid w:val="00443EB5"/>
    <w:rsid w:val="00443F9A"/>
    <w:rsid w:val="00444244"/>
    <w:rsid w:val="00444852"/>
    <w:rsid w:val="004449BD"/>
    <w:rsid w:val="00444CF5"/>
    <w:rsid w:val="00444E4F"/>
    <w:rsid w:val="00444EC1"/>
    <w:rsid w:val="00444EF3"/>
    <w:rsid w:val="00444F99"/>
    <w:rsid w:val="004452D3"/>
    <w:rsid w:val="00445414"/>
    <w:rsid w:val="0044582E"/>
    <w:rsid w:val="004459DE"/>
    <w:rsid w:val="00445AA9"/>
    <w:rsid w:val="00445AAE"/>
    <w:rsid w:val="00445BF4"/>
    <w:rsid w:val="00446010"/>
    <w:rsid w:val="004465B3"/>
    <w:rsid w:val="00446A68"/>
    <w:rsid w:val="00446C04"/>
    <w:rsid w:val="004471A5"/>
    <w:rsid w:val="0044789B"/>
    <w:rsid w:val="00447901"/>
    <w:rsid w:val="00447A62"/>
    <w:rsid w:val="00447BDF"/>
    <w:rsid w:val="00447F46"/>
    <w:rsid w:val="004507E3"/>
    <w:rsid w:val="00450D4C"/>
    <w:rsid w:val="00450EB1"/>
    <w:rsid w:val="004510F4"/>
    <w:rsid w:val="00451272"/>
    <w:rsid w:val="00451962"/>
    <w:rsid w:val="00451A62"/>
    <w:rsid w:val="00451B1E"/>
    <w:rsid w:val="00451F4D"/>
    <w:rsid w:val="0045247D"/>
    <w:rsid w:val="0045290C"/>
    <w:rsid w:val="00452D65"/>
    <w:rsid w:val="00453011"/>
    <w:rsid w:val="00453129"/>
    <w:rsid w:val="004535BD"/>
    <w:rsid w:val="004537F0"/>
    <w:rsid w:val="004538D7"/>
    <w:rsid w:val="00453BEA"/>
    <w:rsid w:val="00453CEF"/>
    <w:rsid w:val="004544F6"/>
    <w:rsid w:val="00454538"/>
    <w:rsid w:val="00454F96"/>
    <w:rsid w:val="0045541C"/>
    <w:rsid w:val="004556A4"/>
    <w:rsid w:val="0045576A"/>
    <w:rsid w:val="0045600E"/>
    <w:rsid w:val="004561F5"/>
    <w:rsid w:val="004562A7"/>
    <w:rsid w:val="00456426"/>
    <w:rsid w:val="00456493"/>
    <w:rsid w:val="00456512"/>
    <w:rsid w:val="00456597"/>
    <w:rsid w:val="00456705"/>
    <w:rsid w:val="00456799"/>
    <w:rsid w:val="00456B85"/>
    <w:rsid w:val="00456D45"/>
    <w:rsid w:val="004575C8"/>
    <w:rsid w:val="004601BC"/>
    <w:rsid w:val="004604E8"/>
    <w:rsid w:val="00460609"/>
    <w:rsid w:val="004608D4"/>
    <w:rsid w:val="00460B33"/>
    <w:rsid w:val="0046106E"/>
    <w:rsid w:val="00461257"/>
    <w:rsid w:val="004615C7"/>
    <w:rsid w:val="00461849"/>
    <w:rsid w:val="00461EA6"/>
    <w:rsid w:val="00461EDD"/>
    <w:rsid w:val="004622E0"/>
    <w:rsid w:val="00462B79"/>
    <w:rsid w:val="0046305A"/>
    <w:rsid w:val="0046357F"/>
    <w:rsid w:val="00463695"/>
    <w:rsid w:val="00463994"/>
    <w:rsid w:val="0046409D"/>
    <w:rsid w:val="004641A1"/>
    <w:rsid w:val="0046471C"/>
    <w:rsid w:val="00464A4F"/>
    <w:rsid w:val="00464A9D"/>
    <w:rsid w:val="00464AFA"/>
    <w:rsid w:val="00464FBA"/>
    <w:rsid w:val="00465093"/>
    <w:rsid w:val="00465100"/>
    <w:rsid w:val="004652BA"/>
    <w:rsid w:val="0046554A"/>
    <w:rsid w:val="0046555C"/>
    <w:rsid w:val="0046576C"/>
    <w:rsid w:val="00465786"/>
    <w:rsid w:val="004658F0"/>
    <w:rsid w:val="00465B95"/>
    <w:rsid w:val="00465F94"/>
    <w:rsid w:val="004660D9"/>
    <w:rsid w:val="00466985"/>
    <w:rsid w:val="0046698C"/>
    <w:rsid w:val="004669AE"/>
    <w:rsid w:val="00466A57"/>
    <w:rsid w:val="00466A77"/>
    <w:rsid w:val="00466BBC"/>
    <w:rsid w:val="00466EB1"/>
    <w:rsid w:val="004672D0"/>
    <w:rsid w:val="00467593"/>
    <w:rsid w:val="0046765A"/>
    <w:rsid w:val="00467AF0"/>
    <w:rsid w:val="00467BBB"/>
    <w:rsid w:val="00467E00"/>
    <w:rsid w:val="004700BC"/>
    <w:rsid w:val="00470384"/>
    <w:rsid w:val="004703E1"/>
    <w:rsid w:val="00470698"/>
    <w:rsid w:val="00470716"/>
    <w:rsid w:val="00470766"/>
    <w:rsid w:val="00470768"/>
    <w:rsid w:val="00470D3C"/>
    <w:rsid w:val="00470F76"/>
    <w:rsid w:val="00471265"/>
    <w:rsid w:val="00471323"/>
    <w:rsid w:val="004713BA"/>
    <w:rsid w:val="00471909"/>
    <w:rsid w:val="00471944"/>
    <w:rsid w:val="00471B0C"/>
    <w:rsid w:val="00471FC1"/>
    <w:rsid w:val="00472197"/>
    <w:rsid w:val="00472210"/>
    <w:rsid w:val="0047248E"/>
    <w:rsid w:val="0047299D"/>
    <w:rsid w:val="00472B8B"/>
    <w:rsid w:val="00472C9E"/>
    <w:rsid w:val="00472D6C"/>
    <w:rsid w:val="004732A5"/>
    <w:rsid w:val="004732EF"/>
    <w:rsid w:val="004734E3"/>
    <w:rsid w:val="004736BB"/>
    <w:rsid w:val="00473B0A"/>
    <w:rsid w:val="004741D8"/>
    <w:rsid w:val="004745A3"/>
    <w:rsid w:val="00474938"/>
    <w:rsid w:val="00474C90"/>
    <w:rsid w:val="004750A3"/>
    <w:rsid w:val="0047516B"/>
    <w:rsid w:val="0047524C"/>
    <w:rsid w:val="004752C6"/>
    <w:rsid w:val="00475710"/>
    <w:rsid w:val="00476439"/>
    <w:rsid w:val="004769D1"/>
    <w:rsid w:val="00476EEE"/>
    <w:rsid w:val="004772D1"/>
    <w:rsid w:val="00477A67"/>
    <w:rsid w:val="00477D9D"/>
    <w:rsid w:val="00477EF9"/>
    <w:rsid w:val="00480509"/>
    <w:rsid w:val="00480722"/>
    <w:rsid w:val="0048094B"/>
    <w:rsid w:val="004809BA"/>
    <w:rsid w:val="00480AF4"/>
    <w:rsid w:val="004811FF"/>
    <w:rsid w:val="0048147B"/>
    <w:rsid w:val="0048160E"/>
    <w:rsid w:val="00481664"/>
    <w:rsid w:val="0048171E"/>
    <w:rsid w:val="00481BC2"/>
    <w:rsid w:val="00482714"/>
    <w:rsid w:val="00482766"/>
    <w:rsid w:val="00482B6C"/>
    <w:rsid w:val="004833CE"/>
    <w:rsid w:val="00483491"/>
    <w:rsid w:val="00483649"/>
    <w:rsid w:val="0048365D"/>
    <w:rsid w:val="00483C40"/>
    <w:rsid w:val="0048412E"/>
    <w:rsid w:val="00484383"/>
    <w:rsid w:val="00484407"/>
    <w:rsid w:val="00484953"/>
    <w:rsid w:val="00484CC4"/>
    <w:rsid w:val="00484D5E"/>
    <w:rsid w:val="00484D77"/>
    <w:rsid w:val="00484EC1"/>
    <w:rsid w:val="0048525A"/>
    <w:rsid w:val="004852EA"/>
    <w:rsid w:val="00485321"/>
    <w:rsid w:val="00485400"/>
    <w:rsid w:val="00485C21"/>
    <w:rsid w:val="00486304"/>
    <w:rsid w:val="004863F0"/>
    <w:rsid w:val="00486B52"/>
    <w:rsid w:val="00486E7A"/>
    <w:rsid w:val="00486FE7"/>
    <w:rsid w:val="00487254"/>
    <w:rsid w:val="0048726A"/>
    <w:rsid w:val="00487739"/>
    <w:rsid w:val="00487809"/>
    <w:rsid w:val="00487C3D"/>
    <w:rsid w:val="0049041A"/>
    <w:rsid w:val="0049043F"/>
    <w:rsid w:val="00490569"/>
    <w:rsid w:val="00490FA6"/>
    <w:rsid w:val="00491093"/>
    <w:rsid w:val="004915AE"/>
    <w:rsid w:val="004915CA"/>
    <w:rsid w:val="00491977"/>
    <w:rsid w:val="00491C98"/>
    <w:rsid w:val="00491F05"/>
    <w:rsid w:val="00491FB5"/>
    <w:rsid w:val="00492236"/>
    <w:rsid w:val="00492926"/>
    <w:rsid w:val="004930DD"/>
    <w:rsid w:val="004931D7"/>
    <w:rsid w:val="004931FF"/>
    <w:rsid w:val="00493C84"/>
    <w:rsid w:val="0049431F"/>
    <w:rsid w:val="0049440B"/>
    <w:rsid w:val="0049468B"/>
    <w:rsid w:val="00494840"/>
    <w:rsid w:val="00494E23"/>
    <w:rsid w:val="00494E9F"/>
    <w:rsid w:val="00495461"/>
    <w:rsid w:val="0049547B"/>
    <w:rsid w:val="0049569D"/>
    <w:rsid w:val="0049580D"/>
    <w:rsid w:val="00495967"/>
    <w:rsid w:val="00495C89"/>
    <w:rsid w:val="00495D4F"/>
    <w:rsid w:val="00495DF0"/>
    <w:rsid w:val="00495FBE"/>
    <w:rsid w:val="00496324"/>
    <w:rsid w:val="0049665E"/>
    <w:rsid w:val="004969FA"/>
    <w:rsid w:val="00496CE0"/>
    <w:rsid w:val="00496E99"/>
    <w:rsid w:val="00497270"/>
    <w:rsid w:val="004973CB"/>
    <w:rsid w:val="00497442"/>
    <w:rsid w:val="0049759D"/>
    <w:rsid w:val="00497968"/>
    <w:rsid w:val="004A00B9"/>
    <w:rsid w:val="004A02E3"/>
    <w:rsid w:val="004A03CB"/>
    <w:rsid w:val="004A074B"/>
    <w:rsid w:val="004A19B8"/>
    <w:rsid w:val="004A2226"/>
    <w:rsid w:val="004A27AB"/>
    <w:rsid w:val="004A2D18"/>
    <w:rsid w:val="004A2D54"/>
    <w:rsid w:val="004A329A"/>
    <w:rsid w:val="004A3341"/>
    <w:rsid w:val="004A3388"/>
    <w:rsid w:val="004A3520"/>
    <w:rsid w:val="004A3A66"/>
    <w:rsid w:val="004A3EAB"/>
    <w:rsid w:val="004A41FE"/>
    <w:rsid w:val="004A4255"/>
    <w:rsid w:val="004A4498"/>
    <w:rsid w:val="004A46E2"/>
    <w:rsid w:val="004A46E6"/>
    <w:rsid w:val="004A4782"/>
    <w:rsid w:val="004A502F"/>
    <w:rsid w:val="004A52EA"/>
    <w:rsid w:val="004A55B6"/>
    <w:rsid w:val="004A5610"/>
    <w:rsid w:val="004A63E4"/>
    <w:rsid w:val="004A64D9"/>
    <w:rsid w:val="004A7450"/>
    <w:rsid w:val="004A74B7"/>
    <w:rsid w:val="004A7562"/>
    <w:rsid w:val="004A76C5"/>
    <w:rsid w:val="004A7A62"/>
    <w:rsid w:val="004B04F2"/>
    <w:rsid w:val="004B1047"/>
    <w:rsid w:val="004B11FB"/>
    <w:rsid w:val="004B1443"/>
    <w:rsid w:val="004B1452"/>
    <w:rsid w:val="004B1634"/>
    <w:rsid w:val="004B1B77"/>
    <w:rsid w:val="004B1BEE"/>
    <w:rsid w:val="004B1C50"/>
    <w:rsid w:val="004B1D59"/>
    <w:rsid w:val="004B2AC4"/>
    <w:rsid w:val="004B3462"/>
    <w:rsid w:val="004B40FC"/>
    <w:rsid w:val="004B423C"/>
    <w:rsid w:val="004B44BE"/>
    <w:rsid w:val="004B46D4"/>
    <w:rsid w:val="004B4B17"/>
    <w:rsid w:val="004B4D6B"/>
    <w:rsid w:val="004B5055"/>
    <w:rsid w:val="004B5073"/>
    <w:rsid w:val="004B579B"/>
    <w:rsid w:val="004B58A7"/>
    <w:rsid w:val="004B5A40"/>
    <w:rsid w:val="004B5AE1"/>
    <w:rsid w:val="004B5B11"/>
    <w:rsid w:val="004B5C6F"/>
    <w:rsid w:val="004B5DAA"/>
    <w:rsid w:val="004B61FB"/>
    <w:rsid w:val="004B6666"/>
    <w:rsid w:val="004B69EB"/>
    <w:rsid w:val="004B6BA0"/>
    <w:rsid w:val="004B6EB6"/>
    <w:rsid w:val="004C0196"/>
    <w:rsid w:val="004C0575"/>
    <w:rsid w:val="004C06A6"/>
    <w:rsid w:val="004C0861"/>
    <w:rsid w:val="004C09F8"/>
    <w:rsid w:val="004C0C29"/>
    <w:rsid w:val="004C1727"/>
    <w:rsid w:val="004C1EBF"/>
    <w:rsid w:val="004C207A"/>
    <w:rsid w:val="004C228A"/>
    <w:rsid w:val="004C24D0"/>
    <w:rsid w:val="004C262C"/>
    <w:rsid w:val="004C2B0F"/>
    <w:rsid w:val="004C2CB7"/>
    <w:rsid w:val="004C2F42"/>
    <w:rsid w:val="004C2F8F"/>
    <w:rsid w:val="004C2FED"/>
    <w:rsid w:val="004C30C5"/>
    <w:rsid w:val="004C322F"/>
    <w:rsid w:val="004C365E"/>
    <w:rsid w:val="004C3944"/>
    <w:rsid w:val="004C3AC0"/>
    <w:rsid w:val="004C3BD6"/>
    <w:rsid w:val="004C4705"/>
    <w:rsid w:val="004C4C06"/>
    <w:rsid w:val="004C5143"/>
    <w:rsid w:val="004C522D"/>
    <w:rsid w:val="004C5666"/>
    <w:rsid w:val="004C6094"/>
    <w:rsid w:val="004C67A7"/>
    <w:rsid w:val="004C75C7"/>
    <w:rsid w:val="004C76A7"/>
    <w:rsid w:val="004C7ABF"/>
    <w:rsid w:val="004D049D"/>
    <w:rsid w:val="004D05B7"/>
    <w:rsid w:val="004D1201"/>
    <w:rsid w:val="004D1936"/>
    <w:rsid w:val="004D1E4B"/>
    <w:rsid w:val="004D21D5"/>
    <w:rsid w:val="004D2562"/>
    <w:rsid w:val="004D275B"/>
    <w:rsid w:val="004D293C"/>
    <w:rsid w:val="004D2BAF"/>
    <w:rsid w:val="004D2BE1"/>
    <w:rsid w:val="004D2C19"/>
    <w:rsid w:val="004D2D67"/>
    <w:rsid w:val="004D2DF1"/>
    <w:rsid w:val="004D2FA8"/>
    <w:rsid w:val="004D312D"/>
    <w:rsid w:val="004D3302"/>
    <w:rsid w:val="004D3867"/>
    <w:rsid w:val="004D3CDA"/>
    <w:rsid w:val="004D3D86"/>
    <w:rsid w:val="004D4080"/>
    <w:rsid w:val="004D4131"/>
    <w:rsid w:val="004D4E03"/>
    <w:rsid w:val="004D5134"/>
    <w:rsid w:val="004D5196"/>
    <w:rsid w:val="004D529E"/>
    <w:rsid w:val="004D5330"/>
    <w:rsid w:val="004D55AE"/>
    <w:rsid w:val="004D5A8B"/>
    <w:rsid w:val="004D5AC1"/>
    <w:rsid w:val="004D5CE8"/>
    <w:rsid w:val="004D5F00"/>
    <w:rsid w:val="004D5FA0"/>
    <w:rsid w:val="004D6545"/>
    <w:rsid w:val="004D6552"/>
    <w:rsid w:val="004D6B15"/>
    <w:rsid w:val="004D6CD0"/>
    <w:rsid w:val="004D6D54"/>
    <w:rsid w:val="004D6DD6"/>
    <w:rsid w:val="004D72BD"/>
    <w:rsid w:val="004D7AFE"/>
    <w:rsid w:val="004D7D6E"/>
    <w:rsid w:val="004D7F95"/>
    <w:rsid w:val="004E0152"/>
    <w:rsid w:val="004E0586"/>
    <w:rsid w:val="004E0A57"/>
    <w:rsid w:val="004E0B69"/>
    <w:rsid w:val="004E0C4C"/>
    <w:rsid w:val="004E1425"/>
    <w:rsid w:val="004E1BB3"/>
    <w:rsid w:val="004E204A"/>
    <w:rsid w:val="004E2337"/>
    <w:rsid w:val="004E25D5"/>
    <w:rsid w:val="004E2693"/>
    <w:rsid w:val="004E2A97"/>
    <w:rsid w:val="004E2B37"/>
    <w:rsid w:val="004E323D"/>
    <w:rsid w:val="004E344A"/>
    <w:rsid w:val="004E37E7"/>
    <w:rsid w:val="004E397C"/>
    <w:rsid w:val="004E3AA2"/>
    <w:rsid w:val="004E4057"/>
    <w:rsid w:val="004E4184"/>
    <w:rsid w:val="004E422B"/>
    <w:rsid w:val="004E47D1"/>
    <w:rsid w:val="004E4B02"/>
    <w:rsid w:val="004E4D6F"/>
    <w:rsid w:val="004E4D84"/>
    <w:rsid w:val="004E51C0"/>
    <w:rsid w:val="004E5683"/>
    <w:rsid w:val="004E5980"/>
    <w:rsid w:val="004E59A9"/>
    <w:rsid w:val="004E5BEA"/>
    <w:rsid w:val="004E5FD9"/>
    <w:rsid w:val="004E61CC"/>
    <w:rsid w:val="004E6501"/>
    <w:rsid w:val="004E66F2"/>
    <w:rsid w:val="004E6D5A"/>
    <w:rsid w:val="004E6DAB"/>
    <w:rsid w:val="004E6DBE"/>
    <w:rsid w:val="004E7373"/>
    <w:rsid w:val="004E7754"/>
    <w:rsid w:val="004E7785"/>
    <w:rsid w:val="004E7891"/>
    <w:rsid w:val="004E7B70"/>
    <w:rsid w:val="004E7E06"/>
    <w:rsid w:val="004F0126"/>
    <w:rsid w:val="004F0900"/>
    <w:rsid w:val="004F0F28"/>
    <w:rsid w:val="004F1349"/>
    <w:rsid w:val="004F14AD"/>
    <w:rsid w:val="004F17D8"/>
    <w:rsid w:val="004F1E47"/>
    <w:rsid w:val="004F1FAC"/>
    <w:rsid w:val="004F2503"/>
    <w:rsid w:val="004F2903"/>
    <w:rsid w:val="004F2D4E"/>
    <w:rsid w:val="004F2E21"/>
    <w:rsid w:val="004F3074"/>
    <w:rsid w:val="004F350A"/>
    <w:rsid w:val="004F38C5"/>
    <w:rsid w:val="004F3DD0"/>
    <w:rsid w:val="004F3EC9"/>
    <w:rsid w:val="004F400E"/>
    <w:rsid w:val="004F420E"/>
    <w:rsid w:val="004F45A3"/>
    <w:rsid w:val="004F4604"/>
    <w:rsid w:val="004F4903"/>
    <w:rsid w:val="004F49FE"/>
    <w:rsid w:val="004F4A4D"/>
    <w:rsid w:val="004F4A87"/>
    <w:rsid w:val="004F4B7D"/>
    <w:rsid w:val="004F4EDC"/>
    <w:rsid w:val="004F52D8"/>
    <w:rsid w:val="004F5835"/>
    <w:rsid w:val="004F597A"/>
    <w:rsid w:val="004F5B96"/>
    <w:rsid w:val="004F5E54"/>
    <w:rsid w:val="004F5E72"/>
    <w:rsid w:val="004F5FB1"/>
    <w:rsid w:val="004F60F6"/>
    <w:rsid w:val="004F6667"/>
    <w:rsid w:val="004F7051"/>
    <w:rsid w:val="004F7168"/>
    <w:rsid w:val="004F71A8"/>
    <w:rsid w:val="004F73B1"/>
    <w:rsid w:val="004F781B"/>
    <w:rsid w:val="004F7DBD"/>
    <w:rsid w:val="005001C8"/>
    <w:rsid w:val="005005D8"/>
    <w:rsid w:val="00500673"/>
    <w:rsid w:val="00500A5F"/>
    <w:rsid w:val="00500AB4"/>
    <w:rsid w:val="00500C01"/>
    <w:rsid w:val="00501190"/>
    <w:rsid w:val="00501398"/>
    <w:rsid w:val="005014AB"/>
    <w:rsid w:val="005017D6"/>
    <w:rsid w:val="005019F1"/>
    <w:rsid w:val="00501FFA"/>
    <w:rsid w:val="005025D9"/>
    <w:rsid w:val="00502668"/>
    <w:rsid w:val="00502983"/>
    <w:rsid w:val="00502B93"/>
    <w:rsid w:val="005031DD"/>
    <w:rsid w:val="00503531"/>
    <w:rsid w:val="0050399D"/>
    <w:rsid w:val="00503D2B"/>
    <w:rsid w:val="00504158"/>
    <w:rsid w:val="0050450E"/>
    <w:rsid w:val="00504632"/>
    <w:rsid w:val="00504CC5"/>
    <w:rsid w:val="005051CE"/>
    <w:rsid w:val="0050580C"/>
    <w:rsid w:val="00505A11"/>
    <w:rsid w:val="00505B70"/>
    <w:rsid w:val="00505DD4"/>
    <w:rsid w:val="00505F55"/>
    <w:rsid w:val="00506733"/>
    <w:rsid w:val="00506D51"/>
    <w:rsid w:val="00506E40"/>
    <w:rsid w:val="00506E8A"/>
    <w:rsid w:val="00507014"/>
    <w:rsid w:val="005071B9"/>
    <w:rsid w:val="00507CAE"/>
    <w:rsid w:val="00507D5F"/>
    <w:rsid w:val="00510288"/>
    <w:rsid w:val="005102A6"/>
    <w:rsid w:val="005103D0"/>
    <w:rsid w:val="00510431"/>
    <w:rsid w:val="005106ED"/>
    <w:rsid w:val="005108B5"/>
    <w:rsid w:val="0051098B"/>
    <w:rsid w:val="00510A15"/>
    <w:rsid w:val="00510BFC"/>
    <w:rsid w:val="00510F14"/>
    <w:rsid w:val="00510F2A"/>
    <w:rsid w:val="00511140"/>
    <w:rsid w:val="005114F3"/>
    <w:rsid w:val="005115DC"/>
    <w:rsid w:val="00511817"/>
    <w:rsid w:val="00511AFB"/>
    <w:rsid w:val="00511CA5"/>
    <w:rsid w:val="0051248D"/>
    <w:rsid w:val="005126D2"/>
    <w:rsid w:val="00512776"/>
    <w:rsid w:val="005129EE"/>
    <w:rsid w:val="00512BDB"/>
    <w:rsid w:val="00512E2E"/>
    <w:rsid w:val="005130E6"/>
    <w:rsid w:val="005132DD"/>
    <w:rsid w:val="00513B04"/>
    <w:rsid w:val="00514480"/>
    <w:rsid w:val="005145F8"/>
    <w:rsid w:val="00514784"/>
    <w:rsid w:val="00515E4F"/>
    <w:rsid w:val="005162DA"/>
    <w:rsid w:val="005167B5"/>
    <w:rsid w:val="00516DB5"/>
    <w:rsid w:val="00516DBC"/>
    <w:rsid w:val="00517394"/>
    <w:rsid w:val="00517557"/>
    <w:rsid w:val="00517688"/>
    <w:rsid w:val="00517770"/>
    <w:rsid w:val="00517DC1"/>
    <w:rsid w:val="00517F99"/>
    <w:rsid w:val="005201B9"/>
    <w:rsid w:val="00520229"/>
    <w:rsid w:val="00520481"/>
    <w:rsid w:val="0052091B"/>
    <w:rsid w:val="00520943"/>
    <w:rsid w:val="00520FB6"/>
    <w:rsid w:val="0052115C"/>
    <w:rsid w:val="00521181"/>
    <w:rsid w:val="00521316"/>
    <w:rsid w:val="005215CC"/>
    <w:rsid w:val="00521636"/>
    <w:rsid w:val="0052175B"/>
    <w:rsid w:val="0052184E"/>
    <w:rsid w:val="00521951"/>
    <w:rsid w:val="0052199A"/>
    <w:rsid w:val="00521ABF"/>
    <w:rsid w:val="00521E53"/>
    <w:rsid w:val="00521E78"/>
    <w:rsid w:val="0052213B"/>
    <w:rsid w:val="00522907"/>
    <w:rsid w:val="00522A08"/>
    <w:rsid w:val="00522A60"/>
    <w:rsid w:val="0052310B"/>
    <w:rsid w:val="005233AF"/>
    <w:rsid w:val="0052367C"/>
    <w:rsid w:val="005243DE"/>
    <w:rsid w:val="00524470"/>
    <w:rsid w:val="00524727"/>
    <w:rsid w:val="0052473F"/>
    <w:rsid w:val="005247EF"/>
    <w:rsid w:val="00524D71"/>
    <w:rsid w:val="00524E1F"/>
    <w:rsid w:val="00524EA1"/>
    <w:rsid w:val="005253DF"/>
    <w:rsid w:val="00525484"/>
    <w:rsid w:val="00525500"/>
    <w:rsid w:val="00525B2C"/>
    <w:rsid w:val="00525D94"/>
    <w:rsid w:val="00526086"/>
    <w:rsid w:val="005261E1"/>
    <w:rsid w:val="005263EB"/>
    <w:rsid w:val="0052687C"/>
    <w:rsid w:val="00526980"/>
    <w:rsid w:val="00526AAB"/>
    <w:rsid w:val="00526B9E"/>
    <w:rsid w:val="00526C90"/>
    <w:rsid w:val="00526CDD"/>
    <w:rsid w:val="0052747B"/>
    <w:rsid w:val="0052760D"/>
    <w:rsid w:val="0052764F"/>
    <w:rsid w:val="00527FFC"/>
    <w:rsid w:val="005303E8"/>
    <w:rsid w:val="00530588"/>
    <w:rsid w:val="0053067C"/>
    <w:rsid w:val="00530719"/>
    <w:rsid w:val="00530AF5"/>
    <w:rsid w:val="00530CE2"/>
    <w:rsid w:val="0053129A"/>
    <w:rsid w:val="0053184D"/>
    <w:rsid w:val="00531A4D"/>
    <w:rsid w:val="00532390"/>
    <w:rsid w:val="005325D0"/>
    <w:rsid w:val="00533050"/>
    <w:rsid w:val="005331A6"/>
    <w:rsid w:val="00533359"/>
    <w:rsid w:val="005333E7"/>
    <w:rsid w:val="0053357A"/>
    <w:rsid w:val="00533844"/>
    <w:rsid w:val="00533A01"/>
    <w:rsid w:val="00533A1F"/>
    <w:rsid w:val="00533BCB"/>
    <w:rsid w:val="00533C81"/>
    <w:rsid w:val="00533D54"/>
    <w:rsid w:val="00533DF6"/>
    <w:rsid w:val="00534572"/>
    <w:rsid w:val="0053494C"/>
    <w:rsid w:val="00534979"/>
    <w:rsid w:val="00534C24"/>
    <w:rsid w:val="005356BA"/>
    <w:rsid w:val="005358AE"/>
    <w:rsid w:val="00535AAC"/>
    <w:rsid w:val="00535C89"/>
    <w:rsid w:val="00535DBF"/>
    <w:rsid w:val="00535FDF"/>
    <w:rsid w:val="0053658B"/>
    <w:rsid w:val="005367A7"/>
    <w:rsid w:val="00536C68"/>
    <w:rsid w:val="00536DAB"/>
    <w:rsid w:val="00537123"/>
    <w:rsid w:val="005371F5"/>
    <w:rsid w:val="00540C08"/>
    <w:rsid w:val="00540FD1"/>
    <w:rsid w:val="00541642"/>
    <w:rsid w:val="00541B06"/>
    <w:rsid w:val="00541B54"/>
    <w:rsid w:val="00541EE8"/>
    <w:rsid w:val="005424C6"/>
    <w:rsid w:val="00542A53"/>
    <w:rsid w:val="00542CCB"/>
    <w:rsid w:val="00542FA9"/>
    <w:rsid w:val="0054303C"/>
    <w:rsid w:val="00543055"/>
    <w:rsid w:val="00543157"/>
    <w:rsid w:val="00543348"/>
    <w:rsid w:val="0054337B"/>
    <w:rsid w:val="0054394B"/>
    <w:rsid w:val="00543D1E"/>
    <w:rsid w:val="00543D48"/>
    <w:rsid w:val="00543D76"/>
    <w:rsid w:val="00544410"/>
    <w:rsid w:val="0054444A"/>
    <w:rsid w:val="00544783"/>
    <w:rsid w:val="00544B64"/>
    <w:rsid w:val="00544E60"/>
    <w:rsid w:val="00544F33"/>
    <w:rsid w:val="00545104"/>
    <w:rsid w:val="00545590"/>
    <w:rsid w:val="005456B0"/>
    <w:rsid w:val="0054625D"/>
    <w:rsid w:val="00546A27"/>
    <w:rsid w:val="00546BEB"/>
    <w:rsid w:val="00546C05"/>
    <w:rsid w:val="00547193"/>
    <w:rsid w:val="00547264"/>
    <w:rsid w:val="005472D9"/>
    <w:rsid w:val="005475F5"/>
    <w:rsid w:val="0054763C"/>
    <w:rsid w:val="00547B64"/>
    <w:rsid w:val="00547F53"/>
    <w:rsid w:val="00547FDD"/>
    <w:rsid w:val="00550105"/>
    <w:rsid w:val="00550507"/>
    <w:rsid w:val="005507AE"/>
    <w:rsid w:val="005508A1"/>
    <w:rsid w:val="00550911"/>
    <w:rsid w:val="00550FDE"/>
    <w:rsid w:val="005510AD"/>
    <w:rsid w:val="00551164"/>
    <w:rsid w:val="00551262"/>
    <w:rsid w:val="005512D7"/>
    <w:rsid w:val="00551631"/>
    <w:rsid w:val="00551FBE"/>
    <w:rsid w:val="005523B6"/>
    <w:rsid w:val="005526F3"/>
    <w:rsid w:val="00552ED3"/>
    <w:rsid w:val="00552F48"/>
    <w:rsid w:val="00552F7D"/>
    <w:rsid w:val="00553A4A"/>
    <w:rsid w:val="00553BF6"/>
    <w:rsid w:val="00553FAC"/>
    <w:rsid w:val="0055475D"/>
    <w:rsid w:val="00554980"/>
    <w:rsid w:val="00554F42"/>
    <w:rsid w:val="00554FA1"/>
    <w:rsid w:val="00555196"/>
    <w:rsid w:val="00555416"/>
    <w:rsid w:val="0055558A"/>
    <w:rsid w:val="00555A01"/>
    <w:rsid w:val="00555AC6"/>
    <w:rsid w:val="00555CD8"/>
    <w:rsid w:val="005563CC"/>
    <w:rsid w:val="00556629"/>
    <w:rsid w:val="0055667D"/>
    <w:rsid w:val="00556D4C"/>
    <w:rsid w:val="00556E14"/>
    <w:rsid w:val="0055740E"/>
    <w:rsid w:val="00557C4D"/>
    <w:rsid w:val="00557CFB"/>
    <w:rsid w:val="00557F18"/>
    <w:rsid w:val="005600EB"/>
    <w:rsid w:val="00560119"/>
    <w:rsid w:val="005603E4"/>
    <w:rsid w:val="0056044D"/>
    <w:rsid w:val="005605A0"/>
    <w:rsid w:val="00560DD4"/>
    <w:rsid w:val="00560E89"/>
    <w:rsid w:val="00561118"/>
    <w:rsid w:val="0056162A"/>
    <w:rsid w:val="00561A90"/>
    <w:rsid w:val="00561C8F"/>
    <w:rsid w:val="005621FE"/>
    <w:rsid w:val="00562DFB"/>
    <w:rsid w:val="00563333"/>
    <w:rsid w:val="0056358B"/>
    <w:rsid w:val="00563818"/>
    <w:rsid w:val="00563D0F"/>
    <w:rsid w:val="005641B8"/>
    <w:rsid w:val="0056468E"/>
    <w:rsid w:val="00564789"/>
    <w:rsid w:val="00564BD3"/>
    <w:rsid w:val="00564E20"/>
    <w:rsid w:val="005650CD"/>
    <w:rsid w:val="00565164"/>
    <w:rsid w:val="00565283"/>
    <w:rsid w:val="00565568"/>
    <w:rsid w:val="00566127"/>
    <w:rsid w:val="00566164"/>
    <w:rsid w:val="00566460"/>
    <w:rsid w:val="0056690C"/>
    <w:rsid w:val="00566F24"/>
    <w:rsid w:val="00567083"/>
    <w:rsid w:val="00567769"/>
    <w:rsid w:val="00567B34"/>
    <w:rsid w:val="00567D35"/>
    <w:rsid w:val="00567F3D"/>
    <w:rsid w:val="0057000D"/>
    <w:rsid w:val="00570839"/>
    <w:rsid w:val="00570BD4"/>
    <w:rsid w:val="00570C7E"/>
    <w:rsid w:val="00571834"/>
    <w:rsid w:val="00571922"/>
    <w:rsid w:val="0057199C"/>
    <w:rsid w:val="00571C9C"/>
    <w:rsid w:val="00571D83"/>
    <w:rsid w:val="005722E9"/>
    <w:rsid w:val="0057264D"/>
    <w:rsid w:val="00572693"/>
    <w:rsid w:val="005728B8"/>
    <w:rsid w:val="005729BA"/>
    <w:rsid w:val="00572AC5"/>
    <w:rsid w:val="00572BFE"/>
    <w:rsid w:val="00572CFA"/>
    <w:rsid w:val="005732B1"/>
    <w:rsid w:val="00573C56"/>
    <w:rsid w:val="00573C5D"/>
    <w:rsid w:val="00573D71"/>
    <w:rsid w:val="00573DE8"/>
    <w:rsid w:val="00574092"/>
    <w:rsid w:val="00574515"/>
    <w:rsid w:val="005746D3"/>
    <w:rsid w:val="00574A29"/>
    <w:rsid w:val="00574CB1"/>
    <w:rsid w:val="00575595"/>
    <w:rsid w:val="005760C8"/>
    <w:rsid w:val="00576581"/>
    <w:rsid w:val="00576D15"/>
    <w:rsid w:val="00576DBD"/>
    <w:rsid w:val="00576F3B"/>
    <w:rsid w:val="00576FC3"/>
    <w:rsid w:val="005773E0"/>
    <w:rsid w:val="005775E4"/>
    <w:rsid w:val="005778D3"/>
    <w:rsid w:val="0057796D"/>
    <w:rsid w:val="00577ACE"/>
    <w:rsid w:val="00577B2A"/>
    <w:rsid w:val="00577CB8"/>
    <w:rsid w:val="00580158"/>
    <w:rsid w:val="0058033F"/>
    <w:rsid w:val="0058036B"/>
    <w:rsid w:val="00580BE0"/>
    <w:rsid w:val="005811B0"/>
    <w:rsid w:val="0058144A"/>
    <w:rsid w:val="0058160B"/>
    <w:rsid w:val="00581859"/>
    <w:rsid w:val="00581863"/>
    <w:rsid w:val="005818DA"/>
    <w:rsid w:val="00581CFE"/>
    <w:rsid w:val="00582247"/>
    <w:rsid w:val="0058247A"/>
    <w:rsid w:val="00582B4F"/>
    <w:rsid w:val="00582BE2"/>
    <w:rsid w:val="005830A3"/>
    <w:rsid w:val="005832EC"/>
    <w:rsid w:val="00583ABA"/>
    <w:rsid w:val="00583B1B"/>
    <w:rsid w:val="00583D76"/>
    <w:rsid w:val="00583DE5"/>
    <w:rsid w:val="005840A7"/>
    <w:rsid w:val="005843ED"/>
    <w:rsid w:val="00584987"/>
    <w:rsid w:val="00584C9B"/>
    <w:rsid w:val="0058536E"/>
    <w:rsid w:val="005853B9"/>
    <w:rsid w:val="00585685"/>
    <w:rsid w:val="0058596A"/>
    <w:rsid w:val="005861B6"/>
    <w:rsid w:val="00586560"/>
    <w:rsid w:val="00586C93"/>
    <w:rsid w:val="00587501"/>
    <w:rsid w:val="005903C4"/>
    <w:rsid w:val="00590C40"/>
    <w:rsid w:val="00590DB6"/>
    <w:rsid w:val="00590EC2"/>
    <w:rsid w:val="005912DB"/>
    <w:rsid w:val="005915C9"/>
    <w:rsid w:val="00591877"/>
    <w:rsid w:val="005919E0"/>
    <w:rsid w:val="00591EF0"/>
    <w:rsid w:val="005922EB"/>
    <w:rsid w:val="00592373"/>
    <w:rsid w:val="00592517"/>
    <w:rsid w:val="00592549"/>
    <w:rsid w:val="00592E68"/>
    <w:rsid w:val="00592FB6"/>
    <w:rsid w:val="005934BC"/>
    <w:rsid w:val="0059357F"/>
    <w:rsid w:val="005937D6"/>
    <w:rsid w:val="0059387E"/>
    <w:rsid w:val="00593A7D"/>
    <w:rsid w:val="00593AC5"/>
    <w:rsid w:val="00594061"/>
    <w:rsid w:val="0059407F"/>
    <w:rsid w:val="005943CD"/>
    <w:rsid w:val="0059449B"/>
    <w:rsid w:val="005947F8"/>
    <w:rsid w:val="00594806"/>
    <w:rsid w:val="0059482D"/>
    <w:rsid w:val="00594CA3"/>
    <w:rsid w:val="005954D6"/>
    <w:rsid w:val="005959D3"/>
    <w:rsid w:val="00595DF3"/>
    <w:rsid w:val="00596000"/>
    <w:rsid w:val="005963A6"/>
    <w:rsid w:val="00596706"/>
    <w:rsid w:val="00596D5A"/>
    <w:rsid w:val="00596F2C"/>
    <w:rsid w:val="00597265"/>
    <w:rsid w:val="005974D8"/>
    <w:rsid w:val="00597902"/>
    <w:rsid w:val="00597A69"/>
    <w:rsid w:val="00597F9D"/>
    <w:rsid w:val="005A02F6"/>
    <w:rsid w:val="005A0358"/>
    <w:rsid w:val="005A05B4"/>
    <w:rsid w:val="005A0AAA"/>
    <w:rsid w:val="005A0EA9"/>
    <w:rsid w:val="005A0EB5"/>
    <w:rsid w:val="005A119E"/>
    <w:rsid w:val="005A1422"/>
    <w:rsid w:val="005A1481"/>
    <w:rsid w:val="005A1591"/>
    <w:rsid w:val="005A196F"/>
    <w:rsid w:val="005A1A2B"/>
    <w:rsid w:val="005A1B7E"/>
    <w:rsid w:val="005A2494"/>
    <w:rsid w:val="005A28EE"/>
    <w:rsid w:val="005A28FA"/>
    <w:rsid w:val="005A2942"/>
    <w:rsid w:val="005A2DC7"/>
    <w:rsid w:val="005A31A5"/>
    <w:rsid w:val="005A323F"/>
    <w:rsid w:val="005A340D"/>
    <w:rsid w:val="005A3592"/>
    <w:rsid w:val="005A359F"/>
    <w:rsid w:val="005A36DA"/>
    <w:rsid w:val="005A385B"/>
    <w:rsid w:val="005A3908"/>
    <w:rsid w:val="005A3AFE"/>
    <w:rsid w:val="005A40AE"/>
    <w:rsid w:val="005A42AE"/>
    <w:rsid w:val="005A442D"/>
    <w:rsid w:val="005A454D"/>
    <w:rsid w:val="005A4566"/>
    <w:rsid w:val="005A4615"/>
    <w:rsid w:val="005A4645"/>
    <w:rsid w:val="005A47D2"/>
    <w:rsid w:val="005A4961"/>
    <w:rsid w:val="005A4F19"/>
    <w:rsid w:val="005A501B"/>
    <w:rsid w:val="005A5172"/>
    <w:rsid w:val="005A5193"/>
    <w:rsid w:val="005A52AA"/>
    <w:rsid w:val="005A53BB"/>
    <w:rsid w:val="005A5510"/>
    <w:rsid w:val="005A5950"/>
    <w:rsid w:val="005A5FEA"/>
    <w:rsid w:val="005A6521"/>
    <w:rsid w:val="005A66C0"/>
    <w:rsid w:val="005A6E99"/>
    <w:rsid w:val="005A6F3B"/>
    <w:rsid w:val="005A74FA"/>
    <w:rsid w:val="005A776E"/>
    <w:rsid w:val="005A7AB6"/>
    <w:rsid w:val="005A7DDB"/>
    <w:rsid w:val="005B02D8"/>
    <w:rsid w:val="005B043C"/>
    <w:rsid w:val="005B0A64"/>
    <w:rsid w:val="005B0CF8"/>
    <w:rsid w:val="005B1055"/>
    <w:rsid w:val="005B1079"/>
    <w:rsid w:val="005B1095"/>
    <w:rsid w:val="005B1473"/>
    <w:rsid w:val="005B1915"/>
    <w:rsid w:val="005B1CB2"/>
    <w:rsid w:val="005B1F01"/>
    <w:rsid w:val="005B2166"/>
    <w:rsid w:val="005B24E2"/>
    <w:rsid w:val="005B25E3"/>
    <w:rsid w:val="005B35E4"/>
    <w:rsid w:val="005B3684"/>
    <w:rsid w:val="005B3837"/>
    <w:rsid w:val="005B3BCD"/>
    <w:rsid w:val="005B3EC3"/>
    <w:rsid w:val="005B4941"/>
    <w:rsid w:val="005B4974"/>
    <w:rsid w:val="005B4D4C"/>
    <w:rsid w:val="005B4ED4"/>
    <w:rsid w:val="005B5218"/>
    <w:rsid w:val="005B58F0"/>
    <w:rsid w:val="005B59EB"/>
    <w:rsid w:val="005B5A9F"/>
    <w:rsid w:val="005B5F5E"/>
    <w:rsid w:val="005B6658"/>
    <w:rsid w:val="005B6A86"/>
    <w:rsid w:val="005B6B0E"/>
    <w:rsid w:val="005B7254"/>
    <w:rsid w:val="005B773F"/>
    <w:rsid w:val="005B77B3"/>
    <w:rsid w:val="005C00D5"/>
    <w:rsid w:val="005C02A4"/>
    <w:rsid w:val="005C0D38"/>
    <w:rsid w:val="005C0F2F"/>
    <w:rsid w:val="005C12DE"/>
    <w:rsid w:val="005C1378"/>
    <w:rsid w:val="005C17E6"/>
    <w:rsid w:val="005C185E"/>
    <w:rsid w:val="005C1BCA"/>
    <w:rsid w:val="005C2146"/>
    <w:rsid w:val="005C2884"/>
    <w:rsid w:val="005C2999"/>
    <w:rsid w:val="005C2DB4"/>
    <w:rsid w:val="005C3135"/>
    <w:rsid w:val="005C33F7"/>
    <w:rsid w:val="005C3517"/>
    <w:rsid w:val="005C3968"/>
    <w:rsid w:val="005C3C14"/>
    <w:rsid w:val="005C4259"/>
    <w:rsid w:val="005C42BE"/>
    <w:rsid w:val="005C4719"/>
    <w:rsid w:val="005C4DBF"/>
    <w:rsid w:val="005C5039"/>
    <w:rsid w:val="005C530D"/>
    <w:rsid w:val="005C54AD"/>
    <w:rsid w:val="005C565B"/>
    <w:rsid w:val="005C5B56"/>
    <w:rsid w:val="005C5BAA"/>
    <w:rsid w:val="005C5C1E"/>
    <w:rsid w:val="005C5C8D"/>
    <w:rsid w:val="005C5E9A"/>
    <w:rsid w:val="005C5ED9"/>
    <w:rsid w:val="005C68D5"/>
    <w:rsid w:val="005C6B53"/>
    <w:rsid w:val="005C6D01"/>
    <w:rsid w:val="005C6E97"/>
    <w:rsid w:val="005C6EE7"/>
    <w:rsid w:val="005C7379"/>
    <w:rsid w:val="005C739B"/>
    <w:rsid w:val="005C73B1"/>
    <w:rsid w:val="005C7637"/>
    <w:rsid w:val="005C785C"/>
    <w:rsid w:val="005C7F6F"/>
    <w:rsid w:val="005D02E0"/>
    <w:rsid w:val="005D04F9"/>
    <w:rsid w:val="005D067B"/>
    <w:rsid w:val="005D0F97"/>
    <w:rsid w:val="005D1091"/>
    <w:rsid w:val="005D124C"/>
    <w:rsid w:val="005D19D2"/>
    <w:rsid w:val="005D1AC8"/>
    <w:rsid w:val="005D1C53"/>
    <w:rsid w:val="005D1E26"/>
    <w:rsid w:val="005D1EDD"/>
    <w:rsid w:val="005D211F"/>
    <w:rsid w:val="005D2560"/>
    <w:rsid w:val="005D280C"/>
    <w:rsid w:val="005D2C89"/>
    <w:rsid w:val="005D2F05"/>
    <w:rsid w:val="005D31B9"/>
    <w:rsid w:val="005D3339"/>
    <w:rsid w:val="005D362F"/>
    <w:rsid w:val="005D38E5"/>
    <w:rsid w:val="005D3C4B"/>
    <w:rsid w:val="005D40E1"/>
    <w:rsid w:val="005D4218"/>
    <w:rsid w:val="005D4671"/>
    <w:rsid w:val="005D4732"/>
    <w:rsid w:val="005D4885"/>
    <w:rsid w:val="005D4A1B"/>
    <w:rsid w:val="005D4BA8"/>
    <w:rsid w:val="005D5BA9"/>
    <w:rsid w:val="005D604C"/>
    <w:rsid w:val="005D616D"/>
    <w:rsid w:val="005D6B3E"/>
    <w:rsid w:val="005D6D2F"/>
    <w:rsid w:val="005D76CC"/>
    <w:rsid w:val="005D781C"/>
    <w:rsid w:val="005D7DB8"/>
    <w:rsid w:val="005D7E59"/>
    <w:rsid w:val="005E03AC"/>
    <w:rsid w:val="005E0726"/>
    <w:rsid w:val="005E1001"/>
    <w:rsid w:val="005E1034"/>
    <w:rsid w:val="005E119D"/>
    <w:rsid w:val="005E138F"/>
    <w:rsid w:val="005E1408"/>
    <w:rsid w:val="005E1636"/>
    <w:rsid w:val="005E16B9"/>
    <w:rsid w:val="005E1710"/>
    <w:rsid w:val="005E18E6"/>
    <w:rsid w:val="005E1A6E"/>
    <w:rsid w:val="005E1C24"/>
    <w:rsid w:val="005E205D"/>
    <w:rsid w:val="005E2334"/>
    <w:rsid w:val="005E28DD"/>
    <w:rsid w:val="005E2941"/>
    <w:rsid w:val="005E3190"/>
    <w:rsid w:val="005E3ADA"/>
    <w:rsid w:val="005E46FF"/>
    <w:rsid w:val="005E4937"/>
    <w:rsid w:val="005E4A03"/>
    <w:rsid w:val="005E4CB7"/>
    <w:rsid w:val="005E4E88"/>
    <w:rsid w:val="005E5BDA"/>
    <w:rsid w:val="005E617F"/>
    <w:rsid w:val="005E62C7"/>
    <w:rsid w:val="005E6827"/>
    <w:rsid w:val="005E6E49"/>
    <w:rsid w:val="005E7B76"/>
    <w:rsid w:val="005E7F5F"/>
    <w:rsid w:val="005F0034"/>
    <w:rsid w:val="005F00D5"/>
    <w:rsid w:val="005F011A"/>
    <w:rsid w:val="005F04C9"/>
    <w:rsid w:val="005F083F"/>
    <w:rsid w:val="005F0AFC"/>
    <w:rsid w:val="005F0EE2"/>
    <w:rsid w:val="005F15B0"/>
    <w:rsid w:val="005F1823"/>
    <w:rsid w:val="005F19A9"/>
    <w:rsid w:val="005F2393"/>
    <w:rsid w:val="005F2C10"/>
    <w:rsid w:val="005F2E49"/>
    <w:rsid w:val="005F301E"/>
    <w:rsid w:val="005F3664"/>
    <w:rsid w:val="005F38DA"/>
    <w:rsid w:val="005F38DF"/>
    <w:rsid w:val="005F399B"/>
    <w:rsid w:val="005F3AB7"/>
    <w:rsid w:val="005F3DA3"/>
    <w:rsid w:val="005F3E84"/>
    <w:rsid w:val="005F4044"/>
    <w:rsid w:val="005F4531"/>
    <w:rsid w:val="005F460E"/>
    <w:rsid w:val="005F5246"/>
    <w:rsid w:val="005F55C1"/>
    <w:rsid w:val="005F58C1"/>
    <w:rsid w:val="005F5C7A"/>
    <w:rsid w:val="005F5E78"/>
    <w:rsid w:val="005F6202"/>
    <w:rsid w:val="005F6338"/>
    <w:rsid w:val="005F6491"/>
    <w:rsid w:val="005F696D"/>
    <w:rsid w:val="005F6D5B"/>
    <w:rsid w:val="005F74F2"/>
    <w:rsid w:val="005F759B"/>
    <w:rsid w:val="005F7B6A"/>
    <w:rsid w:val="005F7FF3"/>
    <w:rsid w:val="00600386"/>
    <w:rsid w:val="006007A1"/>
    <w:rsid w:val="00600EE2"/>
    <w:rsid w:val="006011A6"/>
    <w:rsid w:val="006011F5"/>
    <w:rsid w:val="006018AD"/>
    <w:rsid w:val="00601941"/>
    <w:rsid w:val="006022C9"/>
    <w:rsid w:val="00602639"/>
    <w:rsid w:val="00602682"/>
    <w:rsid w:val="00602AB2"/>
    <w:rsid w:val="00602C99"/>
    <w:rsid w:val="00602DEB"/>
    <w:rsid w:val="00603598"/>
    <w:rsid w:val="006035B5"/>
    <w:rsid w:val="00603C5C"/>
    <w:rsid w:val="00603D41"/>
    <w:rsid w:val="00603EDA"/>
    <w:rsid w:val="00604119"/>
    <w:rsid w:val="0060424C"/>
    <w:rsid w:val="0060426D"/>
    <w:rsid w:val="00604AE9"/>
    <w:rsid w:val="00604DC8"/>
    <w:rsid w:val="00604E1B"/>
    <w:rsid w:val="006050E6"/>
    <w:rsid w:val="00605174"/>
    <w:rsid w:val="006055F7"/>
    <w:rsid w:val="006057D9"/>
    <w:rsid w:val="00605838"/>
    <w:rsid w:val="0060605B"/>
    <w:rsid w:val="0060615F"/>
    <w:rsid w:val="00606211"/>
    <w:rsid w:val="0060640D"/>
    <w:rsid w:val="0060654B"/>
    <w:rsid w:val="006066EB"/>
    <w:rsid w:val="00606780"/>
    <w:rsid w:val="00606A0F"/>
    <w:rsid w:val="00606BAB"/>
    <w:rsid w:val="00606D41"/>
    <w:rsid w:val="00606D4D"/>
    <w:rsid w:val="00606D65"/>
    <w:rsid w:val="00607922"/>
    <w:rsid w:val="006079A8"/>
    <w:rsid w:val="006079DB"/>
    <w:rsid w:val="00607B41"/>
    <w:rsid w:val="00607B8A"/>
    <w:rsid w:val="00607D0B"/>
    <w:rsid w:val="00607FFD"/>
    <w:rsid w:val="00610263"/>
    <w:rsid w:val="00610944"/>
    <w:rsid w:val="00610A9F"/>
    <w:rsid w:val="00610ABF"/>
    <w:rsid w:val="00610B4D"/>
    <w:rsid w:val="00610E33"/>
    <w:rsid w:val="00610F08"/>
    <w:rsid w:val="006110F9"/>
    <w:rsid w:val="006111B3"/>
    <w:rsid w:val="0061183A"/>
    <w:rsid w:val="006119A1"/>
    <w:rsid w:val="00611A45"/>
    <w:rsid w:val="00611CF6"/>
    <w:rsid w:val="00611E8D"/>
    <w:rsid w:val="00612077"/>
    <w:rsid w:val="006121A8"/>
    <w:rsid w:val="006122B8"/>
    <w:rsid w:val="006127EA"/>
    <w:rsid w:val="006129DD"/>
    <w:rsid w:val="00612C35"/>
    <w:rsid w:val="00612ED5"/>
    <w:rsid w:val="00612EED"/>
    <w:rsid w:val="00612F5A"/>
    <w:rsid w:val="00613393"/>
    <w:rsid w:val="00613516"/>
    <w:rsid w:val="00613BFA"/>
    <w:rsid w:val="00614808"/>
    <w:rsid w:val="00614D26"/>
    <w:rsid w:val="00614F83"/>
    <w:rsid w:val="00615611"/>
    <w:rsid w:val="00615729"/>
    <w:rsid w:val="006158EF"/>
    <w:rsid w:val="00615926"/>
    <w:rsid w:val="00615949"/>
    <w:rsid w:val="00615C29"/>
    <w:rsid w:val="00615DAD"/>
    <w:rsid w:val="006160B7"/>
    <w:rsid w:val="0061657A"/>
    <w:rsid w:val="00616641"/>
    <w:rsid w:val="0061678D"/>
    <w:rsid w:val="00616C1A"/>
    <w:rsid w:val="00617FD0"/>
    <w:rsid w:val="0062006B"/>
    <w:rsid w:val="00620413"/>
    <w:rsid w:val="006206EF"/>
    <w:rsid w:val="00620A4D"/>
    <w:rsid w:val="00620BFF"/>
    <w:rsid w:val="00620C4F"/>
    <w:rsid w:val="00620D24"/>
    <w:rsid w:val="00620D4B"/>
    <w:rsid w:val="00621142"/>
    <w:rsid w:val="00621290"/>
    <w:rsid w:val="006213A4"/>
    <w:rsid w:val="00621878"/>
    <w:rsid w:val="00622149"/>
    <w:rsid w:val="006221C2"/>
    <w:rsid w:val="006225FE"/>
    <w:rsid w:val="00622653"/>
    <w:rsid w:val="00622682"/>
    <w:rsid w:val="00622CA4"/>
    <w:rsid w:val="00622F86"/>
    <w:rsid w:val="00622FFB"/>
    <w:rsid w:val="006231FE"/>
    <w:rsid w:val="0062346C"/>
    <w:rsid w:val="006237B5"/>
    <w:rsid w:val="006238B6"/>
    <w:rsid w:val="006238BB"/>
    <w:rsid w:val="00623C27"/>
    <w:rsid w:val="00623C3F"/>
    <w:rsid w:val="00623C42"/>
    <w:rsid w:val="00623D25"/>
    <w:rsid w:val="00623DFE"/>
    <w:rsid w:val="006241F7"/>
    <w:rsid w:val="0062458E"/>
    <w:rsid w:val="00624CD7"/>
    <w:rsid w:val="00624D11"/>
    <w:rsid w:val="006252C4"/>
    <w:rsid w:val="00625345"/>
    <w:rsid w:val="00625420"/>
    <w:rsid w:val="00625867"/>
    <w:rsid w:val="006258CC"/>
    <w:rsid w:val="00625A6B"/>
    <w:rsid w:val="00625C0F"/>
    <w:rsid w:val="006262D6"/>
    <w:rsid w:val="00627084"/>
    <w:rsid w:val="0062708A"/>
    <w:rsid w:val="00627138"/>
    <w:rsid w:val="00627521"/>
    <w:rsid w:val="006278B1"/>
    <w:rsid w:val="00627F6B"/>
    <w:rsid w:val="006302B7"/>
    <w:rsid w:val="00630422"/>
    <w:rsid w:val="006305E4"/>
    <w:rsid w:val="00631131"/>
    <w:rsid w:val="0063156F"/>
    <w:rsid w:val="006317C0"/>
    <w:rsid w:val="00631E2C"/>
    <w:rsid w:val="00631FD8"/>
    <w:rsid w:val="00632E48"/>
    <w:rsid w:val="00632EB1"/>
    <w:rsid w:val="00633B54"/>
    <w:rsid w:val="00633BC7"/>
    <w:rsid w:val="00633C9E"/>
    <w:rsid w:val="00633CC2"/>
    <w:rsid w:val="00633D67"/>
    <w:rsid w:val="0063409F"/>
    <w:rsid w:val="00634290"/>
    <w:rsid w:val="00634303"/>
    <w:rsid w:val="0063441F"/>
    <w:rsid w:val="00634725"/>
    <w:rsid w:val="00634C75"/>
    <w:rsid w:val="00634EA9"/>
    <w:rsid w:val="0063552B"/>
    <w:rsid w:val="00635619"/>
    <w:rsid w:val="0063580C"/>
    <w:rsid w:val="00635C20"/>
    <w:rsid w:val="00636162"/>
    <w:rsid w:val="006362D0"/>
    <w:rsid w:val="006365C0"/>
    <w:rsid w:val="00636942"/>
    <w:rsid w:val="00636E9E"/>
    <w:rsid w:val="0063714B"/>
    <w:rsid w:val="00637153"/>
    <w:rsid w:val="00637EA2"/>
    <w:rsid w:val="00640248"/>
    <w:rsid w:val="00640478"/>
    <w:rsid w:val="00640600"/>
    <w:rsid w:val="00640ABA"/>
    <w:rsid w:val="00641535"/>
    <w:rsid w:val="00641735"/>
    <w:rsid w:val="006419FD"/>
    <w:rsid w:val="00641AD1"/>
    <w:rsid w:val="00641C33"/>
    <w:rsid w:val="00641F6A"/>
    <w:rsid w:val="00642200"/>
    <w:rsid w:val="00642BAC"/>
    <w:rsid w:val="00642F29"/>
    <w:rsid w:val="006432AC"/>
    <w:rsid w:val="006436D4"/>
    <w:rsid w:val="00643898"/>
    <w:rsid w:val="006439E4"/>
    <w:rsid w:val="006441FF"/>
    <w:rsid w:val="00644648"/>
    <w:rsid w:val="006448D3"/>
    <w:rsid w:val="00644935"/>
    <w:rsid w:val="00644CFA"/>
    <w:rsid w:val="00645222"/>
    <w:rsid w:val="00645279"/>
    <w:rsid w:val="006452B3"/>
    <w:rsid w:val="00645312"/>
    <w:rsid w:val="0064538A"/>
    <w:rsid w:val="00645618"/>
    <w:rsid w:val="006456AB"/>
    <w:rsid w:val="00645B7B"/>
    <w:rsid w:val="00646181"/>
    <w:rsid w:val="00646501"/>
    <w:rsid w:val="006465D7"/>
    <w:rsid w:val="0064666D"/>
    <w:rsid w:val="00646B18"/>
    <w:rsid w:val="006470AB"/>
    <w:rsid w:val="00647194"/>
    <w:rsid w:val="0064724A"/>
    <w:rsid w:val="006474DD"/>
    <w:rsid w:val="006478D9"/>
    <w:rsid w:val="006479BB"/>
    <w:rsid w:val="00647D75"/>
    <w:rsid w:val="00647DB8"/>
    <w:rsid w:val="0065010C"/>
    <w:rsid w:val="0065019F"/>
    <w:rsid w:val="00650236"/>
    <w:rsid w:val="0065037A"/>
    <w:rsid w:val="00650789"/>
    <w:rsid w:val="00650945"/>
    <w:rsid w:val="00650A79"/>
    <w:rsid w:val="00650C35"/>
    <w:rsid w:val="00650DD7"/>
    <w:rsid w:val="00651007"/>
    <w:rsid w:val="006511D0"/>
    <w:rsid w:val="00651323"/>
    <w:rsid w:val="0065137D"/>
    <w:rsid w:val="00651389"/>
    <w:rsid w:val="00651404"/>
    <w:rsid w:val="00651649"/>
    <w:rsid w:val="00651680"/>
    <w:rsid w:val="006516F7"/>
    <w:rsid w:val="006519F8"/>
    <w:rsid w:val="00651E57"/>
    <w:rsid w:val="006520B7"/>
    <w:rsid w:val="00652171"/>
    <w:rsid w:val="00653380"/>
    <w:rsid w:val="0065341A"/>
    <w:rsid w:val="00653479"/>
    <w:rsid w:val="0065349A"/>
    <w:rsid w:val="00653A21"/>
    <w:rsid w:val="00653F60"/>
    <w:rsid w:val="00654356"/>
    <w:rsid w:val="00654424"/>
    <w:rsid w:val="006545ED"/>
    <w:rsid w:val="00654865"/>
    <w:rsid w:val="00654979"/>
    <w:rsid w:val="00654B19"/>
    <w:rsid w:val="00654D01"/>
    <w:rsid w:val="00654FA8"/>
    <w:rsid w:val="00655164"/>
    <w:rsid w:val="00655340"/>
    <w:rsid w:val="006556F8"/>
    <w:rsid w:val="006560AB"/>
    <w:rsid w:val="00656274"/>
    <w:rsid w:val="00656410"/>
    <w:rsid w:val="0065678F"/>
    <w:rsid w:val="00656D9F"/>
    <w:rsid w:val="006573B8"/>
    <w:rsid w:val="006574A7"/>
    <w:rsid w:val="00657648"/>
    <w:rsid w:val="006577D0"/>
    <w:rsid w:val="00657E24"/>
    <w:rsid w:val="00657F89"/>
    <w:rsid w:val="006600AA"/>
    <w:rsid w:val="00660453"/>
    <w:rsid w:val="00660B16"/>
    <w:rsid w:val="00660D6A"/>
    <w:rsid w:val="006610DB"/>
    <w:rsid w:val="00661144"/>
    <w:rsid w:val="00661363"/>
    <w:rsid w:val="0066170E"/>
    <w:rsid w:val="00661C31"/>
    <w:rsid w:val="00661E03"/>
    <w:rsid w:val="006628A8"/>
    <w:rsid w:val="00662A4E"/>
    <w:rsid w:val="00662C15"/>
    <w:rsid w:val="00663690"/>
    <w:rsid w:val="00663BC8"/>
    <w:rsid w:val="00663E2D"/>
    <w:rsid w:val="00664657"/>
    <w:rsid w:val="00664B4A"/>
    <w:rsid w:val="00664C7F"/>
    <w:rsid w:val="00664E2E"/>
    <w:rsid w:val="00664EDC"/>
    <w:rsid w:val="0066511C"/>
    <w:rsid w:val="00665318"/>
    <w:rsid w:val="00665533"/>
    <w:rsid w:val="006658BF"/>
    <w:rsid w:val="006659DE"/>
    <w:rsid w:val="00666245"/>
    <w:rsid w:val="00666247"/>
    <w:rsid w:val="0066671B"/>
    <w:rsid w:val="00666BD5"/>
    <w:rsid w:val="00666EE3"/>
    <w:rsid w:val="00667596"/>
    <w:rsid w:val="00667F4A"/>
    <w:rsid w:val="0067031E"/>
    <w:rsid w:val="006707B8"/>
    <w:rsid w:val="00671019"/>
    <w:rsid w:val="00671323"/>
    <w:rsid w:val="00671DD6"/>
    <w:rsid w:val="0067208B"/>
    <w:rsid w:val="006722FA"/>
    <w:rsid w:val="0067245D"/>
    <w:rsid w:val="00672661"/>
    <w:rsid w:val="00672674"/>
    <w:rsid w:val="0067277B"/>
    <w:rsid w:val="00672A36"/>
    <w:rsid w:val="00672B21"/>
    <w:rsid w:val="00672BE9"/>
    <w:rsid w:val="00672EB8"/>
    <w:rsid w:val="006732FD"/>
    <w:rsid w:val="006733C6"/>
    <w:rsid w:val="006735C8"/>
    <w:rsid w:val="00673D33"/>
    <w:rsid w:val="00674220"/>
    <w:rsid w:val="006743FF"/>
    <w:rsid w:val="00674D28"/>
    <w:rsid w:val="0067556D"/>
    <w:rsid w:val="00675BE8"/>
    <w:rsid w:val="0067624B"/>
    <w:rsid w:val="00676347"/>
    <w:rsid w:val="0067664A"/>
    <w:rsid w:val="006772C0"/>
    <w:rsid w:val="00677349"/>
    <w:rsid w:val="006775A2"/>
    <w:rsid w:val="006775D1"/>
    <w:rsid w:val="006801BC"/>
    <w:rsid w:val="006803E5"/>
    <w:rsid w:val="00680B37"/>
    <w:rsid w:val="0068195E"/>
    <w:rsid w:val="00682671"/>
    <w:rsid w:val="00682D85"/>
    <w:rsid w:val="00682F40"/>
    <w:rsid w:val="00683196"/>
    <w:rsid w:val="006836A5"/>
    <w:rsid w:val="00683D92"/>
    <w:rsid w:val="00683E6E"/>
    <w:rsid w:val="0068453C"/>
    <w:rsid w:val="006845CD"/>
    <w:rsid w:val="0068484B"/>
    <w:rsid w:val="00684BFF"/>
    <w:rsid w:val="00684E0A"/>
    <w:rsid w:val="0068506B"/>
    <w:rsid w:val="006851A5"/>
    <w:rsid w:val="0068523D"/>
    <w:rsid w:val="00685437"/>
    <w:rsid w:val="0068548B"/>
    <w:rsid w:val="00685AC0"/>
    <w:rsid w:val="00685D32"/>
    <w:rsid w:val="006866C7"/>
    <w:rsid w:val="00686B06"/>
    <w:rsid w:val="00686CB5"/>
    <w:rsid w:val="00686E66"/>
    <w:rsid w:val="006871AE"/>
    <w:rsid w:val="006871DF"/>
    <w:rsid w:val="00687565"/>
    <w:rsid w:val="0068777B"/>
    <w:rsid w:val="00687C46"/>
    <w:rsid w:val="00687E91"/>
    <w:rsid w:val="00687FC6"/>
    <w:rsid w:val="00687FDD"/>
    <w:rsid w:val="0069006F"/>
    <w:rsid w:val="006901A7"/>
    <w:rsid w:val="006909B7"/>
    <w:rsid w:val="00690CE6"/>
    <w:rsid w:val="00690D18"/>
    <w:rsid w:val="00690D6D"/>
    <w:rsid w:val="00690E50"/>
    <w:rsid w:val="0069126E"/>
    <w:rsid w:val="006914FB"/>
    <w:rsid w:val="00691821"/>
    <w:rsid w:val="00691972"/>
    <w:rsid w:val="00691A32"/>
    <w:rsid w:val="00691DEF"/>
    <w:rsid w:val="00692064"/>
    <w:rsid w:val="006922B5"/>
    <w:rsid w:val="006928FD"/>
    <w:rsid w:val="00692949"/>
    <w:rsid w:val="00692BA4"/>
    <w:rsid w:val="00692C25"/>
    <w:rsid w:val="006931CF"/>
    <w:rsid w:val="00693530"/>
    <w:rsid w:val="006937FF"/>
    <w:rsid w:val="006939D0"/>
    <w:rsid w:val="006939F3"/>
    <w:rsid w:val="00693D55"/>
    <w:rsid w:val="00693DD9"/>
    <w:rsid w:val="006941AE"/>
    <w:rsid w:val="00694607"/>
    <w:rsid w:val="006947C3"/>
    <w:rsid w:val="006948F4"/>
    <w:rsid w:val="00694914"/>
    <w:rsid w:val="006949A8"/>
    <w:rsid w:val="00695359"/>
    <w:rsid w:val="00695C7E"/>
    <w:rsid w:val="00695EF3"/>
    <w:rsid w:val="00695F13"/>
    <w:rsid w:val="00695F54"/>
    <w:rsid w:val="00696017"/>
    <w:rsid w:val="00696129"/>
    <w:rsid w:val="00696BA0"/>
    <w:rsid w:val="00696CDF"/>
    <w:rsid w:val="00696E76"/>
    <w:rsid w:val="00696E8B"/>
    <w:rsid w:val="00697218"/>
    <w:rsid w:val="006973EA"/>
    <w:rsid w:val="0069743E"/>
    <w:rsid w:val="0069775F"/>
    <w:rsid w:val="00697B16"/>
    <w:rsid w:val="00697D53"/>
    <w:rsid w:val="006A00A8"/>
    <w:rsid w:val="006A00FA"/>
    <w:rsid w:val="006A0500"/>
    <w:rsid w:val="006A0775"/>
    <w:rsid w:val="006A0AD0"/>
    <w:rsid w:val="006A0B7B"/>
    <w:rsid w:val="006A0D2E"/>
    <w:rsid w:val="006A0E7E"/>
    <w:rsid w:val="006A117F"/>
    <w:rsid w:val="006A1333"/>
    <w:rsid w:val="006A1702"/>
    <w:rsid w:val="006A1737"/>
    <w:rsid w:val="006A1748"/>
    <w:rsid w:val="006A1E3E"/>
    <w:rsid w:val="006A1E87"/>
    <w:rsid w:val="006A209C"/>
    <w:rsid w:val="006A20EA"/>
    <w:rsid w:val="006A21CE"/>
    <w:rsid w:val="006A225A"/>
    <w:rsid w:val="006A2454"/>
    <w:rsid w:val="006A2A1C"/>
    <w:rsid w:val="006A2A3A"/>
    <w:rsid w:val="006A31A9"/>
    <w:rsid w:val="006A357D"/>
    <w:rsid w:val="006A3857"/>
    <w:rsid w:val="006A3866"/>
    <w:rsid w:val="006A39D2"/>
    <w:rsid w:val="006A3D72"/>
    <w:rsid w:val="006A4566"/>
    <w:rsid w:val="006A47EA"/>
    <w:rsid w:val="006A49C7"/>
    <w:rsid w:val="006A4AE7"/>
    <w:rsid w:val="006A4FC1"/>
    <w:rsid w:val="006A507D"/>
    <w:rsid w:val="006A5244"/>
    <w:rsid w:val="006A5281"/>
    <w:rsid w:val="006A52ED"/>
    <w:rsid w:val="006A565A"/>
    <w:rsid w:val="006A5A93"/>
    <w:rsid w:val="006A64B7"/>
    <w:rsid w:val="006A66A1"/>
    <w:rsid w:val="006A6854"/>
    <w:rsid w:val="006A695F"/>
    <w:rsid w:val="006A6D81"/>
    <w:rsid w:val="006A6DCD"/>
    <w:rsid w:val="006A7188"/>
    <w:rsid w:val="006A735C"/>
    <w:rsid w:val="006A76C4"/>
    <w:rsid w:val="006A79F0"/>
    <w:rsid w:val="006A7B17"/>
    <w:rsid w:val="006A7CF2"/>
    <w:rsid w:val="006A7E3B"/>
    <w:rsid w:val="006B0313"/>
    <w:rsid w:val="006B03C9"/>
    <w:rsid w:val="006B0843"/>
    <w:rsid w:val="006B0CF2"/>
    <w:rsid w:val="006B1473"/>
    <w:rsid w:val="006B1601"/>
    <w:rsid w:val="006B169B"/>
    <w:rsid w:val="006B1E56"/>
    <w:rsid w:val="006B21BD"/>
    <w:rsid w:val="006B21F5"/>
    <w:rsid w:val="006B23F9"/>
    <w:rsid w:val="006B2608"/>
    <w:rsid w:val="006B2922"/>
    <w:rsid w:val="006B2BCC"/>
    <w:rsid w:val="006B2C65"/>
    <w:rsid w:val="006B33D9"/>
    <w:rsid w:val="006B33DF"/>
    <w:rsid w:val="006B356F"/>
    <w:rsid w:val="006B3C8B"/>
    <w:rsid w:val="006B42BC"/>
    <w:rsid w:val="006B4609"/>
    <w:rsid w:val="006B46B9"/>
    <w:rsid w:val="006B472D"/>
    <w:rsid w:val="006B4E0D"/>
    <w:rsid w:val="006B4F91"/>
    <w:rsid w:val="006B4FB9"/>
    <w:rsid w:val="006B50C5"/>
    <w:rsid w:val="006B58DA"/>
    <w:rsid w:val="006B5A43"/>
    <w:rsid w:val="006B60B2"/>
    <w:rsid w:val="006B63A7"/>
    <w:rsid w:val="006B65FB"/>
    <w:rsid w:val="006B679E"/>
    <w:rsid w:val="006B6919"/>
    <w:rsid w:val="006B6ACF"/>
    <w:rsid w:val="006B6B47"/>
    <w:rsid w:val="006B6B81"/>
    <w:rsid w:val="006B6F63"/>
    <w:rsid w:val="006B6F82"/>
    <w:rsid w:val="006B71ED"/>
    <w:rsid w:val="006B722D"/>
    <w:rsid w:val="006B72FE"/>
    <w:rsid w:val="006B78DA"/>
    <w:rsid w:val="006B7E0E"/>
    <w:rsid w:val="006B7F15"/>
    <w:rsid w:val="006B7F32"/>
    <w:rsid w:val="006C0405"/>
    <w:rsid w:val="006C05A0"/>
    <w:rsid w:val="006C096A"/>
    <w:rsid w:val="006C0ACC"/>
    <w:rsid w:val="006C0D32"/>
    <w:rsid w:val="006C146C"/>
    <w:rsid w:val="006C15A5"/>
    <w:rsid w:val="006C17D0"/>
    <w:rsid w:val="006C1C37"/>
    <w:rsid w:val="006C1E35"/>
    <w:rsid w:val="006C2298"/>
    <w:rsid w:val="006C23D4"/>
    <w:rsid w:val="006C2D33"/>
    <w:rsid w:val="006C3048"/>
    <w:rsid w:val="006C3565"/>
    <w:rsid w:val="006C36C7"/>
    <w:rsid w:val="006C3E91"/>
    <w:rsid w:val="006C3F54"/>
    <w:rsid w:val="006C3FFE"/>
    <w:rsid w:val="006C40BC"/>
    <w:rsid w:val="006C412F"/>
    <w:rsid w:val="006C4899"/>
    <w:rsid w:val="006C4A36"/>
    <w:rsid w:val="006C4AA2"/>
    <w:rsid w:val="006C4EFF"/>
    <w:rsid w:val="006C518E"/>
    <w:rsid w:val="006C53FE"/>
    <w:rsid w:val="006C64FE"/>
    <w:rsid w:val="006C6F2F"/>
    <w:rsid w:val="006C7596"/>
    <w:rsid w:val="006C79EE"/>
    <w:rsid w:val="006C7E12"/>
    <w:rsid w:val="006C7E62"/>
    <w:rsid w:val="006D001C"/>
    <w:rsid w:val="006D0E7B"/>
    <w:rsid w:val="006D0EB1"/>
    <w:rsid w:val="006D0EE4"/>
    <w:rsid w:val="006D0EF3"/>
    <w:rsid w:val="006D1128"/>
    <w:rsid w:val="006D1410"/>
    <w:rsid w:val="006D1633"/>
    <w:rsid w:val="006D193D"/>
    <w:rsid w:val="006D1940"/>
    <w:rsid w:val="006D1986"/>
    <w:rsid w:val="006D1AFC"/>
    <w:rsid w:val="006D1B12"/>
    <w:rsid w:val="006D20B7"/>
    <w:rsid w:val="006D23B9"/>
    <w:rsid w:val="006D2458"/>
    <w:rsid w:val="006D264A"/>
    <w:rsid w:val="006D2743"/>
    <w:rsid w:val="006D277C"/>
    <w:rsid w:val="006D2BB4"/>
    <w:rsid w:val="006D2BEF"/>
    <w:rsid w:val="006D2D16"/>
    <w:rsid w:val="006D30EE"/>
    <w:rsid w:val="006D31D4"/>
    <w:rsid w:val="006D3A94"/>
    <w:rsid w:val="006D3EF0"/>
    <w:rsid w:val="006D4096"/>
    <w:rsid w:val="006D4245"/>
    <w:rsid w:val="006D4414"/>
    <w:rsid w:val="006D452F"/>
    <w:rsid w:val="006D4890"/>
    <w:rsid w:val="006D4CB7"/>
    <w:rsid w:val="006D4DE7"/>
    <w:rsid w:val="006D51D3"/>
    <w:rsid w:val="006D51F7"/>
    <w:rsid w:val="006D5244"/>
    <w:rsid w:val="006D5566"/>
    <w:rsid w:val="006D563F"/>
    <w:rsid w:val="006D567E"/>
    <w:rsid w:val="006D56A6"/>
    <w:rsid w:val="006D5714"/>
    <w:rsid w:val="006D5FE7"/>
    <w:rsid w:val="006D6723"/>
    <w:rsid w:val="006D676F"/>
    <w:rsid w:val="006D683A"/>
    <w:rsid w:val="006D698B"/>
    <w:rsid w:val="006D70AA"/>
    <w:rsid w:val="006D712A"/>
    <w:rsid w:val="006D71F7"/>
    <w:rsid w:val="006D743C"/>
    <w:rsid w:val="006D7780"/>
    <w:rsid w:val="006D7C53"/>
    <w:rsid w:val="006D7E3E"/>
    <w:rsid w:val="006E0225"/>
    <w:rsid w:val="006E028D"/>
    <w:rsid w:val="006E0466"/>
    <w:rsid w:val="006E06C5"/>
    <w:rsid w:val="006E0B64"/>
    <w:rsid w:val="006E0C36"/>
    <w:rsid w:val="006E0EC6"/>
    <w:rsid w:val="006E1365"/>
    <w:rsid w:val="006E1DE1"/>
    <w:rsid w:val="006E26D5"/>
    <w:rsid w:val="006E2700"/>
    <w:rsid w:val="006E2E0D"/>
    <w:rsid w:val="006E3167"/>
    <w:rsid w:val="006E34BE"/>
    <w:rsid w:val="006E3B7A"/>
    <w:rsid w:val="006E50B8"/>
    <w:rsid w:val="006E50F8"/>
    <w:rsid w:val="006E51BE"/>
    <w:rsid w:val="006E524B"/>
    <w:rsid w:val="006E52B9"/>
    <w:rsid w:val="006E5377"/>
    <w:rsid w:val="006E5383"/>
    <w:rsid w:val="006E552F"/>
    <w:rsid w:val="006E5966"/>
    <w:rsid w:val="006E59FF"/>
    <w:rsid w:val="006E6132"/>
    <w:rsid w:val="006E636A"/>
    <w:rsid w:val="006E6549"/>
    <w:rsid w:val="006E68A3"/>
    <w:rsid w:val="006E69C7"/>
    <w:rsid w:val="006E6B5E"/>
    <w:rsid w:val="006E7088"/>
    <w:rsid w:val="006E76E1"/>
    <w:rsid w:val="006E7913"/>
    <w:rsid w:val="006E7A4E"/>
    <w:rsid w:val="006E7B88"/>
    <w:rsid w:val="006E7DE0"/>
    <w:rsid w:val="006F005C"/>
    <w:rsid w:val="006F085E"/>
    <w:rsid w:val="006F0D25"/>
    <w:rsid w:val="006F0D7E"/>
    <w:rsid w:val="006F0DC3"/>
    <w:rsid w:val="006F1269"/>
    <w:rsid w:val="006F1883"/>
    <w:rsid w:val="006F1D67"/>
    <w:rsid w:val="006F243C"/>
    <w:rsid w:val="006F2499"/>
    <w:rsid w:val="006F2731"/>
    <w:rsid w:val="006F2E66"/>
    <w:rsid w:val="006F3013"/>
    <w:rsid w:val="006F30BB"/>
    <w:rsid w:val="006F375C"/>
    <w:rsid w:val="006F3981"/>
    <w:rsid w:val="006F3F11"/>
    <w:rsid w:val="006F3FAE"/>
    <w:rsid w:val="006F3FCF"/>
    <w:rsid w:val="006F4145"/>
    <w:rsid w:val="006F4464"/>
    <w:rsid w:val="006F44B5"/>
    <w:rsid w:val="006F4688"/>
    <w:rsid w:val="006F4735"/>
    <w:rsid w:val="006F485D"/>
    <w:rsid w:val="006F48DE"/>
    <w:rsid w:val="006F4B45"/>
    <w:rsid w:val="006F4C90"/>
    <w:rsid w:val="006F52B5"/>
    <w:rsid w:val="006F5942"/>
    <w:rsid w:val="006F5973"/>
    <w:rsid w:val="006F64EB"/>
    <w:rsid w:val="006F6B1F"/>
    <w:rsid w:val="006F6D2E"/>
    <w:rsid w:val="006F7371"/>
    <w:rsid w:val="006F79D9"/>
    <w:rsid w:val="00700208"/>
    <w:rsid w:val="00700269"/>
    <w:rsid w:val="0070083D"/>
    <w:rsid w:val="0070105A"/>
    <w:rsid w:val="00701140"/>
    <w:rsid w:val="007012AF"/>
    <w:rsid w:val="007014D3"/>
    <w:rsid w:val="00701C11"/>
    <w:rsid w:val="00701EE8"/>
    <w:rsid w:val="0070207B"/>
    <w:rsid w:val="00702166"/>
    <w:rsid w:val="00702237"/>
    <w:rsid w:val="00702352"/>
    <w:rsid w:val="007024E8"/>
    <w:rsid w:val="00702550"/>
    <w:rsid w:val="00702556"/>
    <w:rsid w:val="00702646"/>
    <w:rsid w:val="007026C5"/>
    <w:rsid w:val="007027AE"/>
    <w:rsid w:val="007031AE"/>
    <w:rsid w:val="00703510"/>
    <w:rsid w:val="00703580"/>
    <w:rsid w:val="0070358B"/>
    <w:rsid w:val="0070365F"/>
    <w:rsid w:val="007037B5"/>
    <w:rsid w:val="007039D7"/>
    <w:rsid w:val="00703EFD"/>
    <w:rsid w:val="0070412A"/>
    <w:rsid w:val="007043DE"/>
    <w:rsid w:val="007045FB"/>
    <w:rsid w:val="00704A6C"/>
    <w:rsid w:val="00704B7A"/>
    <w:rsid w:val="00704BDA"/>
    <w:rsid w:val="00704C19"/>
    <w:rsid w:val="007051AD"/>
    <w:rsid w:val="00705536"/>
    <w:rsid w:val="007055C9"/>
    <w:rsid w:val="007055F3"/>
    <w:rsid w:val="00705765"/>
    <w:rsid w:val="00705A8E"/>
    <w:rsid w:val="007060C5"/>
    <w:rsid w:val="00707664"/>
    <w:rsid w:val="00707C5B"/>
    <w:rsid w:val="00707D50"/>
    <w:rsid w:val="00707F59"/>
    <w:rsid w:val="007103EF"/>
    <w:rsid w:val="00710628"/>
    <w:rsid w:val="007107F0"/>
    <w:rsid w:val="00710873"/>
    <w:rsid w:val="00710B35"/>
    <w:rsid w:val="00710FA6"/>
    <w:rsid w:val="00711877"/>
    <w:rsid w:val="00711A17"/>
    <w:rsid w:val="00711B4D"/>
    <w:rsid w:val="0071251C"/>
    <w:rsid w:val="007126D9"/>
    <w:rsid w:val="007127F6"/>
    <w:rsid w:val="00712830"/>
    <w:rsid w:val="00712E40"/>
    <w:rsid w:val="00712EB3"/>
    <w:rsid w:val="0071305D"/>
    <w:rsid w:val="00713645"/>
    <w:rsid w:val="007137F2"/>
    <w:rsid w:val="00713C1A"/>
    <w:rsid w:val="00713F1B"/>
    <w:rsid w:val="007142CE"/>
    <w:rsid w:val="00714565"/>
    <w:rsid w:val="00714BB3"/>
    <w:rsid w:val="00714F96"/>
    <w:rsid w:val="00715AEF"/>
    <w:rsid w:val="00715F34"/>
    <w:rsid w:val="00715F50"/>
    <w:rsid w:val="007162F3"/>
    <w:rsid w:val="00716339"/>
    <w:rsid w:val="00716B1D"/>
    <w:rsid w:val="00716CB0"/>
    <w:rsid w:val="00716CC9"/>
    <w:rsid w:val="0071756F"/>
    <w:rsid w:val="0071762B"/>
    <w:rsid w:val="00717798"/>
    <w:rsid w:val="00717838"/>
    <w:rsid w:val="00717840"/>
    <w:rsid w:val="00717B09"/>
    <w:rsid w:val="00717F2E"/>
    <w:rsid w:val="0072003F"/>
    <w:rsid w:val="007200B3"/>
    <w:rsid w:val="007206F0"/>
    <w:rsid w:val="00720907"/>
    <w:rsid w:val="0072133F"/>
    <w:rsid w:val="00721568"/>
    <w:rsid w:val="007215B0"/>
    <w:rsid w:val="00721604"/>
    <w:rsid w:val="0072169D"/>
    <w:rsid w:val="00721779"/>
    <w:rsid w:val="007218D9"/>
    <w:rsid w:val="00721EAE"/>
    <w:rsid w:val="007222F7"/>
    <w:rsid w:val="00722574"/>
    <w:rsid w:val="00722D32"/>
    <w:rsid w:val="00722F06"/>
    <w:rsid w:val="00723363"/>
    <w:rsid w:val="00723D08"/>
    <w:rsid w:val="00723F64"/>
    <w:rsid w:val="00724A36"/>
    <w:rsid w:val="00724A6E"/>
    <w:rsid w:val="0072516D"/>
    <w:rsid w:val="00725F82"/>
    <w:rsid w:val="00725FD0"/>
    <w:rsid w:val="00726211"/>
    <w:rsid w:val="0072666B"/>
    <w:rsid w:val="00726CF4"/>
    <w:rsid w:val="00726E09"/>
    <w:rsid w:val="00726EC4"/>
    <w:rsid w:val="00726F08"/>
    <w:rsid w:val="0072704B"/>
    <w:rsid w:val="00727159"/>
    <w:rsid w:val="0072716D"/>
    <w:rsid w:val="00727874"/>
    <w:rsid w:val="00727A62"/>
    <w:rsid w:val="00727C0C"/>
    <w:rsid w:val="007300DA"/>
    <w:rsid w:val="00730AB4"/>
    <w:rsid w:val="00730BB5"/>
    <w:rsid w:val="00730C01"/>
    <w:rsid w:val="00730EA5"/>
    <w:rsid w:val="00730FAC"/>
    <w:rsid w:val="007312A4"/>
    <w:rsid w:val="0073143C"/>
    <w:rsid w:val="007314BB"/>
    <w:rsid w:val="007314F7"/>
    <w:rsid w:val="0073150B"/>
    <w:rsid w:val="00731640"/>
    <w:rsid w:val="00731662"/>
    <w:rsid w:val="00731798"/>
    <w:rsid w:val="00731F75"/>
    <w:rsid w:val="00732215"/>
    <w:rsid w:val="00732298"/>
    <w:rsid w:val="007324FB"/>
    <w:rsid w:val="007325DA"/>
    <w:rsid w:val="00732B60"/>
    <w:rsid w:val="00732D74"/>
    <w:rsid w:val="00732F5A"/>
    <w:rsid w:val="007333DE"/>
    <w:rsid w:val="00733AAC"/>
    <w:rsid w:val="00733B1E"/>
    <w:rsid w:val="00734654"/>
    <w:rsid w:val="007349E1"/>
    <w:rsid w:val="00734C26"/>
    <w:rsid w:val="00734C37"/>
    <w:rsid w:val="00735059"/>
    <w:rsid w:val="00735279"/>
    <w:rsid w:val="00735501"/>
    <w:rsid w:val="007358D5"/>
    <w:rsid w:val="00735C30"/>
    <w:rsid w:val="00736300"/>
    <w:rsid w:val="0073675B"/>
    <w:rsid w:val="00737339"/>
    <w:rsid w:val="007375AC"/>
    <w:rsid w:val="00737A6B"/>
    <w:rsid w:val="0074003B"/>
    <w:rsid w:val="007400D9"/>
    <w:rsid w:val="007401C2"/>
    <w:rsid w:val="007402AE"/>
    <w:rsid w:val="007402DC"/>
    <w:rsid w:val="007403CB"/>
    <w:rsid w:val="007403DE"/>
    <w:rsid w:val="007407C3"/>
    <w:rsid w:val="00740815"/>
    <w:rsid w:val="007409FC"/>
    <w:rsid w:val="00740B02"/>
    <w:rsid w:val="00740C57"/>
    <w:rsid w:val="00740CDD"/>
    <w:rsid w:val="00741035"/>
    <w:rsid w:val="0074103A"/>
    <w:rsid w:val="007411EB"/>
    <w:rsid w:val="0074159D"/>
    <w:rsid w:val="00741C51"/>
    <w:rsid w:val="00742115"/>
    <w:rsid w:val="007423B1"/>
    <w:rsid w:val="00742423"/>
    <w:rsid w:val="00742A50"/>
    <w:rsid w:val="00742AE5"/>
    <w:rsid w:val="007437D0"/>
    <w:rsid w:val="00743BC6"/>
    <w:rsid w:val="00743D4A"/>
    <w:rsid w:val="00743DF0"/>
    <w:rsid w:val="007446CB"/>
    <w:rsid w:val="007446E3"/>
    <w:rsid w:val="007448C1"/>
    <w:rsid w:val="00744E40"/>
    <w:rsid w:val="00744E42"/>
    <w:rsid w:val="007450A7"/>
    <w:rsid w:val="0074518A"/>
    <w:rsid w:val="00745D08"/>
    <w:rsid w:val="007464E9"/>
    <w:rsid w:val="00746888"/>
    <w:rsid w:val="00746CC3"/>
    <w:rsid w:val="00746FB2"/>
    <w:rsid w:val="007472F9"/>
    <w:rsid w:val="00747555"/>
    <w:rsid w:val="0074786E"/>
    <w:rsid w:val="00747B80"/>
    <w:rsid w:val="00747BED"/>
    <w:rsid w:val="00750378"/>
    <w:rsid w:val="00750CFB"/>
    <w:rsid w:val="00750F04"/>
    <w:rsid w:val="0075111C"/>
    <w:rsid w:val="007512EA"/>
    <w:rsid w:val="007513A5"/>
    <w:rsid w:val="007516DA"/>
    <w:rsid w:val="00751928"/>
    <w:rsid w:val="00751E4A"/>
    <w:rsid w:val="007520C2"/>
    <w:rsid w:val="0075297B"/>
    <w:rsid w:val="00752DBB"/>
    <w:rsid w:val="00753336"/>
    <w:rsid w:val="007538DF"/>
    <w:rsid w:val="007541FE"/>
    <w:rsid w:val="007545D2"/>
    <w:rsid w:val="00754739"/>
    <w:rsid w:val="0075483E"/>
    <w:rsid w:val="00754A71"/>
    <w:rsid w:val="00754C35"/>
    <w:rsid w:val="00754E77"/>
    <w:rsid w:val="00755387"/>
    <w:rsid w:val="00755879"/>
    <w:rsid w:val="00755895"/>
    <w:rsid w:val="00755B0D"/>
    <w:rsid w:val="00755CEC"/>
    <w:rsid w:val="00755D0D"/>
    <w:rsid w:val="00755EC7"/>
    <w:rsid w:val="0075610B"/>
    <w:rsid w:val="00756212"/>
    <w:rsid w:val="0075634C"/>
    <w:rsid w:val="00756383"/>
    <w:rsid w:val="00756610"/>
    <w:rsid w:val="007566B8"/>
    <w:rsid w:val="00756C89"/>
    <w:rsid w:val="00756E1C"/>
    <w:rsid w:val="007570E6"/>
    <w:rsid w:val="0075777A"/>
    <w:rsid w:val="007579FF"/>
    <w:rsid w:val="0076019A"/>
    <w:rsid w:val="0076042B"/>
    <w:rsid w:val="00760539"/>
    <w:rsid w:val="00760FD1"/>
    <w:rsid w:val="0076144E"/>
    <w:rsid w:val="00761658"/>
    <w:rsid w:val="007619B5"/>
    <w:rsid w:val="00761F58"/>
    <w:rsid w:val="007621F3"/>
    <w:rsid w:val="007622D7"/>
    <w:rsid w:val="007623C7"/>
    <w:rsid w:val="0076269B"/>
    <w:rsid w:val="007627EA"/>
    <w:rsid w:val="0076281D"/>
    <w:rsid w:val="00762835"/>
    <w:rsid w:val="00762A73"/>
    <w:rsid w:val="00762B50"/>
    <w:rsid w:val="00762C82"/>
    <w:rsid w:val="00762D07"/>
    <w:rsid w:val="00763349"/>
    <w:rsid w:val="00763450"/>
    <w:rsid w:val="007637BD"/>
    <w:rsid w:val="00763976"/>
    <w:rsid w:val="00763B30"/>
    <w:rsid w:val="00763B9D"/>
    <w:rsid w:val="00763D1A"/>
    <w:rsid w:val="00763E1C"/>
    <w:rsid w:val="007644BC"/>
    <w:rsid w:val="007649C7"/>
    <w:rsid w:val="00764BD3"/>
    <w:rsid w:val="00764F1D"/>
    <w:rsid w:val="00764F9A"/>
    <w:rsid w:val="00764FAC"/>
    <w:rsid w:val="00764FD0"/>
    <w:rsid w:val="0076517E"/>
    <w:rsid w:val="007651AC"/>
    <w:rsid w:val="00765345"/>
    <w:rsid w:val="007653BD"/>
    <w:rsid w:val="00765B8C"/>
    <w:rsid w:val="00765DAB"/>
    <w:rsid w:val="007660A7"/>
    <w:rsid w:val="007662D8"/>
    <w:rsid w:val="00766CC8"/>
    <w:rsid w:val="00766DB6"/>
    <w:rsid w:val="00766F81"/>
    <w:rsid w:val="0076707A"/>
    <w:rsid w:val="00767BE4"/>
    <w:rsid w:val="00767C8E"/>
    <w:rsid w:val="007705DF"/>
    <w:rsid w:val="00770683"/>
    <w:rsid w:val="007711D9"/>
    <w:rsid w:val="00771671"/>
    <w:rsid w:val="00771903"/>
    <w:rsid w:val="00771966"/>
    <w:rsid w:val="00771FDF"/>
    <w:rsid w:val="007720C6"/>
    <w:rsid w:val="00772284"/>
    <w:rsid w:val="00772550"/>
    <w:rsid w:val="00772767"/>
    <w:rsid w:val="00772AEF"/>
    <w:rsid w:val="00772DAF"/>
    <w:rsid w:val="00772E61"/>
    <w:rsid w:val="0077368B"/>
    <w:rsid w:val="00773936"/>
    <w:rsid w:val="00773C0E"/>
    <w:rsid w:val="00773D87"/>
    <w:rsid w:val="00774186"/>
    <w:rsid w:val="007742AB"/>
    <w:rsid w:val="00774324"/>
    <w:rsid w:val="0077440E"/>
    <w:rsid w:val="0077454B"/>
    <w:rsid w:val="00774B35"/>
    <w:rsid w:val="00774C32"/>
    <w:rsid w:val="00774C3E"/>
    <w:rsid w:val="00774E7C"/>
    <w:rsid w:val="007753C8"/>
    <w:rsid w:val="00775774"/>
    <w:rsid w:val="00775B89"/>
    <w:rsid w:val="00776490"/>
    <w:rsid w:val="0077672A"/>
    <w:rsid w:val="00776B41"/>
    <w:rsid w:val="00776CB4"/>
    <w:rsid w:val="00776EC8"/>
    <w:rsid w:val="00776EF6"/>
    <w:rsid w:val="007771B3"/>
    <w:rsid w:val="0077752F"/>
    <w:rsid w:val="00777714"/>
    <w:rsid w:val="00777724"/>
    <w:rsid w:val="00777832"/>
    <w:rsid w:val="00777AC2"/>
    <w:rsid w:val="00777D2E"/>
    <w:rsid w:val="00777DA8"/>
    <w:rsid w:val="00777F6A"/>
    <w:rsid w:val="00777FC3"/>
    <w:rsid w:val="007808BF"/>
    <w:rsid w:val="00780F08"/>
    <w:rsid w:val="00781813"/>
    <w:rsid w:val="00781842"/>
    <w:rsid w:val="0078196A"/>
    <w:rsid w:val="00781BAC"/>
    <w:rsid w:val="00781D3F"/>
    <w:rsid w:val="0078202A"/>
    <w:rsid w:val="007822BA"/>
    <w:rsid w:val="0078256D"/>
    <w:rsid w:val="0078311C"/>
    <w:rsid w:val="007831DD"/>
    <w:rsid w:val="0078330D"/>
    <w:rsid w:val="007836E6"/>
    <w:rsid w:val="00783797"/>
    <w:rsid w:val="0078393D"/>
    <w:rsid w:val="007846C5"/>
    <w:rsid w:val="007846EE"/>
    <w:rsid w:val="00784B71"/>
    <w:rsid w:val="00784BC5"/>
    <w:rsid w:val="00784EB4"/>
    <w:rsid w:val="00784F4E"/>
    <w:rsid w:val="0078569F"/>
    <w:rsid w:val="007857C5"/>
    <w:rsid w:val="00785A9A"/>
    <w:rsid w:val="00786056"/>
    <w:rsid w:val="007861B8"/>
    <w:rsid w:val="0078672B"/>
    <w:rsid w:val="0078688A"/>
    <w:rsid w:val="00786E69"/>
    <w:rsid w:val="00786EB2"/>
    <w:rsid w:val="00786ED3"/>
    <w:rsid w:val="00786F24"/>
    <w:rsid w:val="007871B2"/>
    <w:rsid w:val="007905C5"/>
    <w:rsid w:val="007906BC"/>
    <w:rsid w:val="00790F4A"/>
    <w:rsid w:val="00791031"/>
    <w:rsid w:val="00791627"/>
    <w:rsid w:val="00791900"/>
    <w:rsid w:val="00791BB6"/>
    <w:rsid w:val="00791C6B"/>
    <w:rsid w:val="00791EA1"/>
    <w:rsid w:val="00791EEE"/>
    <w:rsid w:val="007928EC"/>
    <w:rsid w:val="00792BF3"/>
    <w:rsid w:val="007933FF"/>
    <w:rsid w:val="00793608"/>
    <w:rsid w:val="0079368F"/>
    <w:rsid w:val="007937E9"/>
    <w:rsid w:val="00793C8B"/>
    <w:rsid w:val="00794225"/>
    <w:rsid w:val="0079461B"/>
    <w:rsid w:val="007948AC"/>
    <w:rsid w:val="00794A08"/>
    <w:rsid w:val="00794B48"/>
    <w:rsid w:val="00794E6D"/>
    <w:rsid w:val="00795046"/>
    <w:rsid w:val="0079504B"/>
    <w:rsid w:val="007950B9"/>
    <w:rsid w:val="00795254"/>
    <w:rsid w:val="00795593"/>
    <w:rsid w:val="00795D10"/>
    <w:rsid w:val="00795DD0"/>
    <w:rsid w:val="00795E9C"/>
    <w:rsid w:val="0079617F"/>
    <w:rsid w:val="007964C0"/>
    <w:rsid w:val="00796CA2"/>
    <w:rsid w:val="00796DF9"/>
    <w:rsid w:val="007976EA"/>
    <w:rsid w:val="00797915"/>
    <w:rsid w:val="00797A63"/>
    <w:rsid w:val="007A00BE"/>
    <w:rsid w:val="007A01FC"/>
    <w:rsid w:val="007A0D48"/>
    <w:rsid w:val="007A11DC"/>
    <w:rsid w:val="007A1230"/>
    <w:rsid w:val="007A1406"/>
    <w:rsid w:val="007A1639"/>
    <w:rsid w:val="007A18A0"/>
    <w:rsid w:val="007A1A05"/>
    <w:rsid w:val="007A1A73"/>
    <w:rsid w:val="007A1DDB"/>
    <w:rsid w:val="007A2011"/>
    <w:rsid w:val="007A2438"/>
    <w:rsid w:val="007A26B3"/>
    <w:rsid w:val="007A3056"/>
    <w:rsid w:val="007A32AD"/>
    <w:rsid w:val="007A35A9"/>
    <w:rsid w:val="007A387C"/>
    <w:rsid w:val="007A388D"/>
    <w:rsid w:val="007A3970"/>
    <w:rsid w:val="007A399D"/>
    <w:rsid w:val="007A3A02"/>
    <w:rsid w:val="007A3E49"/>
    <w:rsid w:val="007A407F"/>
    <w:rsid w:val="007A4EE3"/>
    <w:rsid w:val="007A5060"/>
    <w:rsid w:val="007A50A4"/>
    <w:rsid w:val="007A51F9"/>
    <w:rsid w:val="007A528C"/>
    <w:rsid w:val="007A5294"/>
    <w:rsid w:val="007A55EE"/>
    <w:rsid w:val="007A5C3B"/>
    <w:rsid w:val="007A5C42"/>
    <w:rsid w:val="007A61E0"/>
    <w:rsid w:val="007A62A8"/>
    <w:rsid w:val="007A65CD"/>
    <w:rsid w:val="007A6659"/>
    <w:rsid w:val="007A676C"/>
    <w:rsid w:val="007A67CE"/>
    <w:rsid w:val="007A6951"/>
    <w:rsid w:val="007A6F52"/>
    <w:rsid w:val="007A741F"/>
    <w:rsid w:val="007A7C59"/>
    <w:rsid w:val="007A7E93"/>
    <w:rsid w:val="007B00F3"/>
    <w:rsid w:val="007B079F"/>
    <w:rsid w:val="007B0E7C"/>
    <w:rsid w:val="007B0FF3"/>
    <w:rsid w:val="007B1038"/>
    <w:rsid w:val="007B1132"/>
    <w:rsid w:val="007B12B9"/>
    <w:rsid w:val="007B1540"/>
    <w:rsid w:val="007B15C5"/>
    <w:rsid w:val="007B1C44"/>
    <w:rsid w:val="007B1D53"/>
    <w:rsid w:val="007B1DD9"/>
    <w:rsid w:val="007B229B"/>
    <w:rsid w:val="007B22E6"/>
    <w:rsid w:val="007B244D"/>
    <w:rsid w:val="007B2616"/>
    <w:rsid w:val="007B26DF"/>
    <w:rsid w:val="007B2709"/>
    <w:rsid w:val="007B2E53"/>
    <w:rsid w:val="007B30C8"/>
    <w:rsid w:val="007B33AE"/>
    <w:rsid w:val="007B36CC"/>
    <w:rsid w:val="007B3B65"/>
    <w:rsid w:val="007B5479"/>
    <w:rsid w:val="007B56A6"/>
    <w:rsid w:val="007B593D"/>
    <w:rsid w:val="007B5BFE"/>
    <w:rsid w:val="007B6D3F"/>
    <w:rsid w:val="007B7082"/>
    <w:rsid w:val="007B71A4"/>
    <w:rsid w:val="007B7660"/>
    <w:rsid w:val="007C0030"/>
    <w:rsid w:val="007C03E8"/>
    <w:rsid w:val="007C071B"/>
    <w:rsid w:val="007C07A1"/>
    <w:rsid w:val="007C0A27"/>
    <w:rsid w:val="007C17AB"/>
    <w:rsid w:val="007C1A8D"/>
    <w:rsid w:val="007C2681"/>
    <w:rsid w:val="007C2836"/>
    <w:rsid w:val="007C284C"/>
    <w:rsid w:val="007C2B05"/>
    <w:rsid w:val="007C2B54"/>
    <w:rsid w:val="007C2F0C"/>
    <w:rsid w:val="007C3248"/>
    <w:rsid w:val="007C3A5E"/>
    <w:rsid w:val="007C3BE4"/>
    <w:rsid w:val="007C3F28"/>
    <w:rsid w:val="007C45C7"/>
    <w:rsid w:val="007C4650"/>
    <w:rsid w:val="007C5041"/>
    <w:rsid w:val="007C5133"/>
    <w:rsid w:val="007C5185"/>
    <w:rsid w:val="007C53F4"/>
    <w:rsid w:val="007C5464"/>
    <w:rsid w:val="007C567F"/>
    <w:rsid w:val="007C5C63"/>
    <w:rsid w:val="007C5C92"/>
    <w:rsid w:val="007C61A0"/>
    <w:rsid w:val="007C61D9"/>
    <w:rsid w:val="007C61F3"/>
    <w:rsid w:val="007C65CD"/>
    <w:rsid w:val="007C67CE"/>
    <w:rsid w:val="007C6CB8"/>
    <w:rsid w:val="007C6D20"/>
    <w:rsid w:val="007C6FAC"/>
    <w:rsid w:val="007C735D"/>
    <w:rsid w:val="007C7A8D"/>
    <w:rsid w:val="007C7CF3"/>
    <w:rsid w:val="007D0263"/>
    <w:rsid w:val="007D032B"/>
    <w:rsid w:val="007D034A"/>
    <w:rsid w:val="007D03EC"/>
    <w:rsid w:val="007D0554"/>
    <w:rsid w:val="007D0599"/>
    <w:rsid w:val="007D0739"/>
    <w:rsid w:val="007D1068"/>
    <w:rsid w:val="007D1178"/>
    <w:rsid w:val="007D117B"/>
    <w:rsid w:val="007D1457"/>
    <w:rsid w:val="007D1710"/>
    <w:rsid w:val="007D1B59"/>
    <w:rsid w:val="007D1EEE"/>
    <w:rsid w:val="007D2256"/>
    <w:rsid w:val="007D24CE"/>
    <w:rsid w:val="007D299D"/>
    <w:rsid w:val="007D36C6"/>
    <w:rsid w:val="007D3752"/>
    <w:rsid w:val="007D3854"/>
    <w:rsid w:val="007D3B15"/>
    <w:rsid w:val="007D431C"/>
    <w:rsid w:val="007D4361"/>
    <w:rsid w:val="007D445C"/>
    <w:rsid w:val="007D5560"/>
    <w:rsid w:val="007D559B"/>
    <w:rsid w:val="007D56E8"/>
    <w:rsid w:val="007D5D16"/>
    <w:rsid w:val="007D5D44"/>
    <w:rsid w:val="007D5E87"/>
    <w:rsid w:val="007D5EC3"/>
    <w:rsid w:val="007D5FDB"/>
    <w:rsid w:val="007D60D9"/>
    <w:rsid w:val="007D646C"/>
    <w:rsid w:val="007D67E9"/>
    <w:rsid w:val="007D69A5"/>
    <w:rsid w:val="007D69CD"/>
    <w:rsid w:val="007D71E0"/>
    <w:rsid w:val="007D73EE"/>
    <w:rsid w:val="007D7483"/>
    <w:rsid w:val="007D7511"/>
    <w:rsid w:val="007D7719"/>
    <w:rsid w:val="007D776B"/>
    <w:rsid w:val="007D7936"/>
    <w:rsid w:val="007D7998"/>
    <w:rsid w:val="007D7ACD"/>
    <w:rsid w:val="007D7BAD"/>
    <w:rsid w:val="007D7C3B"/>
    <w:rsid w:val="007E031E"/>
    <w:rsid w:val="007E0598"/>
    <w:rsid w:val="007E0836"/>
    <w:rsid w:val="007E0863"/>
    <w:rsid w:val="007E0A18"/>
    <w:rsid w:val="007E0EC3"/>
    <w:rsid w:val="007E0EFC"/>
    <w:rsid w:val="007E1029"/>
    <w:rsid w:val="007E10CE"/>
    <w:rsid w:val="007E1125"/>
    <w:rsid w:val="007E1809"/>
    <w:rsid w:val="007E199F"/>
    <w:rsid w:val="007E1AE3"/>
    <w:rsid w:val="007E1C15"/>
    <w:rsid w:val="007E2016"/>
    <w:rsid w:val="007E2BDB"/>
    <w:rsid w:val="007E3696"/>
    <w:rsid w:val="007E3786"/>
    <w:rsid w:val="007E4195"/>
    <w:rsid w:val="007E4B64"/>
    <w:rsid w:val="007E4D9B"/>
    <w:rsid w:val="007E508F"/>
    <w:rsid w:val="007E54F1"/>
    <w:rsid w:val="007E55CA"/>
    <w:rsid w:val="007E55EA"/>
    <w:rsid w:val="007E5A9E"/>
    <w:rsid w:val="007E5D41"/>
    <w:rsid w:val="007E6015"/>
    <w:rsid w:val="007E6319"/>
    <w:rsid w:val="007E695D"/>
    <w:rsid w:val="007E6A35"/>
    <w:rsid w:val="007E6BF7"/>
    <w:rsid w:val="007E70DB"/>
    <w:rsid w:val="007E7D9B"/>
    <w:rsid w:val="007F0559"/>
    <w:rsid w:val="007F067B"/>
    <w:rsid w:val="007F15F3"/>
    <w:rsid w:val="007F16D4"/>
    <w:rsid w:val="007F17C1"/>
    <w:rsid w:val="007F1E58"/>
    <w:rsid w:val="007F2027"/>
    <w:rsid w:val="007F267E"/>
    <w:rsid w:val="007F26E2"/>
    <w:rsid w:val="007F28D7"/>
    <w:rsid w:val="007F2B79"/>
    <w:rsid w:val="007F2F0F"/>
    <w:rsid w:val="007F320B"/>
    <w:rsid w:val="007F3591"/>
    <w:rsid w:val="007F3622"/>
    <w:rsid w:val="007F388D"/>
    <w:rsid w:val="007F3964"/>
    <w:rsid w:val="007F3B88"/>
    <w:rsid w:val="007F3E76"/>
    <w:rsid w:val="007F40E5"/>
    <w:rsid w:val="007F4297"/>
    <w:rsid w:val="007F43B2"/>
    <w:rsid w:val="007F457C"/>
    <w:rsid w:val="007F45E6"/>
    <w:rsid w:val="007F4671"/>
    <w:rsid w:val="007F4E26"/>
    <w:rsid w:val="007F4E7D"/>
    <w:rsid w:val="007F51F8"/>
    <w:rsid w:val="007F52FD"/>
    <w:rsid w:val="007F55BD"/>
    <w:rsid w:val="007F56E0"/>
    <w:rsid w:val="007F5760"/>
    <w:rsid w:val="007F5BCB"/>
    <w:rsid w:val="007F5C48"/>
    <w:rsid w:val="007F5EBD"/>
    <w:rsid w:val="007F613D"/>
    <w:rsid w:val="007F61FF"/>
    <w:rsid w:val="007F6434"/>
    <w:rsid w:val="007F6669"/>
    <w:rsid w:val="007F66BD"/>
    <w:rsid w:val="007F68A6"/>
    <w:rsid w:val="007F69F2"/>
    <w:rsid w:val="007F6C29"/>
    <w:rsid w:val="007F6C6C"/>
    <w:rsid w:val="007F7361"/>
    <w:rsid w:val="007F77FB"/>
    <w:rsid w:val="007F7923"/>
    <w:rsid w:val="007F7A9E"/>
    <w:rsid w:val="007F7F04"/>
    <w:rsid w:val="00800563"/>
    <w:rsid w:val="00800610"/>
    <w:rsid w:val="00800B73"/>
    <w:rsid w:val="00801A90"/>
    <w:rsid w:val="00801D1C"/>
    <w:rsid w:val="0080206C"/>
    <w:rsid w:val="008020FE"/>
    <w:rsid w:val="00802227"/>
    <w:rsid w:val="0080228D"/>
    <w:rsid w:val="00802647"/>
    <w:rsid w:val="008028AE"/>
    <w:rsid w:val="00802AC3"/>
    <w:rsid w:val="00802CF8"/>
    <w:rsid w:val="00803008"/>
    <w:rsid w:val="0080306A"/>
    <w:rsid w:val="00803120"/>
    <w:rsid w:val="008036AA"/>
    <w:rsid w:val="00803AFD"/>
    <w:rsid w:val="00803C27"/>
    <w:rsid w:val="00803FBA"/>
    <w:rsid w:val="0080428F"/>
    <w:rsid w:val="0080436A"/>
    <w:rsid w:val="008043CD"/>
    <w:rsid w:val="00804A55"/>
    <w:rsid w:val="00804BDF"/>
    <w:rsid w:val="00805654"/>
    <w:rsid w:val="008056DB"/>
    <w:rsid w:val="008056F1"/>
    <w:rsid w:val="00805E4D"/>
    <w:rsid w:val="00806497"/>
    <w:rsid w:val="008064B6"/>
    <w:rsid w:val="008068F9"/>
    <w:rsid w:val="00806AB4"/>
    <w:rsid w:val="00806AE3"/>
    <w:rsid w:val="008071EE"/>
    <w:rsid w:val="008072C4"/>
    <w:rsid w:val="00807423"/>
    <w:rsid w:val="00807730"/>
    <w:rsid w:val="00807BB9"/>
    <w:rsid w:val="00807C33"/>
    <w:rsid w:val="00810233"/>
    <w:rsid w:val="00810951"/>
    <w:rsid w:val="00810C18"/>
    <w:rsid w:val="008113F2"/>
    <w:rsid w:val="008114BD"/>
    <w:rsid w:val="008115C7"/>
    <w:rsid w:val="008116C4"/>
    <w:rsid w:val="00811893"/>
    <w:rsid w:val="00811A10"/>
    <w:rsid w:val="00811AE1"/>
    <w:rsid w:val="00811E61"/>
    <w:rsid w:val="00812608"/>
    <w:rsid w:val="00812690"/>
    <w:rsid w:val="008126D3"/>
    <w:rsid w:val="00812F6D"/>
    <w:rsid w:val="0081304B"/>
    <w:rsid w:val="00813462"/>
    <w:rsid w:val="008134E2"/>
    <w:rsid w:val="00814029"/>
    <w:rsid w:val="00815244"/>
    <w:rsid w:val="00815A4B"/>
    <w:rsid w:val="008163B2"/>
    <w:rsid w:val="008165CD"/>
    <w:rsid w:val="00816753"/>
    <w:rsid w:val="008168E6"/>
    <w:rsid w:val="00817B05"/>
    <w:rsid w:val="00820120"/>
    <w:rsid w:val="008207E0"/>
    <w:rsid w:val="00820C66"/>
    <w:rsid w:val="00820D57"/>
    <w:rsid w:val="00820F47"/>
    <w:rsid w:val="008211F9"/>
    <w:rsid w:val="008214BD"/>
    <w:rsid w:val="0082150F"/>
    <w:rsid w:val="008216C6"/>
    <w:rsid w:val="0082191D"/>
    <w:rsid w:val="00821B21"/>
    <w:rsid w:val="00821B42"/>
    <w:rsid w:val="00821D4F"/>
    <w:rsid w:val="00822018"/>
    <w:rsid w:val="008221ED"/>
    <w:rsid w:val="0082264D"/>
    <w:rsid w:val="00822986"/>
    <w:rsid w:val="00822C4C"/>
    <w:rsid w:val="00822D19"/>
    <w:rsid w:val="00822D7C"/>
    <w:rsid w:val="00823006"/>
    <w:rsid w:val="0082327B"/>
    <w:rsid w:val="008242A2"/>
    <w:rsid w:val="00824531"/>
    <w:rsid w:val="008246E7"/>
    <w:rsid w:val="00824AA7"/>
    <w:rsid w:val="00824CFE"/>
    <w:rsid w:val="00824DCD"/>
    <w:rsid w:val="00824DFE"/>
    <w:rsid w:val="008253AB"/>
    <w:rsid w:val="008257BA"/>
    <w:rsid w:val="00825F41"/>
    <w:rsid w:val="00825FD4"/>
    <w:rsid w:val="00826157"/>
    <w:rsid w:val="00826487"/>
    <w:rsid w:val="00826D9D"/>
    <w:rsid w:val="00826D9E"/>
    <w:rsid w:val="0082754D"/>
    <w:rsid w:val="008278F9"/>
    <w:rsid w:val="00827A91"/>
    <w:rsid w:val="00827AF3"/>
    <w:rsid w:val="00827FDC"/>
    <w:rsid w:val="00830272"/>
    <w:rsid w:val="00830DD0"/>
    <w:rsid w:val="00830ECF"/>
    <w:rsid w:val="008313A6"/>
    <w:rsid w:val="00831437"/>
    <w:rsid w:val="00831CCC"/>
    <w:rsid w:val="00831F2A"/>
    <w:rsid w:val="00832074"/>
    <w:rsid w:val="00832386"/>
    <w:rsid w:val="0083270C"/>
    <w:rsid w:val="00832880"/>
    <w:rsid w:val="0083335A"/>
    <w:rsid w:val="008333F3"/>
    <w:rsid w:val="00833483"/>
    <w:rsid w:val="0083361E"/>
    <w:rsid w:val="00833C30"/>
    <w:rsid w:val="00833DBE"/>
    <w:rsid w:val="00833F21"/>
    <w:rsid w:val="00834B25"/>
    <w:rsid w:val="00834B89"/>
    <w:rsid w:val="00835182"/>
    <w:rsid w:val="00835191"/>
    <w:rsid w:val="00835207"/>
    <w:rsid w:val="00835DC7"/>
    <w:rsid w:val="008365D4"/>
    <w:rsid w:val="00836921"/>
    <w:rsid w:val="0083696F"/>
    <w:rsid w:val="0083698A"/>
    <w:rsid w:val="00837014"/>
    <w:rsid w:val="0083792D"/>
    <w:rsid w:val="00837976"/>
    <w:rsid w:val="00837F01"/>
    <w:rsid w:val="00837F6F"/>
    <w:rsid w:val="008401D9"/>
    <w:rsid w:val="008407DB"/>
    <w:rsid w:val="00840C35"/>
    <w:rsid w:val="00840E3D"/>
    <w:rsid w:val="00840EA2"/>
    <w:rsid w:val="00841EC3"/>
    <w:rsid w:val="0084220E"/>
    <w:rsid w:val="008422A3"/>
    <w:rsid w:val="008424C1"/>
    <w:rsid w:val="008425CC"/>
    <w:rsid w:val="00842956"/>
    <w:rsid w:val="00842C75"/>
    <w:rsid w:val="00842C98"/>
    <w:rsid w:val="00842CC0"/>
    <w:rsid w:val="00843705"/>
    <w:rsid w:val="00843894"/>
    <w:rsid w:val="00843B55"/>
    <w:rsid w:val="00843D1B"/>
    <w:rsid w:val="00843F13"/>
    <w:rsid w:val="008441C5"/>
    <w:rsid w:val="0084439B"/>
    <w:rsid w:val="00844732"/>
    <w:rsid w:val="008449B5"/>
    <w:rsid w:val="00844E48"/>
    <w:rsid w:val="00844EC9"/>
    <w:rsid w:val="00845253"/>
    <w:rsid w:val="0084535B"/>
    <w:rsid w:val="00845577"/>
    <w:rsid w:val="008455CD"/>
    <w:rsid w:val="00845881"/>
    <w:rsid w:val="0084597B"/>
    <w:rsid w:val="008459FB"/>
    <w:rsid w:val="00845B6E"/>
    <w:rsid w:val="00845C32"/>
    <w:rsid w:val="00845C60"/>
    <w:rsid w:val="00845F63"/>
    <w:rsid w:val="008462CB"/>
    <w:rsid w:val="0084634C"/>
    <w:rsid w:val="0084678C"/>
    <w:rsid w:val="0084688F"/>
    <w:rsid w:val="00846E83"/>
    <w:rsid w:val="00846EEA"/>
    <w:rsid w:val="0084717C"/>
    <w:rsid w:val="0084722C"/>
    <w:rsid w:val="00847356"/>
    <w:rsid w:val="00847591"/>
    <w:rsid w:val="00847789"/>
    <w:rsid w:val="00847849"/>
    <w:rsid w:val="00847871"/>
    <w:rsid w:val="00847B7A"/>
    <w:rsid w:val="00847F98"/>
    <w:rsid w:val="008500FE"/>
    <w:rsid w:val="008501C5"/>
    <w:rsid w:val="008503CB"/>
    <w:rsid w:val="00850947"/>
    <w:rsid w:val="00850B5D"/>
    <w:rsid w:val="00851716"/>
    <w:rsid w:val="00851ABF"/>
    <w:rsid w:val="008526E8"/>
    <w:rsid w:val="00852976"/>
    <w:rsid w:val="00852AF2"/>
    <w:rsid w:val="00852B20"/>
    <w:rsid w:val="00852C00"/>
    <w:rsid w:val="00853445"/>
    <w:rsid w:val="008538B5"/>
    <w:rsid w:val="00853985"/>
    <w:rsid w:val="00853A9E"/>
    <w:rsid w:val="00853E3F"/>
    <w:rsid w:val="00854180"/>
    <w:rsid w:val="0085433D"/>
    <w:rsid w:val="008545FC"/>
    <w:rsid w:val="008546D2"/>
    <w:rsid w:val="0085476D"/>
    <w:rsid w:val="00854CE3"/>
    <w:rsid w:val="0085535A"/>
    <w:rsid w:val="00855890"/>
    <w:rsid w:val="00855A5B"/>
    <w:rsid w:val="00856494"/>
    <w:rsid w:val="008564B7"/>
    <w:rsid w:val="00856793"/>
    <w:rsid w:val="008567B6"/>
    <w:rsid w:val="00856AA3"/>
    <w:rsid w:val="00856B0C"/>
    <w:rsid w:val="00856DD0"/>
    <w:rsid w:val="0085717C"/>
    <w:rsid w:val="008571A1"/>
    <w:rsid w:val="00857471"/>
    <w:rsid w:val="00857797"/>
    <w:rsid w:val="00857867"/>
    <w:rsid w:val="00857F52"/>
    <w:rsid w:val="008608A7"/>
    <w:rsid w:val="008608CD"/>
    <w:rsid w:val="00860A9A"/>
    <w:rsid w:val="00861319"/>
    <w:rsid w:val="00861631"/>
    <w:rsid w:val="0086166A"/>
    <w:rsid w:val="00861994"/>
    <w:rsid w:val="00862201"/>
    <w:rsid w:val="00862286"/>
    <w:rsid w:val="0086255B"/>
    <w:rsid w:val="00862B14"/>
    <w:rsid w:val="00863102"/>
    <w:rsid w:val="00863392"/>
    <w:rsid w:val="008635F3"/>
    <w:rsid w:val="00863634"/>
    <w:rsid w:val="008637B1"/>
    <w:rsid w:val="0086394D"/>
    <w:rsid w:val="0086399D"/>
    <w:rsid w:val="00863AF2"/>
    <w:rsid w:val="008644BD"/>
    <w:rsid w:val="00865403"/>
    <w:rsid w:val="008654BF"/>
    <w:rsid w:val="00865714"/>
    <w:rsid w:val="008658A3"/>
    <w:rsid w:val="0086594E"/>
    <w:rsid w:val="00865A89"/>
    <w:rsid w:val="00865D16"/>
    <w:rsid w:val="00865D41"/>
    <w:rsid w:val="008661B2"/>
    <w:rsid w:val="00866661"/>
    <w:rsid w:val="008668D8"/>
    <w:rsid w:val="0086695A"/>
    <w:rsid w:val="00866F34"/>
    <w:rsid w:val="00867750"/>
    <w:rsid w:val="008677D2"/>
    <w:rsid w:val="008678C7"/>
    <w:rsid w:val="0087002C"/>
    <w:rsid w:val="00870083"/>
    <w:rsid w:val="008700DB"/>
    <w:rsid w:val="0087014D"/>
    <w:rsid w:val="00870782"/>
    <w:rsid w:val="00870B34"/>
    <w:rsid w:val="00870B70"/>
    <w:rsid w:val="00870D97"/>
    <w:rsid w:val="00871410"/>
    <w:rsid w:val="0087163C"/>
    <w:rsid w:val="00871A17"/>
    <w:rsid w:val="00871A50"/>
    <w:rsid w:val="00872238"/>
    <w:rsid w:val="008726B7"/>
    <w:rsid w:val="008726F0"/>
    <w:rsid w:val="00873220"/>
    <w:rsid w:val="008735F7"/>
    <w:rsid w:val="00873617"/>
    <w:rsid w:val="00873866"/>
    <w:rsid w:val="00873AB6"/>
    <w:rsid w:val="00873C3B"/>
    <w:rsid w:val="00874734"/>
    <w:rsid w:val="00874740"/>
    <w:rsid w:val="00874B5C"/>
    <w:rsid w:val="00874F82"/>
    <w:rsid w:val="00874F8E"/>
    <w:rsid w:val="00875157"/>
    <w:rsid w:val="008756B8"/>
    <w:rsid w:val="00875BA9"/>
    <w:rsid w:val="00875CCE"/>
    <w:rsid w:val="0087632E"/>
    <w:rsid w:val="008766AE"/>
    <w:rsid w:val="008769BE"/>
    <w:rsid w:val="008769FF"/>
    <w:rsid w:val="00876B3B"/>
    <w:rsid w:val="00876B54"/>
    <w:rsid w:val="00876CA4"/>
    <w:rsid w:val="00876F45"/>
    <w:rsid w:val="0087736E"/>
    <w:rsid w:val="0087756A"/>
    <w:rsid w:val="008778C7"/>
    <w:rsid w:val="00877A02"/>
    <w:rsid w:val="00877BA9"/>
    <w:rsid w:val="00877DCE"/>
    <w:rsid w:val="00877F83"/>
    <w:rsid w:val="008801D9"/>
    <w:rsid w:val="00880217"/>
    <w:rsid w:val="00880511"/>
    <w:rsid w:val="008807EB"/>
    <w:rsid w:val="00880F54"/>
    <w:rsid w:val="00881022"/>
    <w:rsid w:val="008811E4"/>
    <w:rsid w:val="0088196E"/>
    <w:rsid w:val="00882C9C"/>
    <w:rsid w:val="00883064"/>
    <w:rsid w:val="00883415"/>
    <w:rsid w:val="00883AB5"/>
    <w:rsid w:val="00883BBD"/>
    <w:rsid w:val="00884380"/>
    <w:rsid w:val="0088447C"/>
    <w:rsid w:val="00884970"/>
    <w:rsid w:val="00884A52"/>
    <w:rsid w:val="00884CD7"/>
    <w:rsid w:val="0088520B"/>
    <w:rsid w:val="0088554C"/>
    <w:rsid w:val="008857F8"/>
    <w:rsid w:val="00885997"/>
    <w:rsid w:val="0088607B"/>
    <w:rsid w:val="00886388"/>
    <w:rsid w:val="00886494"/>
    <w:rsid w:val="00886BC1"/>
    <w:rsid w:val="0088785E"/>
    <w:rsid w:val="00887885"/>
    <w:rsid w:val="00887FF2"/>
    <w:rsid w:val="00890154"/>
    <w:rsid w:val="008905CA"/>
    <w:rsid w:val="00890633"/>
    <w:rsid w:val="00890CA6"/>
    <w:rsid w:val="00891054"/>
    <w:rsid w:val="00891275"/>
    <w:rsid w:val="00891586"/>
    <w:rsid w:val="00891CBE"/>
    <w:rsid w:val="00891EB7"/>
    <w:rsid w:val="008921A1"/>
    <w:rsid w:val="00892C0F"/>
    <w:rsid w:val="00892C23"/>
    <w:rsid w:val="00892D17"/>
    <w:rsid w:val="00893326"/>
    <w:rsid w:val="0089360A"/>
    <w:rsid w:val="00893A16"/>
    <w:rsid w:val="00893ACF"/>
    <w:rsid w:val="00893B5E"/>
    <w:rsid w:val="00893F19"/>
    <w:rsid w:val="008940F4"/>
    <w:rsid w:val="00894253"/>
    <w:rsid w:val="008946B7"/>
    <w:rsid w:val="008947C8"/>
    <w:rsid w:val="00894B43"/>
    <w:rsid w:val="00894F61"/>
    <w:rsid w:val="00894F67"/>
    <w:rsid w:val="008955CE"/>
    <w:rsid w:val="00895821"/>
    <w:rsid w:val="00895863"/>
    <w:rsid w:val="00895E48"/>
    <w:rsid w:val="008967AE"/>
    <w:rsid w:val="00896AE7"/>
    <w:rsid w:val="00896E54"/>
    <w:rsid w:val="008971FB"/>
    <w:rsid w:val="008975D0"/>
    <w:rsid w:val="00897703"/>
    <w:rsid w:val="00897BE1"/>
    <w:rsid w:val="008A0090"/>
    <w:rsid w:val="008A0249"/>
    <w:rsid w:val="008A072A"/>
    <w:rsid w:val="008A0934"/>
    <w:rsid w:val="008A0A2E"/>
    <w:rsid w:val="008A0CC5"/>
    <w:rsid w:val="008A0F3E"/>
    <w:rsid w:val="008A1903"/>
    <w:rsid w:val="008A1AF7"/>
    <w:rsid w:val="008A1D73"/>
    <w:rsid w:val="008A1E59"/>
    <w:rsid w:val="008A206C"/>
    <w:rsid w:val="008A2081"/>
    <w:rsid w:val="008A2936"/>
    <w:rsid w:val="008A2B38"/>
    <w:rsid w:val="008A2B9D"/>
    <w:rsid w:val="008A31F0"/>
    <w:rsid w:val="008A42D5"/>
    <w:rsid w:val="008A43FE"/>
    <w:rsid w:val="008A4D73"/>
    <w:rsid w:val="008A5780"/>
    <w:rsid w:val="008A5801"/>
    <w:rsid w:val="008A59C8"/>
    <w:rsid w:val="008A6469"/>
    <w:rsid w:val="008A6748"/>
    <w:rsid w:val="008A6793"/>
    <w:rsid w:val="008A6F42"/>
    <w:rsid w:val="008A7CF7"/>
    <w:rsid w:val="008A7EF7"/>
    <w:rsid w:val="008B0124"/>
    <w:rsid w:val="008B025A"/>
    <w:rsid w:val="008B031F"/>
    <w:rsid w:val="008B04C5"/>
    <w:rsid w:val="008B05BF"/>
    <w:rsid w:val="008B07AE"/>
    <w:rsid w:val="008B0CAD"/>
    <w:rsid w:val="008B1076"/>
    <w:rsid w:val="008B11C6"/>
    <w:rsid w:val="008B13C5"/>
    <w:rsid w:val="008B1AB5"/>
    <w:rsid w:val="008B1B82"/>
    <w:rsid w:val="008B1CBF"/>
    <w:rsid w:val="008B1F1F"/>
    <w:rsid w:val="008B1F2E"/>
    <w:rsid w:val="008B232F"/>
    <w:rsid w:val="008B2AF3"/>
    <w:rsid w:val="008B2DDC"/>
    <w:rsid w:val="008B2EC6"/>
    <w:rsid w:val="008B313C"/>
    <w:rsid w:val="008B31EA"/>
    <w:rsid w:val="008B3600"/>
    <w:rsid w:val="008B3B60"/>
    <w:rsid w:val="008B3E0A"/>
    <w:rsid w:val="008B4127"/>
    <w:rsid w:val="008B4881"/>
    <w:rsid w:val="008B4E25"/>
    <w:rsid w:val="008B4EC7"/>
    <w:rsid w:val="008B51C5"/>
    <w:rsid w:val="008B56A3"/>
    <w:rsid w:val="008B58C0"/>
    <w:rsid w:val="008B5B83"/>
    <w:rsid w:val="008B5B8B"/>
    <w:rsid w:val="008B5BDA"/>
    <w:rsid w:val="008B5C26"/>
    <w:rsid w:val="008B63C2"/>
    <w:rsid w:val="008B6675"/>
    <w:rsid w:val="008B69A0"/>
    <w:rsid w:val="008B69FB"/>
    <w:rsid w:val="008B6BE8"/>
    <w:rsid w:val="008B7044"/>
    <w:rsid w:val="008B7655"/>
    <w:rsid w:val="008C0036"/>
    <w:rsid w:val="008C0412"/>
    <w:rsid w:val="008C0651"/>
    <w:rsid w:val="008C08E9"/>
    <w:rsid w:val="008C094C"/>
    <w:rsid w:val="008C0B68"/>
    <w:rsid w:val="008C0F03"/>
    <w:rsid w:val="008C10D7"/>
    <w:rsid w:val="008C139A"/>
    <w:rsid w:val="008C14F0"/>
    <w:rsid w:val="008C1890"/>
    <w:rsid w:val="008C1E45"/>
    <w:rsid w:val="008C234E"/>
    <w:rsid w:val="008C2362"/>
    <w:rsid w:val="008C24B4"/>
    <w:rsid w:val="008C25F9"/>
    <w:rsid w:val="008C28DA"/>
    <w:rsid w:val="008C2A11"/>
    <w:rsid w:val="008C2C41"/>
    <w:rsid w:val="008C2E97"/>
    <w:rsid w:val="008C317A"/>
    <w:rsid w:val="008C3407"/>
    <w:rsid w:val="008C340E"/>
    <w:rsid w:val="008C3697"/>
    <w:rsid w:val="008C394D"/>
    <w:rsid w:val="008C3A99"/>
    <w:rsid w:val="008C3B31"/>
    <w:rsid w:val="008C40A5"/>
    <w:rsid w:val="008C4631"/>
    <w:rsid w:val="008C4B33"/>
    <w:rsid w:val="008C4F2A"/>
    <w:rsid w:val="008C51B0"/>
    <w:rsid w:val="008C52DB"/>
    <w:rsid w:val="008C53C8"/>
    <w:rsid w:val="008C541A"/>
    <w:rsid w:val="008C5BC6"/>
    <w:rsid w:val="008C5F45"/>
    <w:rsid w:val="008C62A1"/>
    <w:rsid w:val="008C6476"/>
    <w:rsid w:val="008C64AD"/>
    <w:rsid w:val="008C6AAF"/>
    <w:rsid w:val="008C70E8"/>
    <w:rsid w:val="008C7272"/>
    <w:rsid w:val="008C77AB"/>
    <w:rsid w:val="008C7B5F"/>
    <w:rsid w:val="008D03A1"/>
    <w:rsid w:val="008D03CD"/>
    <w:rsid w:val="008D0D06"/>
    <w:rsid w:val="008D0D10"/>
    <w:rsid w:val="008D0D71"/>
    <w:rsid w:val="008D0F23"/>
    <w:rsid w:val="008D1068"/>
    <w:rsid w:val="008D139B"/>
    <w:rsid w:val="008D1896"/>
    <w:rsid w:val="008D1CAD"/>
    <w:rsid w:val="008D1EF9"/>
    <w:rsid w:val="008D1FCB"/>
    <w:rsid w:val="008D1FD6"/>
    <w:rsid w:val="008D20C7"/>
    <w:rsid w:val="008D2D37"/>
    <w:rsid w:val="008D30DC"/>
    <w:rsid w:val="008D3208"/>
    <w:rsid w:val="008D326F"/>
    <w:rsid w:val="008D3644"/>
    <w:rsid w:val="008D3C09"/>
    <w:rsid w:val="008D3EF1"/>
    <w:rsid w:val="008D41B3"/>
    <w:rsid w:val="008D4229"/>
    <w:rsid w:val="008D42B3"/>
    <w:rsid w:val="008D44BD"/>
    <w:rsid w:val="008D44CD"/>
    <w:rsid w:val="008D46A5"/>
    <w:rsid w:val="008D4838"/>
    <w:rsid w:val="008D494C"/>
    <w:rsid w:val="008D4F3F"/>
    <w:rsid w:val="008D51DC"/>
    <w:rsid w:val="008D5439"/>
    <w:rsid w:val="008D576F"/>
    <w:rsid w:val="008D578B"/>
    <w:rsid w:val="008D63BC"/>
    <w:rsid w:val="008D653E"/>
    <w:rsid w:val="008D6BC9"/>
    <w:rsid w:val="008D6C1E"/>
    <w:rsid w:val="008D6C58"/>
    <w:rsid w:val="008D6E72"/>
    <w:rsid w:val="008D70D7"/>
    <w:rsid w:val="008D7364"/>
    <w:rsid w:val="008D77B4"/>
    <w:rsid w:val="008D7F94"/>
    <w:rsid w:val="008E020D"/>
    <w:rsid w:val="008E03A5"/>
    <w:rsid w:val="008E04D2"/>
    <w:rsid w:val="008E094C"/>
    <w:rsid w:val="008E09D4"/>
    <w:rsid w:val="008E0A73"/>
    <w:rsid w:val="008E0CBB"/>
    <w:rsid w:val="008E163D"/>
    <w:rsid w:val="008E1DF4"/>
    <w:rsid w:val="008E2130"/>
    <w:rsid w:val="008E238E"/>
    <w:rsid w:val="008E23BF"/>
    <w:rsid w:val="008E25C8"/>
    <w:rsid w:val="008E2702"/>
    <w:rsid w:val="008E2768"/>
    <w:rsid w:val="008E278E"/>
    <w:rsid w:val="008E28E7"/>
    <w:rsid w:val="008E2EDF"/>
    <w:rsid w:val="008E3045"/>
    <w:rsid w:val="008E3488"/>
    <w:rsid w:val="008E34E1"/>
    <w:rsid w:val="008E3D69"/>
    <w:rsid w:val="008E3F15"/>
    <w:rsid w:val="008E40CA"/>
    <w:rsid w:val="008E43D6"/>
    <w:rsid w:val="008E487B"/>
    <w:rsid w:val="008E4BAC"/>
    <w:rsid w:val="008E4DF8"/>
    <w:rsid w:val="008E4EC6"/>
    <w:rsid w:val="008E527C"/>
    <w:rsid w:val="008E5636"/>
    <w:rsid w:val="008E58B9"/>
    <w:rsid w:val="008E5BA1"/>
    <w:rsid w:val="008E5ECB"/>
    <w:rsid w:val="008E5FA4"/>
    <w:rsid w:val="008E6186"/>
    <w:rsid w:val="008E61E4"/>
    <w:rsid w:val="008E6261"/>
    <w:rsid w:val="008E6812"/>
    <w:rsid w:val="008E6DCE"/>
    <w:rsid w:val="008E6F36"/>
    <w:rsid w:val="008E70F5"/>
    <w:rsid w:val="008E7591"/>
    <w:rsid w:val="008E7A0C"/>
    <w:rsid w:val="008F00A7"/>
    <w:rsid w:val="008F02FF"/>
    <w:rsid w:val="008F046D"/>
    <w:rsid w:val="008F0713"/>
    <w:rsid w:val="008F0901"/>
    <w:rsid w:val="008F0E49"/>
    <w:rsid w:val="008F21E0"/>
    <w:rsid w:val="008F2A97"/>
    <w:rsid w:val="008F2E20"/>
    <w:rsid w:val="008F2FBF"/>
    <w:rsid w:val="008F309B"/>
    <w:rsid w:val="008F3B96"/>
    <w:rsid w:val="008F3BA9"/>
    <w:rsid w:val="008F3BDE"/>
    <w:rsid w:val="008F4034"/>
    <w:rsid w:val="008F4078"/>
    <w:rsid w:val="008F4503"/>
    <w:rsid w:val="008F4651"/>
    <w:rsid w:val="008F4933"/>
    <w:rsid w:val="008F4B3F"/>
    <w:rsid w:val="008F4FD0"/>
    <w:rsid w:val="008F52EA"/>
    <w:rsid w:val="008F53E9"/>
    <w:rsid w:val="008F5555"/>
    <w:rsid w:val="008F556F"/>
    <w:rsid w:val="008F5685"/>
    <w:rsid w:val="008F572D"/>
    <w:rsid w:val="008F59FB"/>
    <w:rsid w:val="008F5FEC"/>
    <w:rsid w:val="008F6367"/>
    <w:rsid w:val="008F6860"/>
    <w:rsid w:val="008F68B9"/>
    <w:rsid w:val="008F68E8"/>
    <w:rsid w:val="008F713E"/>
    <w:rsid w:val="008F715C"/>
    <w:rsid w:val="008F7405"/>
    <w:rsid w:val="008F7640"/>
    <w:rsid w:val="008F7C3B"/>
    <w:rsid w:val="008F7D2A"/>
    <w:rsid w:val="008F7D63"/>
    <w:rsid w:val="009000D5"/>
    <w:rsid w:val="009000EA"/>
    <w:rsid w:val="0090052F"/>
    <w:rsid w:val="009005BE"/>
    <w:rsid w:val="00900638"/>
    <w:rsid w:val="0090076F"/>
    <w:rsid w:val="00900E95"/>
    <w:rsid w:val="00901C66"/>
    <w:rsid w:val="00901CD3"/>
    <w:rsid w:val="0090208F"/>
    <w:rsid w:val="00902177"/>
    <w:rsid w:val="00902262"/>
    <w:rsid w:val="009023AB"/>
    <w:rsid w:val="00902608"/>
    <w:rsid w:val="00902CC7"/>
    <w:rsid w:val="00902D27"/>
    <w:rsid w:val="00902E59"/>
    <w:rsid w:val="0090301A"/>
    <w:rsid w:val="00903602"/>
    <w:rsid w:val="00903698"/>
    <w:rsid w:val="0090389A"/>
    <w:rsid w:val="00903BA0"/>
    <w:rsid w:val="009045E6"/>
    <w:rsid w:val="00904821"/>
    <w:rsid w:val="00904D7A"/>
    <w:rsid w:val="00904F43"/>
    <w:rsid w:val="00905501"/>
    <w:rsid w:val="00905B57"/>
    <w:rsid w:val="00905C57"/>
    <w:rsid w:val="00905C5E"/>
    <w:rsid w:val="00905DA9"/>
    <w:rsid w:val="00905E99"/>
    <w:rsid w:val="0090631C"/>
    <w:rsid w:val="0090631D"/>
    <w:rsid w:val="00906398"/>
    <w:rsid w:val="00906E35"/>
    <w:rsid w:val="00906EFC"/>
    <w:rsid w:val="00906F21"/>
    <w:rsid w:val="0090739B"/>
    <w:rsid w:val="009074F6"/>
    <w:rsid w:val="0090750B"/>
    <w:rsid w:val="00907992"/>
    <w:rsid w:val="009079A6"/>
    <w:rsid w:val="00907E9B"/>
    <w:rsid w:val="009106A1"/>
    <w:rsid w:val="00910A16"/>
    <w:rsid w:val="00911168"/>
    <w:rsid w:val="00911A5E"/>
    <w:rsid w:val="00911F62"/>
    <w:rsid w:val="00912031"/>
    <w:rsid w:val="00913263"/>
    <w:rsid w:val="009132D2"/>
    <w:rsid w:val="0091369C"/>
    <w:rsid w:val="00913728"/>
    <w:rsid w:val="0091374F"/>
    <w:rsid w:val="0091390F"/>
    <w:rsid w:val="009139C7"/>
    <w:rsid w:val="00914061"/>
    <w:rsid w:val="0091421C"/>
    <w:rsid w:val="0091443E"/>
    <w:rsid w:val="0091533A"/>
    <w:rsid w:val="009156D9"/>
    <w:rsid w:val="00915AC5"/>
    <w:rsid w:val="00915B27"/>
    <w:rsid w:val="00916032"/>
    <w:rsid w:val="00917210"/>
    <w:rsid w:val="0091766E"/>
    <w:rsid w:val="00917B35"/>
    <w:rsid w:val="00917D30"/>
    <w:rsid w:val="009205DE"/>
    <w:rsid w:val="009206A8"/>
    <w:rsid w:val="00920800"/>
    <w:rsid w:val="0092081E"/>
    <w:rsid w:val="00921370"/>
    <w:rsid w:val="009216AD"/>
    <w:rsid w:val="00921744"/>
    <w:rsid w:val="009217C0"/>
    <w:rsid w:val="00921AD8"/>
    <w:rsid w:val="00921F8C"/>
    <w:rsid w:val="0092212C"/>
    <w:rsid w:val="009226AF"/>
    <w:rsid w:val="00922D79"/>
    <w:rsid w:val="009230C9"/>
    <w:rsid w:val="0092369E"/>
    <w:rsid w:val="009237F8"/>
    <w:rsid w:val="00923E06"/>
    <w:rsid w:val="009240E3"/>
    <w:rsid w:val="0092478E"/>
    <w:rsid w:val="0092486D"/>
    <w:rsid w:val="00924962"/>
    <w:rsid w:val="00924972"/>
    <w:rsid w:val="00924B8B"/>
    <w:rsid w:val="00924ED3"/>
    <w:rsid w:val="00925023"/>
    <w:rsid w:val="0092586C"/>
    <w:rsid w:val="009258E2"/>
    <w:rsid w:val="00925B71"/>
    <w:rsid w:val="00925D4A"/>
    <w:rsid w:val="00926175"/>
    <w:rsid w:val="009261E6"/>
    <w:rsid w:val="00926701"/>
    <w:rsid w:val="0092674E"/>
    <w:rsid w:val="00926AA0"/>
    <w:rsid w:val="00927494"/>
    <w:rsid w:val="009275A1"/>
    <w:rsid w:val="00927E9C"/>
    <w:rsid w:val="00927EA5"/>
    <w:rsid w:val="0093015B"/>
    <w:rsid w:val="00930345"/>
    <w:rsid w:val="00930667"/>
    <w:rsid w:val="00930989"/>
    <w:rsid w:val="00930F78"/>
    <w:rsid w:val="00931213"/>
    <w:rsid w:val="00931420"/>
    <w:rsid w:val="0093155E"/>
    <w:rsid w:val="0093188D"/>
    <w:rsid w:val="00931E46"/>
    <w:rsid w:val="00931E95"/>
    <w:rsid w:val="00931ED0"/>
    <w:rsid w:val="00932109"/>
    <w:rsid w:val="0093262E"/>
    <w:rsid w:val="00932700"/>
    <w:rsid w:val="00932742"/>
    <w:rsid w:val="00932788"/>
    <w:rsid w:val="00932B5E"/>
    <w:rsid w:val="00932C26"/>
    <w:rsid w:val="00933236"/>
    <w:rsid w:val="00933405"/>
    <w:rsid w:val="00933645"/>
    <w:rsid w:val="009337D6"/>
    <w:rsid w:val="00933874"/>
    <w:rsid w:val="00933A99"/>
    <w:rsid w:val="00933BEE"/>
    <w:rsid w:val="00933CDC"/>
    <w:rsid w:val="00933D2A"/>
    <w:rsid w:val="0093413A"/>
    <w:rsid w:val="00934692"/>
    <w:rsid w:val="00934717"/>
    <w:rsid w:val="0093487B"/>
    <w:rsid w:val="00934E4A"/>
    <w:rsid w:val="00935486"/>
    <w:rsid w:val="009354CF"/>
    <w:rsid w:val="00935597"/>
    <w:rsid w:val="009355A3"/>
    <w:rsid w:val="0093589A"/>
    <w:rsid w:val="00935E77"/>
    <w:rsid w:val="009360F4"/>
    <w:rsid w:val="0093621C"/>
    <w:rsid w:val="00936556"/>
    <w:rsid w:val="00936667"/>
    <w:rsid w:val="0093696F"/>
    <w:rsid w:val="00936CF9"/>
    <w:rsid w:val="009370CB"/>
    <w:rsid w:val="0093727A"/>
    <w:rsid w:val="009373D4"/>
    <w:rsid w:val="00937471"/>
    <w:rsid w:val="00937A8F"/>
    <w:rsid w:val="00937B71"/>
    <w:rsid w:val="00937D24"/>
    <w:rsid w:val="00937F04"/>
    <w:rsid w:val="00940561"/>
    <w:rsid w:val="009410DD"/>
    <w:rsid w:val="009419EE"/>
    <w:rsid w:val="00941A05"/>
    <w:rsid w:val="00941C14"/>
    <w:rsid w:val="00941C94"/>
    <w:rsid w:val="00941D87"/>
    <w:rsid w:val="0094251D"/>
    <w:rsid w:val="0094292F"/>
    <w:rsid w:val="00942A6A"/>
    <w:rsid w:val="00942F28"/>
    <w:rsid w:val="0094341B"/>
    <w:rsid w:val="00943690"/>
    <w:rsid w:val="00943787"/>
    <w:rsid w:val="0094378E"/>
    <w:rsid w:val="00943857"/>
    <w:rsid w:val="00943894"/>
    <w:rsid w:val="00943CB2"/>
    <w:rsid w:val="00943D0C"/>
    <w:rsid w:val="009443DA"/>
    <w:rsid w:val="00944430"/>
    <w:rsid w:val="00944964"/>
    <w:rsid w:val="00944A56"/>
    <w:rsid w:val="009451D4"/>
    <w:rsid w:val="009452FA"/>
    <w:rsid w:val="0094570A"/>
    <w:rsid w:val="00945FFD"/>
    <w:rsid w:val="00946152"/>
    <w:rsid w:val="0094617B"/>
    <w:rsid w:val="009462AC"/>
    <w:rsid w:val="0094666E"/>
    <w:rsid w:val="00946697"/>
    <w:rsid w:val="009469C9"/>
    <w:rsid w:val="009470FB"/>
    <w:rsid w:val="00947143"/>
    <w:rsid w:val="00947310"/>
    <w:rsid w:val="00947474"/>
    <w:rsid w:val="009475B3"/>
    <w:rsid w:val="0094783B"/>
    <w:rsid w:val="00947A07"/>
    <w:rsid w:val="00947F05"/>
    <w:rsid w:val="00950216"/>
    <w:rsid w:val="009502AC"/>
    <w:rsid w:val="0095054E"/>
    <w:rsid w:val="00950E8B"/>
    <w:rsid w:val="00951A26"/>
    <w:rsid w:val="00951C3E"/>
    <w:rsid w:val="00951D6E"/>
    <w:rsid w:val="00951F35"/>
    <w:rsid w:val="00951F3C"/>
    <w:rsid w:val="009522B5"/>
    <w:rsid w:val="009529F6"/>
    <w:rsid w:val="00952D3A"/>
    <w:rsid w:val="0095328B"/>
    <w:rsid w:val="009533C0"/>
    <w:rsid w:val="00953E53"/>
    <w:rsid w:val="00953EF7"/>
    <w:rsid w:val="00953FB1"/>
    <w:rsid w:val="00954345"/>
    <w:rsid w:val="0095447F"/>
    <w:rsid w:val="00954573"/>
    <w:rsid w:val="00954A00"/>
    <w:rsid w:val="00954C0B"/>
    <w:rsid w:val="009554BD"/>
    <w:rsid w:val="009557A1"/>
    <w:rsid w:val="00955AD1"/>
    <w:rsid w:val="00955B51"/>
    <w:rsid w:val="00955D57"/>
    <w:rsid w:val="00955F5F"/>
    <w:rsid w:val="0095633E"/>
    <w:rsid w:val="00956951"/>
    <w:rsid w:val="00956C74"/>
    <w:rsid w:val="00956E75"/>
    <w:rsid w:val="00957432"/>
    <w:rsid w:val="009576E8"/>
    <w:rsid w:val="00957B6B"/>
    <w:rsid w:val="00957BFC"/>
    <w:rsid w:val="00957C7B"/>
    <w:rsid w:val="00957DF8"/>
    <w:rsid w:val="009602E4"/>
    <w:rsid w:val="00960649"/>
    <w:rsid w:val="00960994"/>
    <w:rsid w:val="00960C38"/>
    <w:rsid w:val="00961314"/>
    <w:rsid w:val="00961407"/>
    <w:rsid w:val="009619DE"/>
    <w:rsid w:val="00961BE2"/>
    <w:rsid w:val="00961F4A"/>
    <w:rsid w:val="00962163"/>
    <w:rsid w:val="009623FB"/>
    <w:rsid w:val="00962C47"/>
    <w:rsid w:val="00963095"/>
    <w:rsid w:val="00963EEF"/>
    <w:rsid w:val="0096404D"/>
    <w:rsid w:val="009640D1"/>
    <w:rsid w:val="009646EA"/>
    <w:rsid w:val="009647FA"/>
    <w:rsid w:val="00964C9A"/>
    <w:rsid w:val="00964D0D"/>
    <w:rsid w:val="00964FA4"/>
    <w:rsid w:val="00965318"/>
    <w:rsid w:val="00965715"/>
    <w:rsid w:val="00965BE3"/>
    <w:rsid w:val="00965FB9"/>
    <w:rsid w:val="00966092"/>
    <w:rsid w:val="00966395"/>
    <w:rsid w:val="00966455"/>
    <w:rsid w:val="009668A7"/>
    <w:rsid w:val="00966BBA"/>
    <w:rsid w:val="00966DEC"/>
    <w:rsid w:val="00967266"/>
    <w:rsid w:val="00967556"/>
    <w:rsid w:val="009675EC"/>
    <w:rsid w:val="00967C17"/>
    <w:rsid w:val="00967D20"/>
    <w:rsid w:val="00967DF8"/>
    <w:rsid w:val="00967EB2"/>
    <w:rsid w:val="009701C6"/>
    <w:rsid w:val="009701EA"/>
    <w:rsid w:val="0097024E"/>
    <w:rsid w:val="009702B7"/>
    <w:rsid w:val="009704CF"/>
    <w:rsid w:val="009711F9"/>
    <w:rsid w:val="009718B6"/>
    <w:rsid w:val="00971A61"/>
    <w:rsid w:val="00971AA2"/>
    <w:rsid w:val="00971BDC"/>
    <w:rsid w:val="0097234D"/>
    <w:rsid w:val="00972561"/>
    <w:rsid w:val="00972A1D"/>
    <w:rsid w:val="00972C69"/>
    <w:rsid w:val="00972D08"/>
    <w:rsid w:val="00972D48"/>
    <w:rsid w:val="00972D6E"/>
    <w:rsid w:val="009734EB"/>
    <w:rsid w:val="009737FC"/>
    <w:rsid w:val="009738DA"/>
    <w:rsid w:val="00973952"/>
    <w:rsid w:val="00973AB9"/>
    <w:rsid w:val="00973B4A"/>
    <w:rsid w:val="00973D89"/>
    <w:rsid w:val="00973DEF"/>
    <w:rsid w:val="00974033"/>
    <w:rsid w:val="009742C1"/>
    <w:rsid w:val="0097488E"/>
    <w:rsid w:val="00974AF5"/>
    <w:rsid w:val="00974D89"/>
    <w:rsid w:val="00975088"/>
    <w:rsid w:val="00975209"/>
    <w:rsid w:val="009753CE"/>
    <w:rsid w:val="00975695"/>
    <w:rsid w:val="009756F6"/>
    <w:rsid w:val="0097589D"/>
    <w:rsid w:val="00975A0B"/>
    <w:rsid w:val="00976634"/>
    <w:rsid w:val="00976663"/>
    <w:rsid w:val="00976710"/>
    <w:rsid w:val="00976E20"/>
    <w:rsid w:val="0097704B"/>
    <w:rsid w:val="00977106"/>
    <w:rsid w:val="0097794D"/>
    <w:rsid w:val="00977B8B"/>
    <w:rsid w:val="00977FE5"/>
    <w:rsid w:val="0098022A"/>
    <w:rsid w:val="009802BC"/>
    <w:rsid w:val="00980475"/>
    <w:rsid w:val="00980678"/>
    <w:rsid w:val="0098089B"/>
    <w:rsid w:val="00980A34"/>
    <w:rsid w:val="00980C92"/>
    <w:rsid w:val="009811D3"/>
    <w:rsid w:val="009812C2"/>
    <w:rsid w:val="009818E2"/>
    <w:rsid w:val="009823B0"/>
    <w:rsid w:val="00982804"/>
    <w:rsid w:val="009829BE"/>
    <w:rsid w:val="00982A1E"/>
    <w:rsid w:val="00982B66"/>
    <w:rsid w:val="00982BDD"/>
    <w:rsid w:val="00982C33"/>
    <w:rsid w:val="00982D99"/>
    <w:rsid w:val="00982E04"/>
    <w:rsid w:val="00982E19"/>
    <w:rsid w:val="0098305F"/>
    <w:rsid w:val="00983495"/>
    <w:rsid w:val="00983686"/>
    <w:rsid w:val="009839B3"/>
    <w:rsid w:val="00983ACB"/>
    <w:rsid w:val="00983BDF"/>
    <w:rsid w:val="00983E45"/>
    <w:rsid w:val="00984035"/>
    <w:rsid w:val="00984063"/>
    <w:rsid w:val="0098413B"/>
    <w:rsid w:val="009847B2"/>
    <w:rsid w:val="00984CEF"/>
    <w:rsid w:val="00984DFE"/>
    <w:rsid w:val="00984FEC"/>
    <w:rsid w:val="00985031"/>
    <w:rsid w:val="009851FC"/>
    <w:rsid w:val="009857A2"/>
    <w:rsid w:val="00985A4A"/>
    <w:rsid w:val="00985D26"/>
    <w:rsid w:val="009865A1"/>
    <w:rsid w:val="00986700"/>
    <w:rsid w:val="00986716"/>
    <w:rsid w:val="00986738"/>
    <w:rsid w:val="009869DE"/>
    <w:rsid w:val="00986A83"/>
    <w:rsid w:val="00986B89"/>
    <w:rsid w:val="00986CA7"/>
    <w:rsid w:val="00986D8F"/>
    <w:rsid w:val="00986DD8"/>
    <w:rsid w:val="00986F9A"/>
    <w:rsid w:val="009872F0"/>
    <w:rsid w:val="00987517"/>
    <w:rsid w:val="00987597"/>
    <w:rsid w:val="0098761D"/>
    <w:rsid w:val="0098764D"/>
    <w:rsid w:val="009876C4"/>
    <w:rsid w:val="009878D4"/>
    <w:rsid w:val="00987EDC"/>
    <w:rsid w:val="00987FDE"/>
    <w:rsid w:val="00990607"/>
    <w:rsid w:val="009907DC"/>
    <w:rsid w:val="00990A25"/>
    <w:rsid w:val="00990BDB"/>
    <w:rsid w:val="00990D39"/>
    <w:rsid w:val="00991105"/>
    <w:rsid w:val="00991B8F"/>
    <w:rsid w:val="00991EDC"/>
    <w:rsid w:val="00991FE5"/>
    <w:rsid w:val="0099260C"/>
    <w:rsid w:val="009926B5"/>
    <w:rsid w:val="00992719"/>
    <w:rsid w:val="0099285F"/>
    <w:rsid w:val="00992B34"/>
    <w:rsid w:val="00993331"/>
    <w:rsid w:val="009935D1"/>
    <w:rsid w:val="00993A9A"/>
    <w:rsid w:val="00993B9D"/>
    <w:rsid w:val="00993D28"/>
    <w:rsid w:val="00993F9C"/>
    <w:rsid w:val="009940CC"/>
    <w:rsid w:val="0099432B"/>
    <w:rsid w:val="0099450A"/>
    <w:rsid w:val="009948F4"/>
    <w:rsid w:val="00994ABA"/>
    <w:rsid w:val="00994BAE"/>
    <w:rsid w:val="009956E4"/>
    <w:rsid w:val="00995911"/>
    <w:rsid w:val="00995A90"/>
    <w:rsid w:val="00995E93"/>
    <w:rsid w:val="009967F6"/>
    <w:rsid w:val="00996942"/>
    <w:rsid w:val="00996F94"/>
    <w:rsid w:val="0099745E"/>
    <w:rsid w:val="00997B2A"/>
    <w:rsid w:val="00997CB2"/>
    <w:rsid w:val="00997D4F"/>
    <w:rsid w:val="009A11FA"/>
    <w:rsid w:val="009A1B2D"/>
    <w:rsid w:val="009A1B6E"/>
    <w:rsid w:val="009A1D81"/>
    <w:rsid w:val="009A1F1F"/>
    <w:rsid w:val="009A1F6A"/>
    <w:rsid w:val="009A210F"/>
    <w:rsid w:val="009A30D2"/>
    <w:rsid w:val="009A36A5"/>
    <w:rsid w:val="009A3985"/>
    <w:rsid w:val="009A3C08"/>
    <w:rsid w:val="009A402A"/>
    <w:rsid w:val="009A42DE"/>
    <w:rsid w:val="009A4A11"/>
    <w:rsid w:val="009A4B3E"/>
    <w:rsid w:val="009A4B81"/>
    <w:rsid w:val="009A4DB7"/>
    <w:rsid w:val="009A5476"/>
    <w:rsid w:val="009A57B8"/>
    <w:rsid w:val="009A584A"/>
    <w:rsid w:val="009A5D66"/>
    <w:rsid w:val="009A5E0B"/>
    <w:rsid w:val="009A5E31"/>
    <w:rsid w:val="009A5EAE"/>
    <w:rsid w:val="009A69EB"/>
    <w:rsid w:val="009A6B90"/>
    <w:rsid w:val="009A74ED"/>
    <w:rsid w:val="009A7773"/>
    <w:rsid w:val="009A77E2"/>
    <w:rsid w:val="009A77E4"/>
    <w:rsid w:val="009A7DF1"/>
    <w:rsid w:val="009A7FBB"/>
    <w:rsid w:val="009B0051"/>
    <w:rsid w:val="009B02DD"/>
    <w:rsid w:val="009B06EA"/>
    <w:rsid w:val="009B0784"/>
    <w:rsid w:val="009B0789"/>
    <w:rsid w:val="009B0A11"/>
    <w:rsid w:val="009B0D38"/>
    <w:rsid w:val="009B0DA8"/>
    <w:rsid w:val="009B1728"/>
    <w:rsid w:val="009B1CF5"/>
    <w:rsid w:val="009B1F0E"/>
    <w:rsid w:val="009B2325"/>
    <w:rsid w:val="009B2338"/>
    <w:rsid w:val="009B23F1"/>
    <w:rsid w:val="009B270E"/>
    <w:rsid w:val="009B2CDB"/>
    <w:rsid w:val="009B31CD"/>
    <w:rsid w:val="009B3218"/>
    <w:rsid w:val="009B3284"/>
    <w:rsid w:val="009B3636"/>
    <w:rsid w:val="009B40E8"/>
    <w:rsid w:val="009B41F9"/>
    <w:rsid w:val="009B4390"/>
    <w:rsid w:val="009B43CE"/>
    <w:rsid w:val="009B45FC"/>
    <w:rsid w:val="009B479E"/>
    <w:rsid w:val="009B4AB0"/>
    <w:rsid w:val="009B534B"/>
    <w:rsid w:val="009B5824"/>
    <w:rsid w:val="009B584B"/>
    <w:rsid w:val="009B5DAF"/>
    <w:rsid w:val="009B6097"/>
    <w:rsid w:val="009B7BB8"/>
    <w:rsid w:val="009B7EDC"/>
    <w:rsid w:val="009B7EE0"/>
    <w:rsid w:val="009C003A"/>
    <w:rsid w:val="009C056A"/>
    <w:rsid w:val="009C079D"/>
    <w:rsid w:val="009C0AA9"/>
    <w:rsid w:val="009C0AFA"/>
    <w:rsid w:val="009C1502"/>
    <w:rsid w:val="009C18DA"/>
    <w:rsid w:val="009C2602"/>
    <w:rsid w:val="009C2813"/>
    <w:rsid w:val="009C29EA"/>
    <w:rsid w:val="009C2D48"/>
    <w:rsid w:val="009C3480"/>
    <w:rsid w:val="009C3A5A"/>
    <w:rsid w:val="009C3CFB"/>
    <w:rsid w:val="009C4016"/>
    <w:rsid w:val="009C4F32"/>
    <w:rsid w:val="009C4FAE"/>
    <w:rsid w:val="009C5EDD"/>
    <w:rsid w:val="009C6084"/>
    <w:rsid w:val="009C6577"/>
    <w:rsid w:val="009C6995"/>
    <w:rsid w:val="009C6DD0"/>
    <w:rsid w:val="009C6E49"/>
    <w:rsid w:val="009C7395"/>
    <w:rsid w:val="009C7B73"/>
    <w:rsid w:val="009C7BA6"/>
    <w:rsid w:val="009D043A"/>
    <w:rsid w:val="009D0529"/>
    <w:rsid w:val="009D0D32"/>
    <w:rsid w:val="009D0DC5"/>
    <w:rsid w:val="009D0FAB"/>
    <w:rsid w:val="009D0FFE"/>
    <w:rsid w:val="009D14EE"/>
    <w:rsid w:val="009D1716"/>
    <w:rsid w:val="009D196C"/>
    <w:rsid w:val="009D199D"/>
    <w:rsid w:val="009D1CD1"/>
    <w:rsid w:val="009D1F93"/>
    <w:rsid w:val="009D20BC"/>
    <w:rsid w:val="009D2123"/>
    <w:rsid w:val="009D231D"/>
    <w:rsid w:val="009D239C"/>
    <w:rsid w:val="009D26DE"/>
    <w:rsid w:val="009D26E9"/>
    <w:rsid w:val="009D2F9D"/>
    <w:rsid w:val="009D31F5"/>
    <w:rsid w:val="009D31FD"/>
    <w:rsid w:val="009D332B"/>
    <w:rsid w:val="009D345A"/>
    <w:rsid w:val="009D374F"/>
    <w:rsid w:val="009D38AF"/>
    <w:rsid w:val="009D4565"/>
    <w:rsid w:val="009D4A5F"/>
    <w:rsid w:val="009D4A71"/>
    <w:rsid w:val="009D4C4A"/>
    <w:rsid w:val="009D5354"/>
    <w:rsid w:val="009D5372"/>
    <w:rsid w:val="009D5776"/>
    <w:rsid w:val="009D57C9"/>
    <w:rsid w:val="009D5B41"/>
    <w:rsid w:val="009D5CE6"/>
    <w:rsid w:val="009D5FEE"/>
    <w:rsid w:val="009D665F"/>
    <w:rsid w:val="009D6B0A"/>
    <w:rsid w:val="009D6D2D"/>
    <w:rsid w:val="009D78BB"/>
    <w:rsid w:val="009D79F9"/>
    <w:rsid w:val="009D7D16"/>
    <w:rsid w:val="009D7D43"/>
    <w:rsid w:val="009D7EBB"/>
    <w:rsid w:val="009E01A0"/>
    <w:rsid w:val="009E044C"/>
    <w:rsid w:val="009E09CE"/>
    <w:rsid w:val="009E0BEB"/>
    <w:rsid w:val="009E0DF7"/>
    <w:rsid w:val="009E1744"/>
    <w:rsid w:val="009E17E7"/>
    <w:rsid w:val="009E1E0D"/>
    <w:rsid w:val="009E1FA8"/>
    <w:rsid w:val="009E25CC"/>
    <w:rsid w:val="009E26A6"/>
    <w:rsid w:val="009E27C5"/>
    <w:rsid w:val="009E2AA3"/>
    <w:rsid w:val="009E2DCD"/>
    <w:rsid w:val="009E2E2F"/>
    <w:rsid w:val="009E300C"/>
    <w:rsid w:val="009E3087"/>
    <w:rsid w:val="009E3650"/>
    <w:rsid w:val="009E3AC2"/>
    <w:rsid w:val="009E41F6"/>
    <w:rsid w:val="009E578B"/>
    <w:rsid w:val="009E5B9F"/>
    <w:rsid w:val="009E610D"/>
    <w:rsid w:val="009E62BE"/>
    <w:rsid w:val="009E6356"/>
    <w:rsid w:val="009E64A6"/>
    <w:rsid w:val="009E664B"/>
    <w:rsid w:val="009E6AE7"/>
    <w:rsid w:val="009E6F2B"/>
    <w:rsid w:val="009E70B3"/>
    <w:rsid w:val="009E70F5"/>
    <w:rsid w:val="009E74A3"/>
    <w:rsid w:val="009E7522"/>
    <w:rsid w:val="009E763A"/>
    <w:rsid w:val="009E7A8F"/>
    <w:rsid w:val="009E7A90"/>
    <w:rsid w:val="009E7B79"/>
    <w:rsid w:val="009E7DC7"/>
    <w:rsid w:val="009F0187"/>
    <w:rsid w:val="009F0272"/>
    <w:rsid w:val="009F0966"/>
    <w:rsid w:val="009F0C12"/>
    <w:rsid w:val="009F0C89"/>
    <w:rsid w:val="009F0E38"/>
    <w:rsid w:val="009F10E7"/>
    <w:rsid w:val="009F1462"/>
    <w:rsid w:val="009F14AB"/>
    <w:rsid w:val="009F1657"/>
    <w:rsid w:val="009F184A"/>
    <w:rsid w:val="009F1AAF"/>
    <w:rsid w:val="009F1CD8"/>
    <w:rsid w:val="009F1EB2"/>
    <w:rsid w:val="009F2057"/>
    <w:rsid w:val="009F2130"/>
    <w:rsid w:val="009F217B"/>
    <w:rsid w:val="009F281F"/>
    <w:rsid w:val="009F2B7B"/>
    <w:rsid w:val="009F2F12"/>
    <w:rsid w:val="009F32DB"/>
    <w:rsid w:val="009F3627"/>
    <w:rsid w:val="009F3731"/>
    <w:rsid w:val="009F3E1F"/>
    <w:rsid w:val="009F3FC3"/>
    <w:rsid w:val="009F4A62"/>
    <w:rsid w:val="009F4F09"/>
    <w:rsid w:val="009F4FD2"/>
    <w:rsid w:val="009F505B"/>
    <w:rsid w:val="009F56EF"/>
    <w:rsid w:val="009F61C6"/>
    <w:rsid w:val="009F62C7"/>
    <w:rsid w:val="009F6A35"/>
    <w:rsid w:val="009F7576"/>
    <w:rsid w:val="009F75EC"/>
    <w:rsid w:val="009F76FD"/>
    <w:rsid w:val="009F7BCA"/>
    <w:rsid w:val="00A00125"/>
    <w:rsid w:val="00A0018E"/>
    <w:rsid w:val="00A0028B"/>
    <w:rsid w:val="00A00400"/>
    <w:rsid w:val="00A00425"/>
    <w:rsid w:val="00A0070B"/>
    <w:rsid w:val="00A00ABD"/>
    <w:rsid w:val="00A00E31"/>
    <w:rsid w:val="00A00E7E"/>
    <w:rsid w:val="00A00E9E"/>
    <w:rsid w:val="00A01175"/>
    <w:rsid w:val="00A01279"/>
    <w:rsid w:val="00A0150A"/>
    <w:rsid w:val="00A01765"/>
    <w:rsid w:val="00A0183B"/>
    <w:rsid w:val="00A01986"/>
    <w:rsid w:val="00A01CE7"/>
    <w:rsid w:val="00A020AB"/>
    <w:rsid w:val="00A02580"/>
    <w:rsid w:val="00A02642"/>
    <w:rsid w:val="00A0297A"/>
    <w:rsid w:val="00A02E46"/>
    <w:rsid w:val="00A031F1"/>
    <w:rsid w:val="00A033D4"/>
    <w:rsid w:val="00A036F5"/>
    <w:rsid w:val="00A037C1"/>
    <w:rsid w:val="00A03E45"/>
    <w:rsid w:val="00A03EA5"/>
    <w:rsid w:val="00A042E3"/>
    <w:rsid w:val="00A0435B"/>
    <w:rsid w:val="00A044CD"/>
    <w:rsid w:val="00A049B9"/>
    <w:rsid w:val="00A04E14"/>
    <w:rsid w:val="00A05148"/>
    <w:rsid w:val="00A056BE"/>
    <w:rsid w:val="00A0584E"/>
    <w:rsid w:val="00A058B3"/>
    <w:rsid w:val="00A059D1"/>
    <w:rsid w:val="00A05BCF"/>
    <w:rsid w:val="00A05CAF"/>
    <w:rsid w:val="00A06549"/>
    <w:rsid w:val="00A065AA"/>
    <w:rsid w:val="00A06930"/>
    <w:rsid w:val="00A0698D"/>
    <w:rsid w:val="00A077D4"/>
    <w:rsid w:val="00A079D0"/>
    <w:rsid w:val="00A07ECA"/>
    <w:rsid w:val="00A10EC1"/>
    <w:rsid w:val="00A114CB"/>
    <w:rsid w:val="00A116ED"/>
    <w:rsid w:val="00A1244F"/>
    <w:rsid w:val="00A124EB"/>
    <w:rsid w:val="00A12B71"/>
    <w:rsid w:val="00A12F6D"/>
    <w:rsid w:val="00A130DF"/>
    <w:rsid w:val="00A13121"/>
    <w:rsid w:val="00A132C0"/>
    <w:rsid w:val="00A132E7"/>
    <w:rsid w:val="00A135F6"/>
    <w:rsid w:val="00A138A1"/>
    <w:rsid w:val="00A13AFB"/>
    <w:rsid w:val="00A13DFE"/>
    <w:rsid w:val="00A1483A"/>
    <w:rsid w:val="00A148C8"/>
    <w:rsid w:val="00A14A50"/>
    <w:rsid w:val="00A14B5C"/>
    <w:rsid w:val="00A14DEB"/>
    <w:rsid w:val="00A1506E"/>
    <w:rsid w:val="00A150B4"/>
    <w:rsid w:val="00A155CC"/>
    <w:rsid w:val="00A15612"/>
    <w:rsid w:val="00A1564A"/>
    <w:rsid w:val="00A15927"/>
    <w:rsid w:val="00A15C39"/>
    <w:rsid w:val="00A15EDF"/>
    <w:rsid w:val="00A168E9"/>
    <w:rsid w:val="00A16C90"/>
    <w:rsid w:val="00A16F1F"/>
    <w:rsid w:val="00A16FBA"/>
    <w:rsid w:val="00A17267"/>
    <w:rsid w:val="00A173D6"/>
    <w:rsid w:val="00A174A3"/>
    <w:rsid w:val="00A17B2C"/>
    <w:rsid w:val="00A17BCD"/>
    <w:rsid w:val="00A17F6D"/>
    <w:rsid w:val="00A17FB4"/>
    <w:rsid w:val="00A20500"/>
    <w:rsid w:val="00A20537"/>
    <w:rsid w:val="00A20B8D"/>
    <w:rsid w:val="00A21554"/>
    <w:rsid w:val="00A218EB"/>
    <w:rsid w:val="00A21BED"/>
    <w:rsid w:val="00A2214F"/>
    <w:rsid w:val="00A22294"/>
    <w:rsid w:val="00A22362"/>
    <w:rsid w:val="00A224C9"/>
    <w:rsid w:val="00A22601"/>
    <w:rsid w:val="00A22855"/>
    <w:rsid w:val="00A22CCE"/>
    <w:rsid w:val="00A22DC8"/>
    <w:rsid w:val="00A22F46"/>
    <w:rsid w:val="00A2334B"/>
    <w:rsid w:val="00A23436"/>
    <w:rsid w:val="00A2352B"/>
    <w:rsid w:val="00A23770"/>
    <w:rsid w:val="00A23A7A"/>
    <w:rsid w:val="00A23B87"/>
    <w:rsid w:val="00A23BDA"/>
    <w:rsid w:val="00A23E92"/>
    <w:rsid w:val="00A243DD"/>
    <w:rsid w:val="00A24556"/>
    <w:rsid w:val="00A24597"/>
    <w:rsid w:val="00A248B1"/>
    <w:rsid w:val="00A24B1E"/>
    <w:rsid w:val="00A24BE1"/>
    <w:rsid w:val="00A25219"/>
    <w:rsid w:val="00A25374"/>
    <w:rsid w:val="00A25454"/>
    <w:rsid w:val="00A256A8"/>
    <w:rsid w:val="00A256C9"/>
    <w:rsid w:val="00A256DB"/>
    <w:rsid w:val="00A25A6F"/>
    <w:rsid w:val="00A25E0D"/>
    <w:rsid w:val="00A25FF5"/>
    <w:rsid w:val="00A26204"/>
    <w:rsid w:val="00A2658D"/>
    <w:rsid w:val="00A268D8"/>
    <w:rsid w:val="00A26E21"/>
    <w:rsid w:val="00A2743C"/>
    <w:rsid w:val="00A27465"/>
    <w:rsid w:val="00A27B02"/>
    <w:rsid w:val="00A27DAE"/>
    <w:rsid w:val="00A3019E"/>
    <w:rsid w:val="00A3046C"/>
    <w:rsid w:val="00A30917"/>
    <w:rsid w:val="00A30D3E"/>
    <w:rsid w:val="00A3148F"/>
    <w:rsid w:val="00A314BD"/>
    <w:rsid w:val="00A319FD"/>
    <w:rsid w:val="00A31CF5"/>
    <w:rsid w:val="00A323D0"/>
    <w:rsid w:val="00A32AFC"/>
    <w:rsid w:val="00A335A4"/>
    <w:rsid w:val="00A3369E"/>
    <w:rsid w:val="00A339D2"/>
    <w:rsid w:val="00A33B65"/>
    <w:rsid w:val="00A341AD"/>
    <w:rsid w:val="00A34275"/>
    <w:rsid w:val="00A344A5"/>
    <w:rsid w:val="00A344D8"/>
    <w:rsid w:val="00A344E6"/>
    <w:rsid w:val="00A3519F"/>
    <w:rsid w:val="00A3532C"/>
    <w:rsid w:val="00A36230"/>
    <w:rsid w:val="00A36716"/>
    <w:rsid w:val="00A367D5"/>
    <w:rsid w:val="00A36C95"/>
    <w:rsid w:val="00A36CD3"/>
    <w:rsid w:val="00A36D5C"/>
    <w:rsid w:val="00A371FA"/>
    <w:rsid w:val="00A37698"/>
    <w:rsid w:val="00A37705"/>
    <w:rsid w:val="00A37B14"/>
    <w:rsid w:val="00A37DA9"/>
    <w:rsid w:val="00A40691"/>
    <w:rsid w:val="00A408E5"/>
    <w:rsid w:val="00A41348"/>
    <w:rsid w:val="00A41723"/>
    <w:rsid w:val="00A419D3"/>
    <w:rsid w:val="00A42EF1"/>
    <w:rsid w:val="00A4314D"/>
    <w:rsid w:val="00A431D9"/>
    <w:rsid w:val="00A43324"/>
    <w:rsid w:val="00A4332D"/>
    <w:rsid w:val="00A43881"/>
    <w:rsid w:val="00A43B3B"/>
    <w:rsid w:val="00A43D0A"/>
    <w:rsid w:val="00A43FC6"/>
    <w:rsid w:val="00A44427"/>
    <w:rsid w:val="00A44A77"/>
    <w:rsid w:val="00A44AF4"/>
    <w:rsid w:val="00A4511F"/>
    <w:rsid w:val="00A4561D"/>
    <w:rsid w:val="00A456B1"/>
    <w:rsid w:val="00A456FC"/>
    <w:rsid w:val="00A45E58"/>
    <w:rsid w:val="00A461F3"/>
    <w:rsid w:val="00A4636C"/>
    <w:rsid w:val="00A467D9"/>
    <w:rsid w:val="00A46804"/>
    <w:rsid w:val="00A46A7B"/>
    <w:rsid w:val="00A46ABD"/>
    <w:rsid w:val="00A46D8D"/>
    <w:rsid w:val="00A46D8E"/>
    <w:rsid w:val="00A4742B"/>
    <w:rsid w:val="00A47931"/>
    <w:rsid w:val="00A47AC7"/>
    <w:rsid w:val="00A47AD1"/>
    <w:rsid w:val="00A47D28"/>
    <w:rsid w:val="00A47DB6"/>
    <w:rsid w:val="00A502CB"/>
    <w:rsid w:val="00A50370"/>
    <w:rsid w:val="00A5051F"/>
    <w:rsid w:val="00A50694"/>
    <w:rsid w:val="00A507E0"/>
    <w:rsid w:val="00A509D3"/>
    <w:rsid w:val="00A50D33"/>
    <w:rsid w:val="00A512E1"/>
    <w:rsid w:val="00A51304"/>
    <w:rsid w:val="00A517FB"/>
    <w:rsid w:val="00A51AD6"/>
    <w:rsid w:val="00A5211E"/>
    <w:rsid w:val="00A5244A"/>
    <w:rsid w:val="00A52B0D"/>
    <w:rsid w:val="00A52E03"/>
    <w:rsid w:val="00A53818"/>
    <w:rsid w:val="00A53CEB"/>
    <w:rsid w:val="00A5412F"/>
    <w:rsid w:val="00A5415B"/>
    <w:rsid w:val="00A5416E"/>
    <w:rsid w:val="00A547F7"/>
    <w:rsid w:val="00A54881"/>
    <w:rsid w:val="00A54A6F"/>
    <w:rsid w:val="00A54FEA"/>
    <w:rsid w:val="00A558D2"/>
    <w:rsid w:val="00A55CCC"/>
    <w:rsid w:val="00A56122"/>
    <w:rsid w:val="00A5627C"/>
    <w:rsid w:val="00A5632C"/>
    <w:rsid w:val="00A563E1"/>
    <w:rsid w:val="00A5659A"/>
    <w:rsid w:val="00A56735"/>
    <w:rsid w:val="00A567B4"/>
    <w:rsid w:val="00A56FDC"/>
    <w:rsid w:val="00A57394"/>
    <w:rsid w:val="00A576FA"/>
    <w:rsid w:val="00A578C7"/>
    <w:rsid w:val="00A600AD"/>
    <w:rsid w:val="00A60A80"/>
    <w:rsid w:val="00A60B77"/>
    <w:rsid w:val="00A60B84"/>
    <w:rsid w:val="00A60C69"/>
    <w:rsid w:val="00A6105F"/>
    <w:rsid w:val="00A61551"/>
    <w:rsid w:val="00A61A46"/>
    <w:rsid w:val="00A6252E"/>
    <w:rsid w:val="00A62953"/>
    <w:rsid w:val="00A6382E"/>
    <w:rsid w:val="00A63866"/>
    <w:rsid w:val="00A643B5"/>
    <w:rsid w:val="00A649C5"/>
    <w:rsid w:val="00A64E39"/>
    <w:rsid w:val="00A65588"/>
    <w:rsid w:val="00A65669"/>
    <w:rsid w:val="00A65C7B"/>
    <w:rsid w:val="00A65D7E"/>
    <w:rsid w:val="00A65F78"/>
    <w:rsid w:val="00A663FA"/>
    <w:rsid w:val="00A66443"/>
    <w:rsid w:val="00A66535"/>
    <w:rsid w:val="00A66783"/>
    <w:rsid w:val="00A66848"/>
    <w:rsid w:val="00A66C15"/>
    <w:rsid w:val="00A66E0B"/>
    <w:rsid w:val="00A66FB6"/>
    <w:rsid w:val="00A7080E"/>
    <w:rsid w:val="00A70C19"/>
    <w:rsid w:val="00A70D7C"/>
    <w:rsid w:val="00A720A7"/>
    <w:rsid w:val="00A7232B"/>
    <w:rsid w:val="00A728C2"/>
    <w:rsid w:val="00A72B8A"/>
    <w:rsid w:val="00A7345E"/>
    <w:rsid w:val="00A734CD"/>
    <w:rsid w:val="00A7359A"/>
    <w:rsid w:val="00A736A9"/>
    <w:rsid w:val="00A7386D"/>
    <w:rsid w:val="00A73DD1"/>
    <w:rsid w:val="00A73FD6"/>
    <w:rsid w:val="00A7468F"/>
    <w:rsid w:val="00A7496F"/>
    <w:rsid w:val="00A74D99"/>
    <w:rsid w:val="00A75230"/>
    <w:rsid w:val="00A7553A"/>
    <w:rsid w:val="00A75638"/>
    <w:rsid w:val="00A76095"/>
    <w:rsid w:val="00A764CD"/>
    <w:rsid w:val="00A76841"/>
    <w:rsid w:val="00A76C6D"/>
    <w:rsid w:val="00A76C9B"/>
    <w:rsid w:val="00A7718C"/>
    <w:rsid w:val="00A773C9"/>
    <w:rsid w:val="00A776DF"/>
    <w:rsid w:val="00A77BCC"/>
    <w:rsid w:val="00A77BD3"/>
    <w:rsid w:val="00A802AA"/>
    <w:rsid w:val="00A809C0"/>
    <w:rsid w:val="00A80D9B"/>
    <w:rsid w:val="00A81169"/>
    <w:rsid w:val="00A81884"/>
    <w:rsid w:val="00A8198E"/>
    <w:rsid w:val="00A81A02"/>
    <w:rsid w:val="00A81BAD"/>
    <w:rsid w:val="00A82057"/>
    <w:rsid w:val="00A82928"/>
    <w:rsid w:val="00A82E03"/>
    <w:rsid w:val="00A8305C"/>
    <w:rsid w:val="00A8354A"/>
    <w:rsid w:val="00A83617"/>
    <w:rsid w:val="00A837B0"/>
    <w:rsid w:val="00A83827"/>
    <w:rsid w:val="00A83A90"/>
    <w:rsid w:val="00A83DB5"/>
    <w:rsid w:val="00A83F2C"/>
    <w:rsid w:val="00A84059"/>
    <w:rsid w:val="00A8406A"/>
    <w:rsid w:val="00A840F3"/>
    <w:rsid w:val="00A850B2"/>
    <w:rsid w:val="00A854AE"/>
    <w:rsid w:val="00A86991"/>
    <w:rsid w:val="00A86BB0"/>
    <w:rsid w:val="00A86EAD"/>
    <w:rsid w:val="00A86EDE"/>
    <w:rsid w:val="00A875F7"/>
    <w:rsid w:val="00A87614"/>
    <w:rsid w:val="00A87706"/>
    <w:rsid w:val="00A878AA"/>
    <w:rsid w:val="00A87966"/>
    <w:rsid w:val="00A87970"/>
    <w:rsid w:val="00A87A7B"/>
    <w:rsid w:val="00A87AC8"/>
    <w:rsid w:val="00A87B70"/>
    <w:rsid w:val="00A90016"/>
    <w:rsid w:val="00A90691"/>
    <w:rsid w:val="00A90824"/>
    <w:rsid w:val="00A90A7F"/>
    <w:rsid w:val="00A90FDC"/>
    <w:rsid w:val="00A910FB"/>
    <w:rsid w:val="00A9114C"/>
    <w:rsid w:val="00A911B2"/>
    <w:rsid w:val="00A91216"/>
    <w:rsid w:val="00A9174A"/>
    <w:rsid w:val="00A9185D"/>
    <w:rsid w:val="00A9197C"/>
    <w:rsid w:val="00A919D5"/>
    <w:rsid w:val="00A91E8B"/>
    <w:rsid w:val="00A92383"/>
    <w:rsid w:val="00A92591"/>
    <w:rsid w:val="00A926B4"/>
    <w:rsid w:val="00A926D6"/>
    <w:rsid w:val="00A92917"/>
    <w:rsid w:val="00A92B3C"/>
    <w:rsid w:val="00A92CE7"/>
    <w:rsid w:val="00A92D6A"/>
    <w:rsid w:val="00A92FA1"/>
    <w:rsid w:val="00A9386A"/>
    <w:rsid w:val="00A938EE"/>
    <w:rsid w:val="00A93A88"/>
    <w:rsid w:val="00A93CD1"/>
    <w:rsid w:val="00A94119"/>
    <w:rsid w:val="00A94653"/>
    <w:rsid w:val="00A9474C"/>
    <w:rsid w:val="00A949B7"/>
    <w:rsid w:val="00A94BBB"/>
    <w:rsid w:val="00A94C66"/>
    <w:rsid w:val="00A95144"/>
    <w:rsid w:val="00A95247"/>
    <w:rsid w:val="00A952BD"/>
    <w:rsid w:val="00A952C9"/>
    <w:rsid w:val="00A953BE"/>
    <w:rsid w:val="00A956CC"/>
    <w:rsid w:val="00A958EA"/>
    <w:rsid w:val="00A95988"/>
    <w:rsid w:val="00A95BE6"/>
    <w:rsid w:val="00A96E98"/>
    <w:rsid w:val="00A973B4"/>
    <w:rsid w:val="00A9771D"/>
    <w:rsid w:val="00A9793E"/>
    <w:rsid w:val="00A979B0"/>
    <w:rsid w:val="00A97D5C"/>
    <w:rsid w:val="00A97E8F"/>
    <w:rsid w:val="00AA0B48"/>
    <w:rsid w:val="00AA0C7B"/>
    <w:rsid w:val="00AA0E2C"/>
    <w:rsid w:val="00AA1010"/>
    <w:rsid w:val="00AA1073"/>
    <w:rsid w:val="00AA12A8"/>
    <w:rsid w:val="00AA1363"/>
    <w:rsid w:val="00AA1ED1"/>
    <w:rsid w:val="00AA2110"/>
    <w:rsid w:val="00AA31BA"/>
    <w:rsid w:val="00AA33ED"/>
    <w:rsid w:val="00AA3476"/>
    <w:rsid w:val="00AA34F0"/>
    <w:rsid w:val="00AA3647"/>
    <w:rsid w:val="00AA3804"/>
    <w:rsid w:val="00AA3A9C"/>
    <w:rsid w:val="00AA3BCA"/>
    <w:rsid w:val="00AA3FAB"/>
    <w:rsid w:val="00AA4316"/>
    <w:rsid w:val="00AA4565"/>
    <w:rsid w:val="00AA4750"/>
    <w:rsid w:val="00AA49E4"/>
    <w:rsid w:val="00AA4C85"/>
    <w:rsid w:val="00AA4EA6"/>
    <w:rsid w:val="00AA5151"/>
    <w:rsid w:val="00AA5BA0"/>
    <w:rsid w:val="00AA5ED7"/>
    <w:rsid w:val="00AA64E5"/>
    <w:rsid w:val="00AA66E2"/>
    <w:rsid w:val="00AA6786"/>
    <w:rsid w:val="00AA7079"/>
    <w:rsid w:val="00AA7360"/>
    <w:rsid w:val="00AA7526"/>
    <w:rsid w:val="00AA7C21"/>
    <w:rsid w:val="00AA7CB5"/>
    <w:rsid w:val="00AB056F"/>
    <w:rsid w:val="00AB0765"/>
    <w:rsid w:val="00AB0EC8"/>
    <w:rsid w:val="00AB0F93"/>
    <w:rsid w:val="00AB0F9F"/>
    <w:rsid w:val="00AB10BA"/>
    <w:rsid w:val="00AB11BE"/>
    <w:rsid w:val="00AB12C7"/>
    <w:rsid w:val="00AB141C"/>
    <w:rsid w:val="00AB1826"/>
    <w:rsid w:val="00AB1856"/>
    <w:rsid w:val="00AB18CF"/>
    <w:rsid w:val="00AB19E5"/>
    <w:rsid w:val="00AB216B"/>
    <w:rsid w:val="00AB2334"/>
    <w:rsid w:val="00AB238E"/>
    <w:rsid w:val="00AB25D5"/>
    <w:rsid w:val="00AB271D"/>
    <w:rsid w:val="00AB2D75"/>
    <w:rsid w:val="00AB300A"/>
    <w:rsid w:val="00AB31D4"/>
    <w:rsid w:val="00AB32F0"/>
    <w:rsid w:val="00AB3380"/>
    <w:rsid w:val="00AB3383"/>
    <w:rsid w:val="00AB3613"/>
    <w:rsid w:val="00AB39F8"/>
    <w:rsid w:val="00AB429C"/>
    <w:rsid w:val="00AB443A"/>
    <w:rsid w:val="00AB44C3"/>
    <w:rsid w:val="00AB460D"/>
    <w:rsid w:val="00AB4737"/>
    <w:rsid w:val="00AB4A4F"/>
    <w:rsid w:val="00AB4C40"/>
    <w:rsid w:val="00AB4FCE"/>
    <w:rsid w:val="00AB5187"/>
    <w:rsid w:val="00AB5217"/>
    <w:rsid w:val="00AB5A74"/>
    <w:rsid w:val="00AB5EF5"/>
    <w:rsid w:val="00AB60A3"/>
    <w:rsid w:val="00AB6107"/>
    <w:rsid w:val="00AB647A"/>
    <w:rsid w:val="00AB651F"/>
    <w:rsid w:val="00AB68D6"/>
    <w:rsid w:val="00AB6CA1"/>
    <w:rsid w:val="00AB6FC7"/>
    <w:rsid w:val="00AB7373"/>
    <w:rsid w:val="00AB7CF6"/>
    <w:rsid w:val="00AB7F0C"/>
    <w:rsid w:val="00AC071E"/>
    <w:rsid w:val="00AC0F03"/>
    <w:rsid w:val="00AC14A4"/>
    <w:rsid w:val="00AC174D"/>
    <w:rsid w:val="00AC1DD8"/>
    <w:rsid w:val="00AC2158"/>
    <w:rsid w:val="00AC238A"/>
    <w:rsid w:val="00AC23D0"/>
    <w:rsid w:val="00AC2CA7"/>
    <w:rsid w:val="00AC2D1E"/>
    <w:rsid w:val="00AC3B16"/>
    <w:rsid w:val="00AC3E35"/>
    <w:rsid w:val="00AC403E"/>
    <w:rsid w:val="00AC42F4"/>
    <w:rsid w:val="00AC46B2"/>
    <w:rsid w:val="00AC4B04"/>
    <w:rsid w:val="00AC4B1B"/>
    <w:rsid w:val="00AC4D7B"/>
    <w:rsid w:val="00AC510D"/>
    <w:rsid w:val="00AC589B"/>
    <w:rsid w:val="00AC5A58"/>
    <w:rsid w:val="00AC62E1"/>
    <w:rsid w:val="00AC649D"/>
    <w:rsid w:val="00AC6698"/>
    <w:rsid w:val="00AC683E"/>
    <w:rsid w:val="00AC6858"/>
    <w:rsid w:val="00AC6876"/>
    <w:rsid w:val="00AC6F05"/>
    <w:rsid w:val="00AC6F1F"/>
    <w:rsid w:val="00AC6F35"/>
    <w:rsid w:val="00AC6FA2"/>
    <w:rsid w:val="00AC6FB7"/>
    <w:rsid w:val="00AC71B5"/>
    <w:rsid w:val="00AC77B2"/>
    <w:rsid w:val="00AC785A"/>
    <w:rsid w:val="00AC7871"/>
    <w:rsid w:val="00AC7B14"/>
    <w:rsid w:val="00AC7B1D"/>
    <w:rsid w:val="00AC7D37"/>
    <w:rsid w:val="00AD01F5"/>
    <w:rsid w:val="00AD0378"/>
    <w:rsid w:val="00AD0482"/>
    <w:rsid w:val="00AD065A"/>
    <w:rsid w:val="00AD0E6B"/>
    <w:rsid w:val="00AD116F"/>
    <w:rsid w:val="00AD1571"/>
    <w:rsid w:val="00AD1DE9"/>
    <w:rsid w:val="00AD1E68"/>
    <w:rsid w:val="00AD2127"/>
    <w:rsid w:val="00AD2213"/>
    <w:rsid w:val="00AD24CA"/>
    <w:rsid w:val="00AD2580"/>
    <w:rsid w:val="00AD31B3"/>
    <w:rsid w:val="00AD35C9"/>
    <w:rsid w:val="00AD36B2"/>
    <w:rsid w:val="00AD38DF"/>
    <w:rsid w:val="00AD3DCA"/>
    <w:rsid w:val="00AD3E35"/>
    <w:rsid w:val="00AD4082"/>
    <w:rsid w:val="00AD42E6"/>
    <w:rsid w:val="00AD43E9"/>
    <w:rsid w:val="00AD44AA"/>
    <w:rsid w:val="00AD4B13"/>
    <w:rsid w:val="00AD4EB0"/>
    <w:rsid w:val="00AD5198"/>
    <w:rsid w:val="00AD5230"/>
    <w:rsid w:val="00AD54E6"/>
    <w:rsid w:val="00AD56F4"/>
    <w:rsid w:val="00AD580C"/>
    <w:rsid w:val="00AD5A28"/>
    <w:rsid w:val="00AD5C7D"/>
    <w:rsid w:val="00AD5D1E"/>
    <w:rsid w:val="00AD5F70"/>
    <w:rsid w:val="00AD6317"/>
    <w:rsid w:val="00AD636D"/>
    <w:rsid w:val="00AD652F"/>
    <w:rsid w:val="00AD6847"/>
    <w:rsid w:val="00AD6B01"/>
    <w:rsid w:val="00AD703F"/>
    <w:rsid w:val="00AD7613"/>
    <w:rsid w:val="00AD7946"/>
    <w:rsid w:val="00AD7AB1"/>
    <w:rsid w:val="00AD7B84"/>
    <w:rsid w:val="00AD7F55"/>
    <w:rsid w:val="00AE003C"/>
    <w:rsid w:val="00AE0C6D"/>
    <w:rsid w:val="00AE0D7C"/>
    <w:rsid w:val="00AE0DA0"/>
    <w:rsid w:val="00AE0DF1"/>
    <w:rsid w:val="00AE0E59"/>
    <w:rsid w:val="00AE118E"/>
    <w:rsid w:val="00AE1317"/>
    <w:rsid w:val="00AE1577"/>
    <w:rsid w:val="00AE18E4"/>
    <w:rsid w:val="00AE1CD7"/>
    <w:rsid w:val="00AE2270"/>
    <w:rsid w:val="00AE29D9"/>
    <w:rsid w:val="00AE2E1B"/>
    <w:rsid w:val="00AE37B9"/>
    <w:rsid w:val="00AE39BD"/>
    <w:rsid w:val="00AE4064"/>
    <w:rsid w:val="00AE4108"/>
    <w:rsid w:val="00AE41F7"/>
    <w:rsid w:val="00AE432B"/>
    <w:rsid w:val="00AE4492"/>
    <w:rsid w:val="00AE48C2"/>
    <w:rsid w:val="00AE501A"/>
    <w:rsid w:val="00AE546F"/>
    <w:rsid w:val="00AE556E"/>
    <w:rsid w:val="00AE5667"/>
    <w:rsid w:val="00AE5812"/>
    <w:rsid w:val="00AE5B5C"/>
    <w:rsid w:val="00AE5B68"/>
    <w:rsid w:val="00AE5E8E"/>
    <w:rsid w:val="00AE6086"/>
    <w:rsid w:val="00AE61E9"/>
    <w:rsid w:val="00AE621E"/>
    <w:rsid w:val="00AE640D"/>
    <w:rsid w:val="00AE6850"/>
    <w:rsid w:val="00AE7045"/>
    <w:rsid w:val="00AE7057"/>
    <w:rsid w:val="00AE7A78"/>
    <w:rsid w:val="00AE7E6E"/>
    <w:rsid w:val="00AF0481"/>
    <w:rsid w:val="00AF054C"/>
    <w:rsid w:val="00AF057A"/>
    <w:rsid w:val="00AF0D2B"/>
    <w:rsid w:val="00AF0E2B"/>
    <w:rsid w:val="00AF12FA"/>
    <w:rsid w:val="00AF159E"/>
    <w:rsid w:val="00AF15E9"/>
    <w:rsid w:val="00AF1D57"/>
    <w:rsid w:val="00AF1F76"/>
    <w:rsid w:val="00AF208F"/>
    <w:rsid w:val="00AF209C"/>
    <w:rsid w:val="00AF2200"/>
    <w:rsid w:val="00AF2305"/>
    <w:rsid w:val="00AF2489"/>
    <w:rsid w:val="00AF2620"/>
    <w:rsid w:val="00AF289A"/>
    <w:rsid w:val="00AF2AC7"/>
    <w:rsid w:val="00AF2B23"/>
    <w:rsid w:val="00AF2F83"/>
    <w:rsid w:val="00AF3048"/>
    <w:rsid w:val="00AF30F1"/>
    <w:rsid w:val="00AF3137"/>
    <w:rsid w:val="00AF315B"/>
    <w:rsid w:val="00AF33DB"/>
    <w:rsid w:val="00AF3979"/>
    <w:rsid w:val="00AF3996"/>
    <w:rsid w:val="00AF3D78"/>
    <w:rsid w:val="00AF3DB2"/>
    <w:rsid w:val="00AF408A"/>
    <w:rsid w:val="00AF43E7"/>
    <w:rsid w:val="00AF4409"/>
    <w:rsid w:val="00AF465D"/>
    <w:rsid w:val="00AF4750"/>
    <w:rsid w:val="00AF4CF8"/>
    <w:rsid w:val="00AF559C"/>
    <w:rsid w:val="00AF5869"/>
    <w:rsid w:val="00AF5954"/>
    <w:rsid w:val="00AF7606"/>
    <w:rsid w:val="00AF77A4"/>
    <w:rsid w:val="00AF7886"/>
    <w:rsid w:val="00AF7E26"/>
    <w:rsid w:val="00B009FB"/>
    <w:rsid w:val="00B00D47"/>
    <w:rsid w:val="00B00F25"/>
    <w:rsid w:val="00B0152A"/>
    <w:rsid w:val="00B015B6"/>
    <w:rsid w:val="00B01632"/>
    <w:rsid w:val="00B021F7"/>
    <w:rsid w:val="00B02228"/>
    <w:rsid w:val="00B0293C"/>
    <w:rsid w:val="00B02A4F"/>
    <w:rsid w:val="00B02D22"/>
    <w:rsid w:val="00B02EE7"/>
    <w:rsid w:val="00B03082"/>
    <w:rsid w:val="00B034A3"/>
    <w:rsid w:val="00B03598"/>
    <w:rsid w:val="00B036ED"/>
    <w:rsid w:val="00B03961"/>
    <w:rsid w:val="00B03AB3"/>
    <w:rsid w:val="00B03F69"/>
    <w:rsid w:val="00B040A5"/>
    <w:rsid w:val="00B04551"/>
    <w:rsid w:val="00B04791"/>
    <w:rsid w:val="00B04823"/>
    <w:rsid w:val="00B04891"/>
    <w:rsid w:val="00B051C5"/>
    <w:rsid w:val="00B056C5"/>
    <w:rsid w:val="00B059B6"/>
    <w:rsid w:val="00B05A31"/>
    <w:rsid w:val="00B05A87"/>
    <w:rsid w:val="00B05B11"/>
    <w:rsid w:val="00B05F59"/>
    <w:rsid w:val="00B068D9"/>
    <w:rsid w:val="00B069CB"/>
    <w:rsid w:val="00B06F23"/>
    <w:rsid w:val="00B077DA"/>
    <w:rsid w:val="00B079CB"/>
    <w:rsid w:val="00B10216"/>
    <w:rsid w:val="00B10254"/>
    <w:rsid w:val="00B10459"/>
    <w:rsid w:val="00B105BB"/>
    <w:rsid w:val="00B10936"/>
    <w:rsid w:val="00B11874"/>
    <w:rsid w:val="00B12E13"/>
    <w:rsid w:val="00B12FC2"/>
    <w:rsid w:val="00B13003"/>
    <w:rsid w:val="00B1356B"/>
    <w:rsid w:val="00B13968"/>
    <w:rsid w:val="00B13C2A"/>
    <w:rsid w:val="00B1415B"/>
    <w:rsid w:val="00B141D7"/>
    <w:rsid w:val="00B14810"/>
    <w:rsid w:val="00B15274"/>
    <w:rsid w:val="00B15E6C"/>
    <w:rsid w:val="00B165D2"/>
    <w:rsid w:val="00B16B50"/>
    <w:rsid w:val="00B16E13"/>
    <w:rsid w:val="00B17023"/>
    <w:rsid w:val="00B17275"/>
    <w:rsid w:val="00B17615"/>
    <w:rsid w:val="00B179BD"/>
    <w:rsid w:val="00B17E54"/>
    <w:rsid w:val="00B20CB3"/>
    <w:rsid w:val="00B20E88"/>
    <w:rsid w:val="00B21079"/>
    <w:rsid w:val="00B21375"/>
    <w:rsid w:val="00B214D2"/>
    <w:rsid w:val="00B21575"/>
    <w:rsid w:val="00B216F8"/>
    <w:rsid w:val="00B217E9"/>
    <w:rsid w:val="00B21B6B"/>
    <w:rsid w:val="00B21D6B"/>
    <w:rsid w:val="00B21F00"/>
    <w:rsid w:val="00B22537"/>
    <w:rsid w:val="00B23024"/>
    <w:rsid w:val="00B23272"/>
    <w:rsid w:val="00B2345E"/>
    <w:rsid w:val="00B2347C"/>
    <w:rsid w:val="00B2375D"/>
    <w:rsid w:val="00B24155"/>
    <w:rsid w:val="00B24582"/>
    <w:rsid w:val="00B247D8"/>
    <w:rsid w:val="00B2487F"/>
    <w:rsid w:val="00B252A4"/>
    <w:rsid w:val="00B252C1"/>
    <w:rsid w:val="00B25387"/>
    <w:rsid w:val="00B258D6"/>
    <w:rsid w:val="00B25A1F"/>
    <w:rsid w:val="00B25EBF"/>
    <w:rsid w:val="00B264BE"/>
    <w:rsid w:val="00B26943"/>
    <w:rsid w:val="00B269C6"/>
    <w:rsid w:val="00B271E2"/>
    <w:rsid w:val="00B27225"/>
    <w:rsid w:val="00B27244"/>
    <w:rsid w:val="00B27549"/>
    <w:rsid w:val="00B275A8"/>
    <w:rsid w:val="00B27834"/>
    <w:rsid w:val="00B27B21"/>
    <w:rsid w:val="00B27CA2"/>
    <w:rsid w:val="00B27DD0"/>
    <w:rsid w:val="00B30323"/>
    <w:rsid w:val="00B30B8B"/>
    <w:rsid w:val="00B3123F"/>
    <w:rsid w:val="00B313F5"/>
    <w:rsid w:val="00B31511"/>
    <w:rsid w:val="00B31AE6"/>
    <w:rsid w:val="00B31AEE"/>
    <w:rsid w:val="00B31CC6"/>
    <w:rsid w:val="00B32513"/>
    <w:rsid w:val="00B32CDF"/>
    <w:rsid w:val="00B333FD"/>
    <w:rsid w:val="00B3381A"/>
    <w:rsid w:val="00B3389B"/>
    <w:rsid w:val="00B338E4"/>
    <w:rsid w:val="00B339FB"/>
    <w:rsid w:val="00B33F8B"/>
    <w:rsid w:val="00B340EF"/>
    <w:rsid w:val="00B349E4"/>
    <w:rsid w:val="00B34A51"/>
    <w:rsid w:val="00B34A8F"/>
    <w:rsid w:val="00B34FE3"/>
    <w:rsid w:val="00B350AD"/>
    <w:rsid w:val="00B35169"/>
    <w:rsid w:val="00B3548D"/>
    <w:rsid w:val="00B355C2"/>
    <w:rsid w:val="00B359DB"/>
    <w:rsid w:val="00B35E2F"/>
    <w:rsid w:val="00B360B2"/>
    <w:rsid w:val="00B365CF"/>
    <w:rsid w:val="00B36BA8"/>
    <w:rsid w:val="00B36D15"/>
    <w:rsid w:val="00B36F83"/>
    <w:rsid w:val="00B3700E"/>
    <w:rsid w:val="00B3733E"/>
    <w:rsid w:val="00B400DA"/>
    <w:rsid w:val="00B40A30"/>
    <w:rsid w:val="00B40EE6"/>
    <w:rsid w:val="00B410AB"/>
    <w:rsid w:val="00B413D2"/>
    <w:rsid w:val="00B41451"/>
    <w:rsid w:val="00B4156F"/>
    <w:rsid w:val="00B41EAC"/>
    <w:rsid w:val="00B426B4"/>
    <w:rsid w:val="00B42799"/>
    <w:rsid w:val="00B42CD8"/>
    <w:rsid w:val="00B42D80"/>
    <w:rsid w:val="00B42DD4"/>
    <w:rsid w:val="00B42F50"/>
    <w:rsid w:val="00B43452"/>
    <w:rsid w:val="00B43965"/>
    <w:rsid w:val="00B445CF"/>
    <w:rsid w:val="00B4471B"/>
    <w:rsid w:val="00B44DC2"/>
    <w:rsid w:val="00B4549D"/>
    <w:rsid w:val="00B4570A"/>
    <w:rsid w:val="00B457FE"/>
    <w:rsid w:val="00B45A5A"/>
    <w:rsid w:val="00B45B5D"/>
    <w:rsid w:val="00B46C72"/>
    <w:rsid w:val="00B4700E"/>
    <w:rsid w:val="00B47161"/>
    <w:rsid w:val="00B47438"/>
    <w:rsid w:val="00B47AEC"/>
    <w:rsid w:val="00B50C58"/>
    <w:rsid w:val="00B50D4A"/>
    <w:rsid w:val="00B50F3B"/>
    <w:rsid w:val="00B50F82"/>
    <w:rsid w:val="00B5113D"/>
    <w:rsid w:val="00B517B7"/>
    <w:rsid w:val="00B52AC1"/>
    <w:rsid w:val="00B53A66"/>
    <w:rsid w:val="00B546B0"/>
    <w:rsid w:val="00B549B4"/>
    <w:rsid w:val="00B54A95"/>
    <w:rsid w:val="00B54B6A"/>
    <w:rsid w:val="00B54D65"/>
    <w:rsid w:val="00B55821"/>
    <w:rsid w:val="00B559DC"/>
    <w:rsid w:val="00B55C5A"/>
    <w:rsid w:val="00B55D4E"/>
    <w:rsid w:val="00B5611E"/>
    <w:rsid w:val="00B564AA"/>
    <w:rsid w:val="00B56A90"/>
    <w:rsid w:val="00B56AB9"/>
    <w:rsid w:val="00B56CE3"/>
    <w:rsid w:val="00B56E20"/>
    <w:rsid w:val="00B56E44"/>
    <w:rsid w:val="00B56E9A"/>
    <w:rsid w:val="00B56EAA"/>
    <w:rsid w:val="00B56F5C"/>
    <w:rsid w:val="00B5714D"/>
    <w:rsid w:val="00B57683"/>
    <w:rsid w:val="00B576E9"/>
    <w:rsid w:val="00B57735"/>
    <w:rsid w:val="00B57771"/>
    <w:rsid w:val="00B578CF"/>
    <w:rsid w:val="00B57BAC"/>
    <w:rsid w:val="00B57FE7"/>
    <w:rsid w:val="00B600AB"/>
    <w:rsid w:val="00B602CF"/>
    <w:rsid w:val="00B603A9"/>
    <w:rsid w:val="00B604B3"/>
    <w:rsid w:val="00B61097"/>
    <w:rsid w:val="00B61300"/>
    <w:rsid w:val="00B61883"/>
    <w:rsid w:val="00B61991"/>
    <w:rsid w:val="00B61A44"/>
    <w:rsid w:val="00B61CEB"/>
    <w:rsid w:val="00B62375"/>
    <w:rsid w:val="00B62839"/>
    <w:rsid w:val="00B62A29"/>
    <w:rsid w:val="00B62B1E"/>
    <w:rsid w:val="00B62D5D"/>
    <w:rsid w:val="00B6334D"/>
    <w:rsid w:val="00B635C8"/>
    <w:rsid w:val="00B63785"/>
    <w:rsid w:val="00B63965"/>
    <w:rsid w:val="00B63CF0"/>
    <w:rsid w:val="00B6400A"/>
    <w:rsid w:val="00B640CD"/>
    <w:rsid w:val="00B64E40"/>
    <w:rsid w:val="00B64F78"/>
    <w:rsid w:val="00B65164"/>
    <w:rsid w:val="00B651F1"/>
    <w:rsid w:val="00B65592"/>
    <w:rsid w:val="00B657C3"/>
    <w:rsid w:val="00B6591B"/>
    <w:rsid w:val="00B65B9F"/>
    <w:rsid w:val="00B665E2"/>
    <w:rsid w:val="00B66D09"/>
    <w:rsid w:val="00B6726A"/>
    <w:rsid w:val="00B6737A"/>
    <w:rsid w:val="00B67E47"/>
    <w:rsid w:val="00B703EA"/>
    <w:rsid w:val="00B70687"/>
    <w:rsid w:val="00B70775"/>
    <w:rsid w:val="00B70EF5"/>
    <w:rsid w:val="00B7147A"/>
    <w:rsid w:val="00B7166A"/>
    <w:rsid w:val="00B7189A"/>
    <w:rsid w:val="00B71B70"/>
    <w:rsid w:val="00B71E60"/>
    <w:rsid w:val="00B72C34"/>
    <w:rsid w:val="00B72CB2"/>
    <w:rsid w:val="00B72CEF"/>
    <w:rsid w:val="00B72DBC"/>
    <w:rsid w:val="00B72E51"/>
    <w:rsid w:val="00B72F63"/>
    <w:rsid w:val="00B72F73"/>
    <w:rsid w:val="00B72FF5"/>
    <w:rsid w:val="00B73158"/>
    <w:rsid w:val="00B738FB"/>
    <w:rsid w:val="00B73C31"/>
    <w:rsid w:val="00B73CC3"/>
    <w:rsid w:val="00B73E33"/>
    <w:rsid w:val="00B73FDA"/>
    <w:rsid w:val="00B741D7"/>
    <w:rsid w:val="00B742BD"/>
    <w:rsid w:val="00B74428"/>
    <w:rsid w:val="00B746A0"/>
    <w:rsid w:val="00B74D01"/>
    <w:rsid w:val="00B753F6"/>
    <w:rsid w:val="00B75731"/>
    <w:rsid w:val="00B75A21"/>
    <w:rsid w:val="00B75C96"/>
    <w:rsid w:val="00B75CFF"/>
    <w:rsid w:val="00B764C5"/>
    <w:rsid w:val="00B76A60"/>
    <w:rsid w:val="00B76B1B"/>
    <w:rsid w:val="00B76BB2"/>
    <w:rsid w:val="00B76D04"/>
    <w:rsid w:val="00B770FC"/>
    <w:rsid w:val="00B77475"/>
    <w:rsid w:val="00B7759D"/>
    <w:rsid w:val="00B77B90"/>
    <w:rsid w:val="00B77E64"/>
    <w:rsid w:val="00B80090"/>
    <w:rsid w:val="00B801B5"/>
    <w:rsid w:val="00B802B1"/>
    <w:rsid w:val="00B805DF"/>
    <w:rsid w:val="00B80B7B"/>
    <w:rsid w:val="00B80DA7"/>
    <w:rsid w:val="00B80DCA"/>
    <w:rsid w:val="00B80F0F"/>
    <w:rsid w:val="00B810F0"/>
    <w:rsid w:val="00B81110"/>
    <w:rsid w:val="00B8114A"/>
    <w:rsid w:val="00B8147D"/>
    <w:rsid w:val="00B8200D"/>
    <w:rsid w:val="00B8235E"/>
    <w:rsid w:val="00B82B90"/>
    <w:rsid w:val="00B82EFF"/>
    <w:rsid w:val="00B82F39"/>
    <w:rsid w:val="00B8305C"/>
    <w:rsid w:val="00B830FB"/>
    <w:rsid w:val="00B833CA"/>
    <w:rsid w:val="00B8362D"/>
    <w:rsid w:val="00B8379C"/>
    <w:rsid w:val="00B83D51"/>
    <w:rsid w:val="00B8424A"/>
    <w:rsid w:val="00B84840"/>
    <w:rsid w:val="00B849EE"/>
    <w:rsid w:val="00B849F3"/>
    <w:rsid w:val="00B84D58"/>
    <w:rsid w:val="00B84D65"/>
    <w:rsid w:val="00B84FFF"/>
    <w:rsid w:val="00B8508E"/>
    <w:rsid w:val="00B857AA"/>
    <w:rsid w:val="00B85821"/>
    <w:rsid w:val="00B8585A"/>
    <w:rsid w:val="00B858C8"/>
    <w:rsid w:val="00B85A13"/>
    <w:rsid w:val="00B85C03"/>
    <w:rsid w:val="00B85DC7"/>
    <w:rsid w:val="00B85F11"/>
    <w:rsid w:val="00B8687B"/>
    <w:rsid w:val="00B87C21"/>
    <w:rsid w:val="00B90060"/>
    <w:rsid w:val="00B90352"/>
    <w:rsid w:val="00B90427"/>
    <w:rsid w:val="00B90492"/>
    <w:rsid w:val="00B9091A"/>
    <w:rsid w:val="00B90ABF"/>
    <w:rsid w:val="00B90AFA"/>
    <w:rsid w:val="00B90F76"/>
    <w:rsid w:val="00B9181B"/>
    <w:rsid w:val="00B91940"/>
    <w:rsid w:val="00B91CCB"/>
    <w:rsid w:val="00B91DD5"/>
    <w:rsid w:val="00B91EB3"/>
    <w:rsid w:val="00B91F87"/>
    <w:rsid w:val="00B92393"/>
    <w:rsid w:val="00B924E8"/>
    <w:rsid w:val="00B928FB"/>
    <w:rsid w:val="00B92CAB"/>
    <w:rsid w:val="00B92CE3"/>
    <w:rsid w:val="00B93472"/>
    <w:rsid w:val="00B9363D"/>
    <w:rsid w:val="00B93677"/>
    <w:rsid w:val="00B94043"/>
    <w:rsid w:val="00B9426D"/>
    <w:rsid w:val="00B9443D"/>
    <w:rsid w:val="00B94782"/>
    <w:rsid w:val="00B9531C"/>
    <w:rsid w:val="00B95474"/>
    <w:rsid w:val="00B95671"/>
    <w:rsid w:val="00B957D8"/>
    <w:rsid w:val="00B9599D"/>
    <w:rsid w:val="00B95EC9"/>
    <w:rsid w:val="00B95F8B"/>
    <w:rsid w:val="00B9601C"/>
    <w:rsid w:val="00B96040"/>
    <w:rsid w:val="00B963E4"/>
    <w:rsid w:val="00B96989"/>
    <w:rsid w:val="00B96ACB"/>
    <w:rsid w:val="00B97172"/>
    <w:rsid w:val="00B97531"/>
    <w:rsid w:val="00B97633"/>
    <w:rsid w:val="00B97D0B"/>
    <w:rsid w:val="00BA008E"/>
    <w:rsid w:val="00BA0972"/>
    <w:rsid w:val="00BA0E5B"/>
    <w:rsid w:val="00BA0EF3"/>
    <w:rsid w:val="00BA0F7C"/>
    <w:rsid w:val="00BA1000"/>
    <w:rsid w:val="00BA104C"/>
    <w:rsid w:val="00BA10B9"/>
    <w:rsid w:val="00BA175C"/>
    <w:rsid w:val="00BA179B"/>
    <w:rsid w:val="00BA1933"/>
    <w:rsid w:val="00BA19BF"/>
    <w:rsid w:val="00BA1A9D"/>
    <w:rsid w:val="00BA1D28"/>
    <w:rsid w:val="00BA283A"/>
    <w:rsid w:val="00BA2D6E"/>
    <w:rsid w:val="00BA2E54"/>
    <w:rsid w:val="00BA2E94"/>
    <w:rsid w:val="00BA300A"/>
    <w:rsid w:val="00BA3300"/>
    <w:rsid w:val="00BA3342"/>
    <w:rsid w:val="00BA363A"/>
    <w:rsid w:val="00BA3658"/>
    <w:rsid w:val="00BA382A"/>
    <w:rsid w:val="00BA4915"/>
    <w:rsid w:val="00BA4FC2"/>
    <w:rsid w:val="00BA542B"/>
    <w:rsid w:val="00BA5630"/>
    <w:rsid w:val="00BA5F71"/>
    <w:rsid w:val="00BA6064"/>
    <w:rsid w:val="00BA6534"/>
    <w:rsid w:val="00BA658E"/>
    <w:rsid w:val="00BA70FF"/>
    <w:rsid w:val="00BA7459"/>
    <w:rsid w:val="00BA74FA"/>
    <w:rsid w:val="00BA7711"/>
    <w:rsid w:val="00BA7D22"/>
    <w:rsid w:val="00BB002E"/>
    <w:rsid w:val="00BB03CA"/>
    <w:rsid w:val="00BB0428"/>
    <w:rsid w:val="00BB0C77"/>
    <w:rsid w:val="00BB0D01"/>
    <w:rsid w:val="00BB0EA3"/>
    <w:rsid w:val="00BB0FD9"/>
    <w:rsid w:val="00BB122F"/>
    <w:rsid w:val="00BB131C"/>
    <w:rsid w:val="00BB1931"/>
    <w:rsid w:val="00BB1B54"/>
    <w:rsid w:val="00BB1D3B"/>
    <w:rsid w:val="00BB2A3E"/>
    <w:rsid w:val="00BB2A9F"/>
    <w:rsid w:val="00BB2C44"/>
    <w:rsid w:val="00BB2EA0"/>
    <w:rsid w:val="00BB307A"/>
    <w:rsid w:val="00BB3101"/>
    <w:rsid w:val="00BB34E9"/>
    <w:rsid w:val="00BB3550"/>
    <w:rsid w:val="00BB35C7"/>
    <w:rsid w:val="00BB3820"/>
    <w:rsid w:val="00BB38D0"/>
    <w:rsid w:val="00BB3EF2"/>
    <w:rsid w:val="00BB41E2"/>
    <w:rsid w:val="00BB4C09"/>
    <w:rsid w:val="00BB4C70"/>
    <w:rsid w:val="00BB50AB"/>
    <w:rsid w:val="00BB5252"/>
    <w:rsid w:val="00BB581D"/>
    <w:rsid w:val="00BB5CD4"/>
    <w:rsid w:val="00BB6368"/>
    <w:rsid w:val="00BB63AB"/>
    <w:rsid w:val="00BB66E8"/>
    <w:rsid w:val="00BB6A07"/>
    <w:rsid w:val="00BB6B60"/>
    <w:rsid w:val="00BB73D0"/>
    <w:rsid w:val="00BB7568"/>
    <w:rsid w:val="00BB796B"/>
    <w:rsid w:val="00BB7C1D"/>
    <w:rsid w:val="00BB7CD8"/>
    <w:rsid w:val="00BB7D34"/>
    <w:rsid w:val="00BC03AD"/>
    <w:rsid w:val="00BC0826"/>
    <w:rsid w:val="00BC0902"/>
    <w:rsid w:val="00BC0C7C"/>
    <w:rsid w:val="00BC0CC8"/>
    <w:rsid w:val="00BC1196"/>
    <w:rsid w:val="00BC1760"/>
    <w:rsid w:val="00BC197B"/>
    <w:rsid w:val="00BC1AEE"/>
    <w:rsid w:val="00BC1B6D"/>
    <w:rsid w:val="00BC1BD7"/>
    <w:rsid w:val="00BC229D"/>
    <w:rsid w:val="00BC25B8"/>
    <w:rsid w:val="00BC25F6"/>
    <w:rsid w:val="00BC26EA"/>
    <w:rsid w:val="00BC27C6"/>
    <w:rsid w:val="00BC283F"/>
    <w:rsid w:val="00BC2CCE"/>
    <w:rsid w:val="00BC2E19"/>
    <w:rsid w:val="00BC2F79"/>
    <w:rsid w:val="00BC317A"/>
    <w:rsid w:val="00BC37EA"/>
    <w:rsid w:val="00BC3B0E"/>
    <w:rsid w:val="00BC4069"/>
    <w:rsid w:val="00BC429D"/>
    <w:rsid w:val="00BC4337"/>
    <w:rsid w:val="00BC4376"/>
    <w:rsid w:val="00BC449E"/>
    <w:rsid w:val="00BC5EF7"/>
    <w:rsid w:val="00BC6346"/>
    <w:rsid w:val="00BC676D"/>
    <w:rsid w:val="00BC6F96"/>
    <w:rsid w:val="00BC74F2"/>
    <w:rsid w:val="00BC763E"/>
    <w:rsid w:val="00BC7F88"/>
    <w:rsid w:val="00BD0360"/>
    <w:rsid w:val="00BD059B"/>
    <w:rsid w:val="00BD05CC"/>
    <w:rsid w:val="00BD0726"/>
    <w:rsid w:val="00BD08BB"/>
    <w:rsid w:val="00BD0BD5"/>
    <w:rsid w:val="00BD14A6"/>
    <w:rsid w:val="00BD17BF"/>
    <w:rsid w:val="00BD17DF"/>
    <w:rsid w:val="00BD1A45"/>
    <w:rsid w:val="00BD2475"/>
    <w:rsid w:val="00BD2B67"/>
    <w:rsid w:val="00BD2DE7"/>
    <w:rsid w:val="00BD2FF0"/>
    <w:rsid w:val="00BD30A9"/>
    <w:rsid w:val="00BD30C8"/>
    <w:rsid w:val="00BD31F7"/>
    <w:rsid w:val="00BD340D"/>
    <w:rsid w:val="00BD3DD9"/>
    <w:rsid w:val="00BD3E6F"/>
    <w:rsid w:val="00BD416C"/>
    <w:rsid w:val="00BD459C"/>
    <w:rsid w:val="00BD4689"/>
    <w:rsid w:val="00BD4811"/>
    <w:rsid w:val="00BD4A67"/>
    <w:rsid w:val="00BD4AA9"/>
    <w:rsid w:val="00BD5200"/>
    <w:rsid w:val="00BD5A0E"/>
    <w:rsid w:val="00BD5BB0"/>
    <w:rsid w:val="00BD6481"/>
    <w:rsid w:val="00BD65B2"/>
    <w:rsid w:val="00BD6637"/>
    <w:rsid w:val="00BD68C6"/>
    <w:rsid w:val="00BD68D4"/>
    <w:rsid w:val="00BD6A8F"/>
    <w:rsid w:val="00BD6C31"/>
    <w:rsid w:val="00BD75ED"/>
    <w:rsid w:val="00BD77A8"/>
    <w:rsid w:val="00BE0547"/>
    <w:rsid w:val="00BE07F9"/>
    <w:rsid w:val="00BE09C4"/>
    <w:rsid w:val="00BE0B51"/>
    <w:rsid w:val="00BE0D25"/>
    <w:rsid w:val="00BE0E4A"/>
    <w:rsid w:val="00BE19D1"/>
    <w:rsid w:val="00BE2570"/>
    <w:rsid w:val="00BE2B1F"/>
    <w:rsid w:val="00BE2DA8"/>
    <w:rsid w:val="00BE3081"/>
    <w:rsid w:val="00BE33F8"/>
    <w:rsid w:val="00BE37EF"/>
    <w:rsid w:val="00BE3B63"/>
    <w:rsid w:val="00BE4387"/>
    <w:rsid w:val="00BE4439"/>
    <w:rsid w:val="00BE47BA"/>
    <w:rsid w:val="00BE49C9"/>
    <w:rsid w:val="00BE4CD2"/>
    <w:rsid w:val="00BE4D24"/>
    <w:rsid w:val="00BE5084"/>
    <w:rsid w:val="00BE52AA"/>
    <w:rsid w:val="00BE5456"/>
    <w:rsid w:val="00BE55B1"/>
    <w:rsid w:val="00BE5E42"/>
    <w:rsid w:val="00BE614C"/>
    <w:rsid w:val="00BE6696"/>
    <w:rsid w:val="00BE695B"/>
    <w:rsid w:val="00BE6D87"/>
    <w:rsid w:val="00BE6E00"/>
    <w:rsid w:val="00BE72DA"/>
    <w:rsid w:val="00BE731D"/>
    <w:rsid w:val="00BE7355"/>
    <w:rsid w:val="00BE7956"/>
    <w:rsid w:val="00BF04F0"/>
    <w:rsid w:val="00BF0791"/>
    <w:rsid w:val="00BF0BA6"/>
    <w:rsid w:val="00BF0F24"/>
    <w:rsid w:val="00BF113F"/>
    <w:rsid w:val="00BF1150"/>
    <w:rsid w:val="00BF16D0"/>
    <w:rsid w:val="00BF1B28"/>
    <w:rsid w:val="00BF1DAA"/>
    <w:rsid w:val="00BF1E3C"/>
    <w:rsid w:val="00BF1F33"/>
    <w:rsid w:val="00BF21FC"/>
    <w:rsid w:val="00BF25F0"/>
    <w:rsid w:val="00BF2618"/>
    <w:rsid w:val="00BF2C83"/>
    <w:rsid w:val="00BF30B3"/>
    <w:rsid w:val="00BF332F"/>
    <w:rsid w:val="00BF37AD"/>
    <w:rsid w:val="00BF39D9"/>
    <w:rsid w:val="00BF3BDF"/>
    <w:rsid w:val="00BF3C8A"/>
    <w:rsid w:val="00BF3E47"/>
    <w:rsid w:val="00BF3E9F"/>
    <w:rsid w:val="00BF400F"/>
    <w:rsid w:val="00BF4753"/>
    <w:rsid w:val="00BF4775"/>
    <w:rsid w:val="00BF477B"/>
    <w:rsid w:val="00BF4E1C"/>
    <w:rsid w:val="00BF5AFA"/>
    <w:rsid w:val="00BF611A"/>
    <w:rsid w:val="00BF61FE"/>
    <w:rsid w:val="00BF6527"/>
    <w:rsid w:val="00BF6BDA"/>
    <w:rsid w:val="00BF6C37"/>
    <w:rsid w:val="00BF6CAB"/>
    <w:rsid w:val="00BF722D"/>
    <w:rsid w:val="00BF7371"/>
    <w:rsid w:val="00BF75ED"/>
    <w:rsid w:val="00C00440"/>
    <w:rsid w:val="00C00619"/>
    <w:rsid w:val="00C00A23"/>
    <w:rsid w:val="00C00D13"/>
    <w:rsid w:val="00C00DDD"/>
    <w:rsid w:val="00C00EBF"/>
    <w:rsid w:val="00C01085"/>
    <w:rsid w:val="00C0122A"/>
    <w:rsid w:val="00C018A9"/>
    <w:rsid w:val="00C019D4"/>
    <w:rsid w:val="00C01A2B"/>
    <w:rsid w:val="00C01D2F"/>
    <w:rsid w:val="00C0242B"/>
    <w:rsid w:val="00C02714"/>
    <w:rsid w:val="00C0273F"/>
    <w:rsid w:val="00C02943"/>
    <w:rsid w:val="00C02A00"/>
    <w:rsid w:val="00C02C58"/>
    <w:rsid w:val="00C02F2F"/>
    <w:rsid w:val="00C03061"/>
    <w:rsid w:val="00C0309C"/>
    <w:rsid w:val="00C0318E"/>
    <w:rsid w:val="00C031CC"/>
    <w:rsid w:val="00C03BFE"/>
    <w:rsid w:val="00C03C03"/>
    <w:rsid w:val="00C03C3D"/>
    <w:rsid w:val="00C03EEA"/>
    <w:rsid w:val="00C04184"/>
    <w:rsid w:val="00C057BA"/>
    <w:rsid w:val="00C05AE3"/>
    <w:rsid w:val="00C06096"/>
    <w:rsid w:val="00C061CB"/>
    <w:rsid w:val="00C06A52"/>
    <w:rsid w:val="00C06B19"/>
    <w:rsid w:val="00C06BED"/>
    <w:rsid w:val="00C06FD7"/>
    <w:rsid w:val="00C071ED"/>
    <w:rsid w:val="00C07506"/>
    <w:rsid w:val="00C077EC"/>
    <w:rsid w:val="00C07FFE"/>
    <w:rsid w:val="00C10024"/>
    <w:rsid w:val="00C104E0"/>
    <w:rsid w:val="00C10EAA"/>
    <w:rsid w:val="00C11196"/>
    <w:rsid w:val="00C113A0"/>
    <w:rsid w:val="00C115B9"/>
    <w:rsid w:val="00C11C04"/>
    <w:rsid w:val="00C12494"/>
    <w:rsid w:val="00C12768"/>
    <w:rsid w:val="00C127D9"/>
    <w:rsid w:val="00C12DA0"/>
    <w:rsid w:val="00C13430"/>
    <w:rsid w:val="00C135CE"/>
    <w:rsid w:val="00C13790"/>
    <w:rsid w:val="00C1385D"/>
    <w:rsid w:val="00C139D2"/>
    <w:rsid w:val="00C13C08"/>
    <w:rsid w:val="00C13F9D"/>
    <w:rsid w:val="00C147E1"/>
    <w:rsid w:val="00C14874"/>
    <w:rsid w:val="00C14CAD"/>
    <w:rsid w:val="00C14E7E"/>
    <w:rsid w:val="00C1540A"/>
    <w:rsid w:val="00C15AB2"/>
    <w:rsid w:val="00C15D88"/>
    <w:rsid w:val="00C15E12"/>
    <w:rsid w:val="00C16111"/>
    <w:rsid w:val="00C164FF"/>
    <w:rsid w:val="00C16930"/>
    <w:rsid w:val="00C16DC3"/>
    <w:rsid w:val="00C16EE3"/>
    <w:rsid w:val="00C16F13"/>
    <w:rsid w:val="00C170FE"/>
    <w:rsid w:val="00C17324"/>
    <w:rsid w:val="00C17F43"/>
    <w:rsid w:val="00C17FEC"/>
    <w:rsid w:val="00C20142"/>
    <w:rsid w:val="00C2022A"/>
    <w:rsid w:val="00C204DB"/>
    <w:rsid w:val="00C20B5E"/>
    <w:rsid w:val="00C211AA"/>
    <w:rsid w:val="00C2157F"/>
    <w:rsid w:val="00C21591"/>
    <w:rsid w:val="00C21A22"/>
    <w:rsid w:val="00C22414"/>
    <w:rsid w:val="00C227DC"/>
    <w:rsid w:val="00C230BD"/>
    <w:rsid w:val="00C23145"/>
    <w:rsid w:val="00C23458"/>
    <w:rsid w:val="00C235B1"/>
    <w:rsid w:val="00C2372B"/>
    <w:rsid w:val="00C2379C"/>
    <w:rsid w:val="00C238EA"/>
    <w:rsid w:val="00C2414D"/>
    <w:rsid w:val="00C24500"/>
    <w:rsid w:val="00C24640"/>
    <w:rsid w:val="00C247C4"/>
    <w:rsid w:val="00C25213"/>
    <w:rsid w:val="00C25ADD"/>
    <w:rsid w:val="00C25F17"/>
    <w:rsid w:val="00C25FF3"/>
    <w:rsid w:val="00C26025"/>
    <w:rsid w:val="00C26C1E"/>
    <w:rsid w:val="00C26D02"/>
    <w:rsid w:val="00C2745A"/>
    <w:rsid w:val="00C27E2F"/>
    <w:rsid w:val="00C30010"/>
    <w:rsid w:val="00C30138"/>
    <w:rsid w:val="00C3027F"/>
    <w:rsid w:val="00C308E8"/>
    <w:rsid w:val="00C30951"/>
    <w:rsid w:val="00C30B51"/>
    <w:rsid w:val="00C3102C"/>
    <w:rsid w:val="00C3115B"/>
    <w:rsid w:val="00C313B9"/>
    <w:rsid w:val="00C31451"/>
    <w:rsid w:val="00C31508"/>
    <w:rsid w:val="00C31967"/>
    <w:rsid w:val="00C319E1"/>
    <w:rsid w:val="00C31ACD"/>
    <w:rsid w:val="00C31FAF"/>
    <w:rsid w:val="00C32323"/>
    <w:rsid w:val="00C32955"/>
    <w:rsid w:val="00C32BC1"/>
    <w:rsid w:val="00C32BCD"/>
    <w:rsid w:val="00C32E9D"/>
    <w:rsid w:val="00C32EE8"/>
    <w:rsid w:val="00C334EA"/>
    <w:rsid w:val="00C3383B"/>
    <w:rsid w:val="00C33FDB"/>
    <w:rsid w:val="00C34196"/>
    <w:rsid w:val="00C3444B"/>
    <w:rsid w:val="00C3455D"/>
    <w:rsid w:val="00C34C70"/>
    <w:rsid w:val="00C350FB"/>
    <w:rsid w:val="00C357DA"/>
    <w:rsid w:val="00C3592D"/>
    <w:rsid w:val="00C359CE"/>
    <w:rsid w:val="00C35C31"/>
    <w:rsid w:val="00C35C61"/>
    <w:rsid w:val="00C3616A"/>
    <w:rsid w:val="00C36276"/>
    <w:rsid w:val="00C36863"/>
    <w:rsid w:val="00C36E23"/>
    <w:rsid w:val="00C36EC3"/>
    <w:rsid w:val="00C371FA"/>
    <w:rsid w:val="00C375DB"/>
    <w:rsid w:val="00C379A2"/>
    <w:rsid w:val="00C379BD"/>
    <w:rsid w:val="00C37A57"/>
    <w:rsid w:val="00C37E12"/>
    <w:rsid w:val="00C37F63"/>
    <w:rsid w:val="00C402B8"/>
    <w:rsid w:val="00C403DA"/>
    <w:rsid w:val="00C40491"/>
    <w:rsid w:val="00C40606"/>
    <w:rsid w:val="00C406FA"/>
    <w:rsid w:val="00C409FF"/>
    <w:rsid w:val="00C40BED"/>
    <w:rsid w:val="00C40E7B"/>
    <w:rsid w:val="00C40E92"/>
    <w:rsid w:val="00C41044"/>
    <w:rsid w:val="00C413F3"/>
    <w:rsid w:val="00C414B5"/>
    <w:rsid w:val="00C41C3C"/>
    <w:rsid w:val="00C41CCB"/>
    <w:rsid w:val="00C41CE3"/>
    <w:rsid w:val="00C41D43"/>
    <w:rsid w:val="00C41F4C"/>
    <w:rsid w:val="00C42CC2"/>
    <w:rsid w:val="00C430CA"/>
    <w:rsid w:val="00C430D2"/>
    <w:rsid w:val="00C4320F"/>
    <w:rsid w:val="00C43431"/>
    <w:rsid w:val="00C4405E"/>
    <w:rsid w:val="00C44071"/>
    <w:rsid w:val="00C447B8"/>
    <w:rsid w:val="00C448F7"/>
    <w:rsid w:val="00C450BD"/>
    <w:rsid w:val="00C4528F"/>
    <w:rsid w:val="00C455D3"/>
    <w:rsid w:val="00C4579D"/>
    <w:rsid w:val="00C45BA8"/>
    <w:rsid w:val="00C4625A"/>
    <w:rsid w:val="00C46436"/>
    <w:rsid w:val="00C464F4"/>
    <w:rsid w:val="00C46915"/>
    <w:rsid w:val="00C46B6E"/>
    <w:rsid w:val="00C46C33"/>
    <w:rsid w:val="00C46F41"/>
    <w:rsid w:val="00C47499"/>
    <w:rsid w:val="00C479FB"/>
    <w:rsid w:val="00C47A51"/>
    <w:rsid w:val="00C47AE3"/>
    <w:rsid w:val="00C47C85"/>
    <w:rsid w:val="00C47D63"/>
    <w:rsid w:val="00C47DA4"/>
    <w:rsid w:val="00C47E14"/>
    <w:rsid w:val="00C47F7B"/>
    <w:rsid w:val="00C50153"/>
    <w:rsid w:val="00C50244"/>
    <w:rsid w:val="00C50428"/>
    <w:rsid w:val="00C5059C"/>
    <w:rsid w:val="00C5084C"/>
    <w:rsid w:val="00C50C47"/>
    <w:rsid w:val="00C50E82"/>
    <w:rsid w:val="00C51A66"/>
    <w:rsid w:val="00C51AEB"/>
    <w:rsid w:val="00C51BE4"/>
    <w:rsid w:val="00C51D16"/>
    <w:rsid w:val="00C528CD"/>
    <w:rsid w:val="00C52D86"/>
    <w:rsid w:val="00C52F5F"/>
    <w:rsid w:val="00C533E4"/>
    <w:rsid w:val="00C53878"/>
    <w:rsid w:val="00C53D3E"/>
    <w:rsid w:val="00C54655"/>
    <w:rsid w:val="00C5465D"/>
    <w:rsid w:val="00C551D6"/>
    <w:rsid w:val="00C55241"/>
    <w:rsid w:val="00C5565F"/>
    <w:rsid w:val="00C55B03"/>
    <w:rsid w:val="00C55C35"/>
    <w:rsid w:val="00C55DA6"/>
    <w:rsid w:val="00C56613"/>
    <w:rsid w:val="00C568DD"/>
    <w:rsid w:val="00C56B04"/>
    <w:rsid w:val="00C56BAC"/>
    <w:rsid w:val="00C56CAF"/>
    <w:rsid w:val="00C56CD0"/>
    <w:rsid w:val="00C5727B"/>
    <w:rsid w:val="00C5748D"/>
    <w:rsid w:val="00C57983"/>
    <w:rsid w:val="00C5799A"/>
    <w:rsid w:val="00C57DFB"/>
    <w:rsid w:val="00C57ECA"/>
    <w:rsid w:val="00C6045E"/>
    <w:rsid w:val="00C604AB"/>
    <w:rsid w:val="00C612D6"/>
    <w:rsid w:val="00C615BD"/>
    <w:rsid w:val="00C61F72"/>
    <w:rsid w:val="00C621E9"/>
    <w:rsid w:val="00C6284C"/>
    <w:rsid w:val="00C628CA"/>
    <w:rsid w:val="00C62A5E"/>
    <w:rsid w:val="00C62BFE"/>
    <w:rsid w:val="00C631A8"/>
    <w:rsid w:val="00C6373C"/>
    <w:rsid w:val="00C6374D"/>
    <w:rsid w:val="00C638B2"/>
    <w:rsid w:val="00C63940"/>
    <w:rsid w:val="00C639B9"/>
    <w:rsid w:val="00C63E6E"/>
    <w:rsid w:val="00C645D6"/>
    <w:rsid w:val="00C646D8"/>
    <w:rsid w:val="00C6473F"/>
    <w:rsid w:val="00C6490E"/>
    <w:rsid w:val="00C65441"/>
    <w:rsid w:val="00C654A6"/>
    <w:rsid w:val="00C6589B"/>
    <w:rsid w:val="00C658B0"/>
    <w:rsid w:val="00C65D3A"/>
    <w:rsid w:val="00C66448"/>
    <w:rsid w:val="00C66880"/>
    <w:rsid w:val="00C66C37"/>
    <w:rsid w:val="00C66E4F"/>
    <w:rsid w:val="00C66FD2"/>
    <w:rsid w:val="00C671AB"/>
    <w:rsid w:val="00C674CB"/>
    <w:rsid w:val="00C675E7"/>
    <w:rsid w:val="00C677CF"/>
    <w:rsid w:val="00C679B7"/>
    <w:rsid w:val="00C67A83"/>
    <w:rsid w:val="00C67BCE"/>
    <w:rsid w:val="00C70003"/>
    <w:rsid w:val="00C70148"/>
    <w:rsid w:val="00C70789"/>
    <w:rsid w:val="00C710C1"/>
    <w:rsid w:val="00C71455"/>
    <w:rsid w:val="00C7161D"/>
    <w:rsid w:val="00C7174F"/>
    <w:rsid w:val="00C7183F"/>
    <w:rsid w:val="00C71D27"/>
    <w:rsid w:val="00C72011"/>
    <w:rsid w:val="00C72233"/>
    <w:rsid w:val="00C722E5"/>
    <w:rsid w:val="00C723DD"/>
    <w:rsid w:val="00C72474"/>
    <w:rsid w:val="00C72FA2"/>
    <w:rsid w:val="00C73543"/>
    <w:rsid w:val="00C7388D"/>
    <w:rsid w:val="00C739AE"/>
    <w:rsid w:val="00C73AC5"/>
    <w:rsid w:val="00C73B48"/>
    <w:rsid w:val="00C73BAA"/>
    <w:rsid w:val="00C73C5F"/>
    <w:rsid w:val="00C7537A"/>
    <w:rsid w:val="00C756FA"/>
    <w:rsid w:val="00C75807"/>
    <w:rsid w:val="00C759D9"/>
    <w:rsid w:val="00C75A1B"/>
    <w:rsid w:val="00C75D3A"/>
    <w:rsid w:val="00C76089"/>
    <w:rsid w:val="00C76568"/>
    <w:rsid w:val="00C767B2"/>
    <w:rsid w:val="00C76AE6"/>
    <w:rsid w:val="00C76BFE"/>
    <w:rsid w:val="00C7713B"/>
    <w:rsid w:val="00C77141"/>
    <w:rsid w:val="00C7749A"/>
    <w:rsid w:val="00C7799C"/>
    <w:rsid w:val="00C77D4A"/>
    <w:rsid w:val="00C800B2"/>
    <w:rsid w:val="00C802B3"/>
    <w:rsid w:val="00C80767"/>
    <w:rsid w:val="00C80A80"/>
    <w:rsid w:val="00C80CA8"/>
    <w:rsid w:val="00C8106A"/>
    <w:rsid w:val="00C81201"/>
    <w:rsid w:val="00C814FE"/>
    <w:rsid w:val="00C81723"/>
    <w:rsid w:val="00C817EB"/>
    <w:rsid w:val="00C8191B"/>
    <w:rsid w:val="00C81F53"/>
    <w:rsid w:val="00C81FC5"/>
    <w:rsid w:val="00C82288"/>
    <w:rsid w:val="00C8232A"/>
    <w:rsid w:val="00C82345"/>
    <w:rsid w:val="00C827E2"/>
    <w:rsid w:val="00C82838"/>
    <w:rsid w:val="00C828B1"/>
    <w:rsid w:val="00C82DE5"/>
    <w:rsid w:val="00C83231"/>
    <w:rsid w:val="00C8353B"/>
    <w:rsid w:val="00C83937"/>
    <w:rsid w:val="00C8400C"/>
    <w:rsid w:val="00C847BD"/>
    <w:rsid w:val="00C8486E"/>
    <w:rsid w:val="00C84AB3"/>
    <w:rsid w:val="00C85154"/>
    <w:rsid w:val="00C851A8"/>
    <w:rsid w:val="00C85263"/>
    <w:rsid w:val="00C85312"/>
    <w:rsid w:val="00C8567C"/>
    <w:rsid w:val="00C85C6C"/>
    <w:rsid w:val="00C85FD9"/>
    <w:rsid w:val="00C86A4B"/>
    <w:rsid w:val="00C86B2F"/>
    <w:rsid w:val="00C86C70"/>
    <w:rsid w:val="00C86D6A"/>
    <w:rsid w:val="00C874B8"/>
    <w:rsid w:val="00C87615"/>
    <w:rsid w:val="00C87672"/>
    <w:rsid w:val="00C87AA7"/>
    <w:rsid w:val="00C87BA5"/>
    <w:rsid w:val="00C87CFE"/>
    <w:rsid w:val="00C87D8D"/>
    <w:rsid w:val="00C87EC7"/>
    <w:rsid w:val="00C87EF7"/>
    <w:rsid w:val="00C90241"/>
    <w:rsid w:val="00C904A6"/>
    <w:rsid w:val="00C90667"/>
    <w:rsid w:val="00C90B6E"/>
    <w:rsid w:val="00C90E05"/>
    <w:rsid w:val="00C90F91"/>
    <w:rsid w:val="00C90FE0"/>
    <w:rsid w:val="00C91CC0"/>
    <w:rsid w:val="00C921E6"/>
    <w:rsid w:val="00C9240C"/>
    <w:rsid w:val="00C92429"/>
    <w:rsid w:val="00C92637"/>
    <w:rsid w:val="00C9267D"/>
    <w:rsid w:val="00C92911"/>
    <w:rsid w:val="00C92B35"/>
    <w:rsid w:val="00C92FC2"/>
    <w:rsid w:val="00C93019"/>
    <w:rsid w:val="00C930F3"/>
    <w:rsid w:val="00C93A07"/>
    <w:rsid w:val="00C93D1B"/>
    <w:rsid w:val="00C93D2F"/>
    <w:rsid w:val="00C93D85"/>
    <w:rsid w:val="00C93D86"/>
    <w:rsid w:val="00C940BD"/>
    <w:rsid w:val="00C94894"/>
    <w:rsid w:val="00C94964"/>
    <w:rsid w:val="00C949F4"/>
    <w:rsid w:val="00C94C1A"/>
    <w:rsid w:val="00C94DD2"/>
    <w:rsid w:val="00C94E2F"/>
    <w:rsid w:val="00C94E47"/>
    <w:rsid w:val="00C950D7"/>
    <w:rsid w:val="00C951EB"/>
    <w:rsid w:val="00C95553"/>
    <w:rsid w:val="00C956B7"/>
    <w:rsid w:val="00C95712"/>
    <w:rsid w:val="00C9574D"/>
    <w:rsid w:val="00C95FB1"/>
    <w:rsid w:val="00C969C2"/>
    <w:rsid w:val="00C97819"/>
    <w:rsid w:val="00C97857"/>
    <w:rsid w:val="00C97A07"/>
    <w:rsid w:val="00C97FC9"/>
    <w:rsid w:val="00CA00AF"/>
    <w:rsid w:val="00CA0553"/>
    <w:rsid w:val="00CA0B43"/>
    <w:rsid w:val="00CA1383"/>
    <w:rsid w:val="00CA1916"/>
    <w:rsid w:val="00CA2182"/>
    <w:rsid w:val="00CA21CE"/>
    <w:rsid w:val="00CA228E"/>
    <w:rsid w:val="00CA2515"/>
    <w:rsid w:val="00CA2528"/>
    <w:rsid w:val="00CA2534"/>
    <w:rsid w:val="00CA3328"/>
    <w:rsid w:val="00CA3385"/>
    <w:rsid w:val="00CA3405"/>
    <w:rsid w:val="00CA3456"/>
    <w:rsid w:val="00CA3B85"/>
    <w:rsid w:val="00CA41BA"/>
    <w:rsid w:val="00CA44AE"/>
    <w:rsid w:val="00CA4678"/>
    <w:rsid w:val="00CA468F"/>
    <w:rsid w:val="00CA550B"/>
    <w:rsid w:val="00CA57A0"/>
    <w:rsid w:val="00CA5B2B"/>
    <w:rsid w:val="00CA5B7C"/>
    <w:rsid w:val="00CA5D49"/>
    <w:rsid w:val="00CA671C"/>
    <w:rsid w:val="00CA6776"/>
    <w:rsid w:val="00CA6796"/>
    <w:rsid w:val="00CA6CB9"/>
    <w:rsid w:val="00CA6DB8"/>
    <w:rsid w:val="00CA6F66"/>
    <w:rsid w:val="00CA714B"/>
    <w:rsid w:val="00CA7541"/>
    <w:rsid w:val="00CA7817"/>
    <w:rsid w:val="00CA793A"/>
    <w:rsid w:val="00CA7B9E"/>
    <w:rsid w:val="00CB0295"/>
    <w:rsid w:val="00CB033A"/>
    <w:rsid w:val="00CB03C1"/>
    <w:rsid w:val="00CB08EE"/>
    <w:rsid w:val="00CB0C49"/>
    <w:rsid w:val="00CB10CC"/>
    <w:rsid w:val="00CB1913"/>
    <w:rsid w:val="00CB1D0A"/>
    <w:rsid w:val="00CB1DE2"/>
    <w:rsid w:val="00CB1F57"/>
    <w:rsid w:val="00CB2089"/>
    <w:rsid w:val="00CB2562"/>
    <w:rsid w:val="00CB25F3"/>
    <w:rsid w:val="00CB3123"/>
    <w:rsid w:val="00CB3761"/>
    <w:rsid w:val="00CB3B41"/>
    <w:rsid w:val="00CB3D14"/>
    <w:rsid w:val="00CB4043"/>
    <w:rsid w:val="00CB4B02"/>
    <w:rsid w:val="00CB5B97"/>
    <w:rsid w:val="00CB5D26"/>
    <w:rsid w:val="00CB60AE"/>
    <w:rsid w:val="00CB60DC"/>
    <w:rsid w:val="00CB6406"/>
    <w:rsid w:val="00CB6E60"/>
    <w:rsid w:val="00CB6FDE"/>
    <w:rsid w:val="00CB7020"/>
    <w:rsid w:val="00CB72BF"/>
    <w:rsid w:val="00CB72F6"/>
    <w:rsid w:val="00CB761A"/>
    <w:rsid w:val="00CB7726"/>
    <w:rsid w:val="00CB7787"/>
    <w:rsid w:val="00CB7792"/>
    <w:rsid w:val="00CB7982"/>
    <w:rsid w:val="00CB7A1B"/>
    <w:rsid w:val="00CB7B82"/>
    <w:rsid w:val="00CB7E23"/>
    <w:rsid w:val="00CC012B"/>
    <w:rsid w:val="00CC016A"/>
    <w:rsid w:val="00CC061E"/>
    <w:rsid w:val="00CC07D2"/>
    <w:rsid w:val="00CC0D46"/>
    <w:rsid w:val="00CC17F8"/>
    <w:rsid w:val="00CC18E5"/>
    <w:rsid w:val="00CC1B71"/>
    <w:rsid w:val="00CC1D01"/>
    <w:rsid w:val="00CC212F"/>
    <w:rsid w:val="00CC21E0"/>
    <w:rsid w:val="00CC21E7"/>
    <w:rsid w:val="00CC23B7"/>
    <w:rsid w:val="00CC2464"/>
    <w:rsid w:val="00CC2CCB"/>
    <w:rsid w:val="00CC2FBD"/>
    <w:rsid w:val="00CC376D"/>
    <w:rsid w:val="00CC3A2D"/>
    <w:rsid w:val="00CC41E2"/>
    <w:rsid w:val="00CC4490"/>
    <w:rsid w:val="00CC4673"/>
    <w:rsid w:val="00CC4AD9"/>
    <w:rsid w:val="00CC50CB"/>
    <w:rsid w:val="00CC519E"/>
    <w:rsid w:val="00CC51F4"/>
    <w:rsid w:val="00CC53ED"/>
    <w:rsid w:val="00CC5AC7"/>
    <w:rsid w:val="00CC5E97"/>
    <w:rsid w:val="00CC6609"/>
    <w:rsid w:val="00CC672E"/>
    <w:rsid w:val="00CC6B1D"/>
    <w:rsid w:val="00CC6FCA"/>
    <w:rsid w:val="00CC7090"/>
    <w:rsid w:val="00CC70C1"/>
    <w:rsid w:val="00CC77C5"/>
    <w:rsid w:val="00CC782D"/>
    <w:rsid w:val="00CC794C"/>
    <w:rsid w:val="00CD0186"/>
    <w:rsid w:val="00CD021A"/>
    <w:rsid w:val="00CD0949"/>
    <w:rsid w:val="00CD0D55"/>
    <w:rsid w:val="00CD0DB9"/>
    <w:rsid w:val="00CD1130"/>
    <w:rsid w:val="00CD1524"/>
    <w:rsid w:val="00CD154D"/>
    <w:rsid w:val="00CD1E4B"/>
    <w:rsid w:val="00CD1EE6"/>
    <w:rsid w:val="00CD1F2D"/>
    <w:rsid w:val="00CD2A25"/>
    <w:rsid w:val="00CD3044"/>
    <w:rsid w:val="00CD3045"/>
    <w:rsid w:val="00CD31EF"/>
    <w:rsid w:val="00CD3296"/>
    <w:rsid w:val="00CD35BF"/>
    <w:rsid w:val="00CD373B"/>
    <w:rsid w:val="00CD392F"/>
    <w:rsid w:val="00CD451D"/>
    <w:rsid w:val="00CD4EAA"/>
    <w:rsid w:val="00CD4EC2"/>
    <w:rsid w:val="00CD4EC8"/>
    <w:rsid w:val="00CD5E26"/>
    <w:rsid w:val="00CD6135"/>
    <w:rsid w:val="00CD6279"/>
    <w:rsid w:val="00CD627B"/>
    <w:rsid w:val="00CD6447"/>
    <w:rsid w:val="00CD6A14"/>
    <w:rsid w:val="00CD6F13"/>
    <w:rsid w:val="00CD718A"/>
    <w:rsid w:val="00CD741E"/>
    <w:rsid w:val="00CD7500"/>
    <w:rsid w:val="00CD7A8B"/>
    <w:rsid w:val="00CE0201"/>
    <w:rsid w:val="00CE0232"/>
    <w:rsid w:val="00CE0363"/>
    <w:rsid w:val="00CE097D"/>
    <w:rsid w:val="00CE0B0C"/>
    <w:rsid w:val="00CE1B19"/>
    <w:rsid w:val="00CE1CA2"/>
    <w:rsid w:val="00CE1D38"/>
    <w:rsid w:val="00CE250E"/>
    <w:rsid w:val="00CE28F4"/>
    <w:rsid w:val="00CE293A"/>
    <w:rsid w:val="00CE297E"/>
    <w:rsid w:val="00CE2E9A"/>
    <w:rsid w:val="00CE3188"/>
    <w:rsid w:val="00CE3412"/>
    <w:rsid w:val="00CE35A3"/>
    <w:rsid w:val="00CE3740"/>
    <w:rsid w:val="00CE3BDD"/>
    <w:rsid w:val="00CE3F88"/>
    <w:rsid w:val="00CE4123"/>
    <w:rsid w:val="00CE43C4"/>
    <w:rsid w:val="00CE4403"/>
    <w:rsid w:val="00CE4445"/>
    <w:rsid w:val="00CE4677"/>
    <w:rsid w:val="00CE518C"/>
    <w:rsid w:val="00CE5199"/>
    <w:rsid w:val="00CE5239"/>
    <w:rsid w:val="00CE523E"/>
    <w:rsid w:val="00CE5568"/>
    <w:rsid w:val="00CE55A0"/>
    <w:rsid w:val="00CE5689"/>
    <w:rsid w:val="00CE583B"/>
    <w:rsid w:val="00CE5CAD"/>
    <w:rsid w:val="00CE5F0E"/>
    <w:rsid w:val="00CE69A5"/>
    <w:rsid w:val="00CE6D30"/>
    <w:rsid w:val="00CE6F42"/>
    <w:rsid w:val="00CE6FB4"/>
    <w:rsid w:val="00CE7235"/>
    <w:rsid w:val="00CE72D4"/>
    <w:rsid w:val="00CE7AA0"/>
    <w:rsid w:val="00CE7F02"/>
    <w:rsid w:val="00CE7F6C"/>
    <w:rsid w:val="00CF085F"/>
    <w:rsid w:val="00CF0FF9"/>
    <w:rsid w:val="00CF1126"/>
    <w:rsid w:val="00CF1618"/>
    <w:rsid w:val="00CF183B"/>
    <w:rsid w:val="00CF19C9"/>
    <w:rsid w:val="00CF1CA7"/>
    <w:rsid w:val="00CF2865"/>
    <w:rsid w:val="00CF29E7"/>
    <w:rsid w:val="00CF2A70"/>
    <w:rsid w:val="00CF2EF8"/>
    <w:rsid w:val="00CF2FDF"/>
    <w:rsid w:val="00CF2FF0"/>
    <w:rsid w:val="00CF3014"/>
    <w:rsid w:val="00CF31A6"/>
    <w:rsid w:val="00CF33F6"/>
    <w:rsid w:val="00CF3440"/>
    <w:rsid w:val="00CF392E"/>
    <w:rsid w:val="00CF3AFA"/>
    <w:rsid w:val="00CF400F"/>
    <w:rsid w:val="00CF41F7"/>
    <w:rsid w:val="00CF46E1"/>
    <w:rsid w:val="00CF4CDC"/>
    <w:rsid w:val="00CF5296"/>
    <w:rsid w:val="00CF585B"/>
    <w:rsid w:val="00CF587B"/>
    <w:rsid w:val="00CF5A2A"/>
    <w:rsid w:val="00CF5FA6"/>
    <w:rsid w:val="00CF6255"/>
    <w:rsid w:val="00CF636D"/>
    <w:rsid w:val="00CF63F4"/>
    <w:rsid w:val="00CF6437"/>
    <w:rsid w:val="00CF6D55"/>
    <w:rsid w:val="00CF7018"/>
    <w:rsid w:val="00CF7137"/>
    <w:rsid w:val="00CF7710"/>
    <w:rsid w:val="00CF7BE8"/>
    <w:rsid w:val="00CF7DA1"/>
    <w:rsid w:val="00D0038F"/>
    <w:rsid w:val="00D00758"/>
    <w:rsid w:val="00D007DD"/>
    <w:rsid w:val="00D0090E"/>
    <w:rsid w:val="00D009AC"/>
    <w:rsid w:val="00D01004"/>
    <w:rsid w:val="00D01218"/>
    <w:rsid w:val="00D019EE"/>
    <w:rsid w:val="00D020DE"/>
    <w:rsid w:val="00D0218F"/>
    <w:rsid w:val="00D0251E"/>
    <w:rsid w:val="00D02712"/>
    <w:rsid w:val="00D02A4B"/>
    <w:rsid w:val="00D02D6A"/>
    <w:rsid w:val="00D03073"/>
    <w:rsid w:val="00D03213"/>
    <w:rsid w:val="00D0341F"/>
    <w:rsid w:val="00D037EF"/>
    <w:rsid w:val="00D039F9"/>
    <w:rsid w:val="00D03A06"/>
    <w:rsid w:val="00D03A8B"/>
    <w:rsid w:val="00D03A92"/>
    <w:rsid w:val="00D03C37"/>
    <w:rsid w:val="00D03F53"/>
    <w:rsid w:val="00D0413E"/>
    <w:rsid w:val="00D04202"/>
    <w:rsid w:val="00D047C3"/>
    <w:rsid w:val="00D04E75"/>
    <w:rsid w:val="00D05092"/>
    <w:rsid w:val="00D0539F"/>
    <w:rsid w:val="00D0554D"/>
    <w:rsid w:val="00D055D4"/>
    <w:rsid w:val="00D05CFC"/>
    <w:rsid w:val="00D06386"/>
    <w:rsid w:val="00D0697A"/>
    <w:rsid w:val="00D06E00"/>
    <w:rsid w:val="00D07CC0"/>
    <w:rsid w:val="00D07D43"/>
    <w:rsid w:val="00D07D74"/>
    <w:rsid w:val="00D100F1"/>
    <w:rsid w:val="00D102BE"/>
    <w:rsid w:val="00D10382"/>
    <w:rsid w:val="00D104D1"/>
    <w:rsid w:val="00D10DBD"/>
    <w:rsid w:val="00D11536"/>
    <w:rsid w:val="00D11AA6"/>
    <w:rsid w:val="00D12450"/>
    <w:rsid w:val="00D1277F"/>
    <w:rsid w:val="00D1298D"/>
    <w:rsid w:val="00D12C8D"/>
    <w:rsid w:val="00D12D3B"/>
    <w:rsid w:val="00D12D66"/>
    <w:rsid w:val="00D12E8A"/>
    <w:rsid w:val="00D13001"/>
    <w:rsid w:val="00D1365B"/>
    <w:rsid w:val="00D13B70"/>
    <w:rsid w:val="00D13DBC"/>
    <w:rsid w:val="00D142ED"/>
    <w:rsid w:val="00D143E7"/>
    <w:rsid w:val="00D14922"/>
    <w:rsid w:val="00D1493F"/>
    <w:rsid w:val="00D14B28"/>
    <w:rsid w:val="00D15CA6"/>
    <w:rsid w:val="00D15EDB"/>
    <w:rsid w:val="00D15EEC"/>
    <w:rsid w:val="00D16309"/>
    <w:rsid w:val="00D16717"/>
    <w:rsid w:val="00D16894"/>
    <w:rsid w:val="00D168BD"/>
    <w:rsid w:val="00D16CAA"/>
    <w:rsid w:val="00D16CE7"/>
    <w:rsid w:val="00D1773E"/>
    <w:rsid w:val="00D17746"/>
    <w:rsid w:val="00D1787E"/>
    <w:rsid w:val="00D17A77"/>
    <w:rsid w:val="00D17BF4"/>
    <w:rsid w:val="00D20107"/>
    <w:rsid w:val="00D20301"/>
    <w:rsid w:val="00D20A1C"/>
    <w:rsid w:val="00D20CD1"/>
    <w:rsid w:val="00D20D42"/>
    <w:rsid w:val="00D21123"/>
    <w:rsid w:val="00D213A8"/>
    <w:rsid w:val="00D2156E"/>
    <w:rsid w:val="00D21966"/>
    <w:rsid w:val="00D21A34"/>
    <w:rsid w:val="00D21A81"/>
    <w:rsid w:val="00D21AC6"/>
    <w:rsid w:val="00D21AE9"/>
    <w:rsid w:val="00D21AEF"/>
    <w:rsid w:val="00D220CB"/>
    <w:rsid w:val="00D2229D"/>
    <w:rsid w:val="00D223C3"/>
    <w:rsid w:val="00D224A2"/>
    <w:rsid w:val="00D22BF1"/>
    <w:rsid w:val="00D22D28"/>
    <w:rsid w:val="00D22DF1"/>
    <w:rsid w:val="00D22E3C"/>
    <w:rsid w:val="00D2314D"/>
    <w:rsid w:val="00D232C2"/>
    <w:rsid w:val="00D232C5"/>
    <w:rsid w:val="00D23A18"/>
    <w:rsid w:val="00D2415F"/>
    <w:rsid w:val="00D24170"/>
    <w:rsid w:val="00D24366"/>
    <w:rsid w:val="00D246C7"/>
    <w:rsid w:val="00D2486B"/>
    <w:rsid w:val="00D24967"/>
    <w:rsid w:val="00D24A4F"/>
    <w:rsid w:val="00D24A71"/>
    <w:rsid w:val="00D24A9C"/>
    <w:rsid w:val="00D24B64"/>
    <w:rsid w:val="00D24BDA"/>
    <w:rsid w:val="00D25321"/>
    <w:rsid w:val="00D25800"/>
    <w:rsid w:val="00D25833"/>
    <w:rsid w:val="00D25A83"/>
    <w:rsid w:val="00D25AD9"/>
    <w:rsid w:val="00D25B42"/>
    <w:rsid w:val="00D25B4F"/>
    <w:rsid w:val="00D26090"/>
    <w:rsid w:val="00D26114"/>
    <w:rsid w:val="00D262F6"/>
    <w:rsid w:val="00D2630F"/>
    <w:rsid w:val="00D263C3"/>
    <w:rsid w:val="00D26408"/>
    <w:rsid w:val="00D264D4"/>
    <w:rsid w:val="00D2687F"/>
    <w:rsid w:val="00D27038"/>
    <w:rsid w:val="00D2726C"/>
    <w:rsid w:val="00D27519"/>
    <w:rsid w:val="00D27B2C"/>
    <w:rsid w:val="00D27C2B"/>
    <w:rsid w:val="00D27F50"/>
    <w:rsid w:val="00D3000A"/>
    <w:rsid w:val="00D3013E"/>
    <w:rsid w:val="00D3082F"/>
    <w:rsid w:val="00D30A8F"/>
    <w:rsid w:val="00D30BE6"/>
    <w:rsid w:val="00D30C2D"/>
    <w:rsid w:val="00D30C69"/>
    <w:rsid w:val="00D31386"/>
    <w:rsid w:val="00D31472"/>
    <w:rsid w:val="00D316E1"/>
    <w:rsid w:val="00D31908"/>
    <w:rsid w:val="00D31A40"/>
    <w:rsid w:val="00D31B12"/>
    <w:rsid w:val="00D31EB8"/>
    <w:rsid w:val="00D31F9F"/>
    <w:rsid w:val="00D3214B"/>
    <w:rsid w:val="00D323E3"/>
    <w:rsid w:val="00D32908"/>
    <w:rsid w:val="00D3328D"/>
    <w:rsid w:val="00D3371C"/>
    <w:rsid w:val="00D339AF"/>
    <w:rsid w:val="00D33EAA"/>
    <w:rsid w:val="00D33F83"/>
    <w:rsid w:val="00D3437E"/>
    <w:rsid w:val="00D3438A"/>
    <w:rsid w:val="00D34469"/>
    <w:rsid w:val="00D347AE"/>
    <w:rsid w:val="00D34892"/>
    <w:rsid w:val="00D34CFF"/>
    <w:rsid w:val="00D356C4"/>
    <w:rsid w:val="00D35BCA"/>
    <w:rsid w:val="00D35C47"/>
    <w:rsid w:val="00D35D1E"/>
    <w:rsid w:val="00D36263"/>
    <w:rsid w:val="00D3664C"/>
    <w:rsid w:val="00D36B25"/>
    <w:rsid w:val="00D36D26"/>
    <w:rsid w:val="00D36FF6"/>
    <w:rsid w:val="00D370F9"/>
    <w:rsid w:val="00D37461"/>
    <w:rsid w:val="00D37BAC"/>
    <w:rsid w:val="00D37C14"/>
    <w:rsid w:val="00D401D6"/>
    <w:rsid w:val="00D409C7"/>
    <w:rsid w:val="00D40B80"/>
    <w:rsid w:val="00D40E1E"/>
    <w:rsid w:val="00D40FA5"/>
    <w:rsid w:val="00D41099"/>
    <w:rsid w:val="00D424C2"/>
    <w:rsid w:val="00D42866"/>
    <w:rsid w:val="00D429C1"/>
    <w:rsid w:val="00D4303F"/>
    <w:rsid w:val="00D43280"/>
    <w:rsid w:val="00D4357C"/>
    <w:rsid w:val="00D4359A"/>
    <w:rsid w:val="00D435CB"/>
    <w:rsid w:val="00D43CD0"/>
    <w:rsid w:val="00D44059"/>
    <w:rsid w:val="00D440F9"/>
    <w:rsid w:val="00D445CB"/>
    <w:rsid w:val="00D445FD"/>
    <w:rsid w:val="00D44985"/>
    <w:rsid w:val="00D44F52"/>
    <w:rsid w:val="00D44F59"/>
    <w:rsid w:val="00D455CD"/>
    <w:rsid w:val="00D45640"/>
    <w:rsid w:val="00D457D2"/>
    <w:rsid w:val="00D45918"/>
    <w:rsid w:val="00D45D09"/>
    <w:rsid w:val="00D460D8"/>
    <w:rsid w:val="00D460E1"/>
    <w:rsid w:val="00D4636D"/>
    <w:rsid w:val="00D46489"/>
    <w:rsid w:val="00D467C1"/>
    <w:rsid w:val="00D46A95"/>
    <w:rsid w:val="00D46B68"/>
    <w:rsid w:val="00D46E0B"/>
    <w:rsid w:val="00D47081"/>
    <w:rsid w:val="00D4729B"/>
    <w:rsid w:val="00D472C6"/>
    <w:rsid w:val="00D4776B"/>
    <w:rsid w:val="00D47884"/>
    <w:rsid w:val="00D500A5"/>
    <w:rsid w:val="00D50468"/>
    <w:rsid w:val="00D5056F"/>
    <w:rsid w:val="00D509DD"/>
    <w:rsid w:val="00D513AC"/>
    <w:rsid w:val="00D51B29"/>
    <w:rsid w:val="00D51ECB"/>
    <w:rsid w:val="00D523CE"/>
    <w:rsid w:val="00D52B25"/>
    <w:rsid w:val="00D52F38"/>
    <w:rsid w:val="00D531C1"/>
    <w:rsid w:val="00D53636"/>
    <w:rsid w:val="00D537EF"/>
    <w:rsid w:val="00D53938"/>
    <w:rsid w:val="00D53A17"/>
    <w:rsid w:val="00D53E95"/>
    <w:rsid w:val="00D544C1"/>
    <w:rsid w:val="00D5457D"/>
    <w:rsid w:val="00D545ED"/>
    <w:rsid w:val="00D547FB"/>
    <w:rsid w:val="00D54AD3"/>
    <w:rsid w:val="00D54FCA"/>
    <w:rsid w:val="00D550B4"/>
    <w:rsid w:val="00D5562F"/>
    <w:rsid w:val="00D55746"/>
    <w:rsid w:val="00D55B86"/>
    <w:rsid w:val="00D55CBB"/>
    <w:rsid w:val="00D564E5"/>
    <w:rsid w:val="00D566AB"/>
    <w:rsid w:val="00D56994"/>
    <w:rsid w:val="00D56A6B"/>
    <w:rsid w:val="00D56AB3"/>
    <w:rsid w:val="00D5784F"/>
    <w:rsid w:val="00D57BDC"/>
    <w:rsid w:val="00D57D4E"/>
    <w:rsid w:val="00D60347"/>
    <w:rsid w:val="00D60642"/>
    <w:rsid w:val="00D607B3"/>
    <w:rsid w:val="00D609C2"/>
    <w:rsid w:val="00D60BB2"/>
    <w:rsid w:val="00D60F1B"/>
    <w:rsid w:val="00D60F5D"/>
    <w:rsid w:val="00D61132"/>
    <w:rsid w:val="00D61148"/>
    <w:rsid w:val="00D61317"/>
    <w:rsid w:val="00D6147D"/>
    <w:rsid w:val="00D614BB"/>
    <w:rsid w:val="00D61AB8"/>
    <w:rsid w:val="00D62015"/>
    <w:rsid w:val="00D62183"/>
    <w:rsid w:val="00D6248C"/>
    <w:rsid w:val="00D624A1"/>
    <w:rsid w:val="00D62A60"/>
    <w:rsid w:val="00D62D49"/>
    <w:rsid w:val="00D62DF9"/>
    <w:rsid w:val="00D62F40"/>
    <w:rsid w:val="00D631A5"/>
    <w:rsid w:val="00D6343F"/>
    <w:rsid w:val="00D63829"/>
    <w:rsid w:val="00D638C4"/>
    <w:rsid w:val="00D63D6E"/>
    <w:rsid w:val="00D63E20"/>
    <w:rsid w:val="00D64734"/>
    <w:rsid w:val="00D64791"/>
    <w:rsid w:val="00D64A7B"/>
    <w:rsid w:val="00D64D71"/>
    <w:rsid w:val="00D651AC"/>
    <w:rsid w:val="00D651CE"/>
    <w:rsid w:val="00D655BA"/>
    <w:rsid w:val="00D65784"/>
    <w:rsid w:val="00D65F20"/>
    <w:rsid w:val="00D66A59"/>
    <w:rsid w:val="00D66B05"/>
    <w:rsid w:val="00D66D5B"/>
    <w:rsid w:val="00D67CE9"/>
    <w:rsid w:val="00D7005C"/>
    <w:rsid w:val="00D700AC"/>
    <w:rsid w:val="00D701D5"/>
    <w:rsid w:val="00D70520"/>
    <w:rsid w:val="00D7070E"/>
    <w:rsid w:val="00D708FD"/>
    <w:rsid w:val="00D70B44"/>
    <w:rsid w:val="00D71BE5"/>
    <w:rsid w:val="00D7250A"/>
    <w:rsid w:val="00D7254C"/>
    <w:rsid w:val="00D7288C"/>
    <w:rsid w:val="00D72CD9"/>
    <w:rsid w:val="00D72E1A"/>
    <w:rsid w:val="00D72F05"/>
    <w:rsid w:val="00D73520"/>
    <w:rsid w:val="00D73756"/>
    <w:rsid w:val="00D73D7F"/>
    <w:rsid w:val="00D73F5F"/>
    <w:rsid w:val="00D74AB1"/>
    <w:rsid w:val="00D74DF4"/>
    <w:rsid w:val="00D759D1"/>
    <w:rsid w:val="00D75A1F"/>
    <w:rsid w:val="00D764D0"/>
    <w:rsid w:val="00D765A4"/>
    <w:rsid w:val="00D76A54"/>
    <w:rsid w:val="00D76BE7"/>
    <w:rsid w:val="00D76DDD"/>
    <w:rsid w:val="00D76DFB"/>
    <w:rsid w:val="00D76EDD"/>
    <w:rsid w:val="00D7741A"/>
    <w:rsid w:val="00D77C0C"/>
    <w:rsid w:val="00D801C7"/>
    <w:rsid w:val="00D80376"/>
    <w:rsid w:val="00D805FF"/>
    <w:rsid w:val="00D80E7F"/>
    <w:rsid w:val="00D8145E"/>
    <w:rsid w:val="00D814EB"/>
    <w:rsid w:val="00D817B6"/>
    <w:rsid w:val="00D81942"/>
    <w:rsid w:val="00D81973"/>
    <w:rsid w:val="00D81B99"/>
    <w:rsid w:val="00D81D06"/>
    <w:rsid w:val="00D8202D"/>
    <w:rsid w:val="00D82283"/>
    <w:rsid w:val="00D82A46"/>
    <w:rsid w:val="00D82D62"/>
    <w:rsid w:val="00D83182"/>
    <w:rsid w:val="00D8369C"/>
    <w:rsid w:val="00D83D00"/>
    <w:rsid w:val="00D83FE4"/>
    <w:rsid w:val="00D842CA"/>
    <w:rsid w:val="00D84355"/>
    <w:rsid w:val="00D845B9"/>
    <w:rsid w:val="00D846C0"/>
    <w:rsid w:val="00D84739"/>
    <w:rsid w:val="00D8482A"/>
    <w:rsid w:val="00D84D09"/>
    <w:rsid w:val="00D84E76"/>
    <w:rsid w:val="00D84ED8"/>
    <w:rsid w:val="00D857B0"/>
    <w:rsid w:val="00D85800"/>
    <w:rsid w:val="00D859D2"/>
    <w:rsid w:val="00D85B31"/>
    <w:rsid w:val="00D85E61"/>
    <w:rsid w:val="00D8670F"/>
    <w:rsid w:val="00D86D72"/>
    <w:rsid w:val="00D8731B"/>
    <w:rsid w:val="00D8743F"/>
    <w:rsid w:val="00D874EE"/>
    <w:rsid w:val="00D8751C"/>
    <w:rsid w:val="00D879B7"/>
    <w:rsid w:val="00D87F1E"/>
    <w:rsid w:val="00D87FAE"/>
    <w:rsid w:val="00D87FF4"/>
    <w:rsid w:val="00D903B9"/>
    <w:rsid w:val="00D90542"/>
    <w:rsid w:val="00D90A5C"/>
    <w:rsid w:val="00D9165B"/>
    <w:rsid w:val="00D91B9E"/>
    <w:rsid w:val="00D91CE3"/>
    <w:rsid w:val="00D91F8A"/>
    <w:rsid w:val="00D923C6"/>
    <w:rsid w:val="00D93741"/>
    <w:rsid w:val="00D93A03"/>
    <w:rsid w:val="00D93A38"/>
    <w:rsid w:val="00D93DEE"/>
    <w:rsid w:val="00D94053"/>
    <w:rsid w:val="00D9430B"/>
    <w:rsid w:val="00D94331"/>
    <w:rsid w:val="00D943BC"/>
    <w:rsid w:val="00D94975"/>
    <w:rsid w:val="00D94A8E"/>
    <w:rsid w:val="00D94EE1"/>
    <w:rsid w:val="00D957B5"/>
    <w:rsid w:val="00D959ED"/>
    <w:rsid w:val="00D95ADF"/>
    <w:rsid w:val="00D95C39"/>
    <w:rsid w:val="00D960BF"/>
    <w:rsid w:val="00D96202"/>
    <w:rsid w:val="00D969C8"/>
    <w:rsid w:val="00D969E4"/>
    <w:rsid w:val="00D96C13"/>
    <w:rsid w:val="00D96FDA"/>
    <w:rsid w:val="00D97786"/>
    <w:rsid w:val="00D97891"/>
    <w:rsid w:val="00D97E05"/>
    <w:rsid w:val="00DA05AE"/>
    <w:rsid w:val="00DA0615"/>
    <w:rsid w:val="00DA06A8"/>
    <w:rsid w:val="00DA09CA"/>
    <w:rsid w:val="00DA09E4"/>
    <w:rsid w:val="00DA09FB"/>
    <w:rsid w:val="00DA0DD9"/>
    <w:rsid w:val="00DA1AE4"/>
    <w:rsid w:val="00DA20C1"/>
    <w:rsid w:val="00DA231E"/>
    <w:rsid w:val="00DA2548"/>
    <w:rsid w:val="00DA2974"/>
    <w:rsid w:val="00DA2C36"/>
    <w:rsid w:val="00DA2CFC"/>
    <w:rsid w:val="00DA2FF9"/>
    <w:rsid w:val="00DA32D4"/>
    <w:rsid w:val="00DA34FB"/>
    <w:rsid w:val="00DA3974"/>
    <w:rsid w:val="00DA4516"/>
    <w:rsid w:val="00DA4651"/>
    <w:rsid w:val="00DA4D06"/>
    <w:rsid w:val="00DA4FAC"/>
    <w:rsid w:val="00DA530F"/>
    <w:rsid w:val="00DA5422"/>
    <w:rsid w:val="00DA564E"/>
    <w:rsid w:val="00DA5957"/>
    <w:rsid w:val="00DA59BD"/>
    <w:rsid w:val="00DA5AF4"/>
    <w:rsid w:val="00DA5F47"/>
    <w:rsid w:val="00DA605E"/>
    <w:rsid w:val="00DA6253"/>
    <w:rsid w:val="00DA6556"/>
    <w:rsid w:val="00DA6672"/>
    <w:rsid w:val="00DA6894"/>
    <w:rsid w:val="00DA69B1"/>
    <w:rsid w:val="00DA6BBF"/>
    <w:rsid w:val="00DA71F9"/>
    <w:rsid w:val="00DA7554"/>
    <w:rsid w:val="00DA77B6"/>
    <w:rsid w:val="00DA7A01"/>
    <w:rsid w:val="00DA7A31"/>
    <w:rsid w:val="00DA7CAD"/>
    <w:rsid w:val="00DA7E52"/>
    <w:rsid w:val="00DA7F4C"/>
    <w:rsid w:val="00DB0177"/>
    <w:rsid w:val="00DB0319"/>
    <w:rsid w:val="00DB041D"/>
    <w:rsid w:val="00DB0A66"/>
    <w:rsid w:val="00DB0B08"/>
    <w:rsid w:val="00DB0C3D"/>
    <w:rsid w:val="00DB0D7B"/>
    <w:rsid w:val="00DB0FF4"/>
    <w:rsid w:val="00DB11BC"/>
    <w:rsid w:val="00DB1350"/>
    <w:rsid w:val="00DB1780"/>
    <w:rsid w:val="00DB1BA3"/>
    <w:rsid w:val="00DB1BC5"/>
    <w:rsid w:val="00DB20C7"/>
    <w:rsid w:val="00DB2912"/>
    <w:rsid w:val="00DB2A12"/>
    <w:rsid w:val="00DB2FB4"/>
    <w:rsid w:val="00DB35AC"/>
    <w:rsid w:val="00DB378E"/>
    <w:rsid w:val="00DB3C33"/>
    <w:rsid w:val="00DB3EE9"/>
    <w:rsid w:val="00DB45CD"/>
    <w:rsid w:val="00DB4807"/>
    <w:rsid w:val="00DB4E55"/>
    <w:rsid w:val="00DB4FBA"/>
    <w:rsid w:val="00DB50B7"/>
    <w:rsid w:val="00DB50BC"/>
    <w:rsid w:val="00DB5455"/>
    <w:rsid w:val="00DB5AC0"/>
    <w:rsid w:val="00DB5AF3"/>
    <w:rsid w:val="00DB5DD4"/>
    <w:rsid w:val="00DB5F74"/>
    <w:rsid w:val="00DB6696"/>
    <w:rsid w:val="00DB6DF0"/>
    <w:rsid w:val="00DB70FD"/>
    <w:rsid w:val="00DB7560"/>
    <w:rsid w:val="00DB79B6"/>
    <w:rsid w:val="00DB7A1A"/>
    <w:rsid w:val="00DB7A63"/>
    <w:rsid w:val="00DB7AC8"/>
    <w:rsid w:val="00DB7EC5"/>
    <w:rsid w:val="00DC0124"/>
    <w:rsid w:val="00DC01AA"/>
    <w:rsid w:val="00DC0383"/>
    <w:rsid w:val="00DC07CC"/>
    <w:rsid w:val="00DC0A05"/>
    <w:rsid w:val="00DC0B86"/>
    <w:rsid w:val="00DC0DFF"/>
    <w:rsid w:val="00DC195A"/>
    <w:rsid w:val="00DC2007"/>
    <w:rsid w:val="00DC21CB"/>
    <w:rsid w:val="00DC2248"/>
    <w:rsid w:val="00DC25DA"/>
    <w:rsid w:val="00DC2AA9"/>
    <w:rsid w:val="00DC2B07"/>
    <w:rsid w:val="00DC3391"/>
    <w:rsid w:val="00DC405B"/>
    <w:rsid w:val="00DC45B6"/>
    <w:rsid w:val="00DC476A"/>
    <w:rsid w:val="00DC476B"/>
    <w:rsid w:val="00DC486A"/>
    <w:rsid w:val="00DC4A7C"/>
    <w:rsid w:val="00DC4B4A"/>
    <w:rsid w:val="00DC50C6"/>
    <w:rsid w:val="00DC515C"/>
    <w:rsid w:val="00DC523F"/>
    <w:rsid w:val="00DC5270"/>
    <w:rsid w:val="00DC54B0"/>
    <w:rsid w:val="00DC5510"/>
    <w:rsid w:val="00DC5B2E"/>
    <w:rsid w:val="00DC659C"/>
    <w:rsid w:val="00DC68F2"/>
    <w:rsid w:val="00DC6BA3"/>
    <w:rsid w:val="00DC7232"/>
    <w:rsid w:val="00DC73E1"/>
    <w:rsid w:val="00DC75A6"/>
    <w:rsid w:val="00DC778F"/>
    <w:rsid w:val="00DC79A6"/>
    <w:rsid w:val="00DD03B2"/>
    <w:rsid w:val="00DD0A15"/>
    <w:rsid w:val="00DD0C37"/>
    <w:rsid w:val="00DD0D62"/>
    <w:rsid w:val="00DD12AB"/>
    <w:rsid w:val="00DD143F"/>
    <w:rsid w:val="00DD147B"/>
    <w:rsid w:val="00DD18D1"/>
    <w:rsid w:val="00DD1B97"/>
    <w:rsid w:val="00DD1EB0"/>
    <w:rsid w:val="00DD213B"/>
    <w:rsid w:val="00DD217C"/>
    <w:rsid w:val="00DD26A6"/>
    <w:rsid w:val="00DD27DA"/>
    <w:rsid w:val="00DD29C8"/>
    <w:rsid w:val="00DD2F9A"/>
    <w:rsid w:val="00DD317E"/>
    <w:rsid w:val="00DD3191"/>
    <w:rsid w:val="00DD3BC3"/>
    <w:rsid w:val="00DD3F67"/>
    <w:rsid w:val="00DD4039"/>
    <w:rsid w:val="00DD41C5"/>
    <w:rsid w:val="00DD4257"/>
    <w:rsid w:val="00DD4BA6"/>
    <w:rsid w:val="00DD4C96"/>
    <w:rsid w:val="00DD5296"/>
    <w:rsid w:val="00DD541F"/>
    <w:rsid w:val="00DD54FE"/>
    <w:rsid w:val="00DD58ED"/>
    <w:rsid w:val="00DD5F01"/>
    <w:rsid w:val="00DD6718"/>
    <w:rsid w:val="00DD6AD7"/>
    <w:rsid w:val="00DD6EB8"/>
    <w:rsid w:val="00DD6F2E"/>
    <w:rsid w:val="00DD730D"/>
    <w:rsid w:val="00DD77E3"/>
    <w:rsid w:val="00DD7BBC"/>
    <w:rsid w:val="00DD7F79"/>
    <w:rsid w:val="00DE0103"/>
    <w:rsid w:val="00DE023A"/>
    <w:rsid w:val="00DE0DD3"/>
    <w:rsid w:val="00DE0F42"/>
    <w:rsid w:val="00DE1295"/>
    <w:rsid w:val="00DE1917"/>
    <w:rsid w:val="00DE1B38"/>
    <w:rsid w:val="00DE1B88"/>
    <w:rsid w:val="00DE1D45"/>
    <w:rsid w:val="00DE279B"/>
    <w:rsid w:val="00DE2B60"/>
    <w:rsid w:val="00DE30A2"/>
    <w:rsid w:val="00DE346B"/>
    <w:rsid w:val="00DE34CB"/>
    <w:rsid w:val="00DE37EB"/>
    <w:rsid w:val="00DE38A6"/>
    <w:rsid w:val="00DE3D0A"/>
    <w:rsid w:val="00DE44E3"/>
    <w:rsid w:val="00DE4953"/>
    <w:rsid w:val="00DE4D9B"/>
    <w:rsid w:val="00DE4F87"/>
    <w:rsid w:val="00DE539E"/>
    <w:rsid w:val="00DE57FD"/>
    <w:rsid w:val="00DE5BDB"/>
    <w:rsid w:val="00DE5DC9"/>
    <w:rsid w:val="00DE60B8"/>
    <w:rsid w:val="00DE628C"/>
    <w:rsid w:val="00DE630D"/>
    <w:rsid w:val="00DE6517"/>
    <w:rsid w:val="00DE660D"/>
    <w:rsid w:val="00DE6AE5"/>
    <w:rsid w:val="00DE6D93"/>
    <w:rsid w:val="00DE7288"/>
    <w:rsid w:val="00DE746A"/>
    <w:rsid w:val="00DE74DC"/>
    <w:rsid w:val="00DE7616"/>
    <w:rsid w:val="00DE799F"/>
    <w:rsid w:val="00DE7F27"/>
    <w:rsid w:val="00DF04A1"/>
    <w:rsid w:val="00DF060C"/>
    <w:rsid w:val="00DF068F"/>
    <w:rsid w:val="00DF0963"/>
    <w:rsid w:val="00DF0D59"/>
    <w:rsid w:val="00DF0FDE"/>
    <w:rsid w:val="00DF12DE"/>
    <w:rsid w:val="00DF1CBA"/>
    <w:rsid w:val="00DF1F34"/>
    <w:rsid w:val="00DF2098"/>
    <w:rsid w:val="00DF2910"/>
    <w:rsid w:val="00DF2A61"/>
    <w:rsid w:val="00DF3766"/>
    <w:rsid w:val="00DF3DD3"/>
    <w:rsid w:val="00DF419A"/>
    <w:rsid w:val="00DF42C5"/>
    <w:rsid w:val="00DF4859"/>
    <w:rsid w:val="00DF4A18"/>
    <w:rsid w:val="00DF4CCE"/>
    <w:rsid w:val="00DF4E68"/>
    <w:rsid w:val="00DF52F4"/>
    <w:rsid w:val="00DF562F"/>
    <w:rsid w:val="00DF5EF7"/>
    <w:rsid w:val="00DF6088"/>
    <w:rsid w:val="00DF64B1"/>
    <w:rsid w:val="00DF696B"/>
    <w:rsid w:val="00DF699A"/>
    <w:rsid w:val="00DF69DF"/>
    <w:rsid w:val="00DF6B7A"/>
    <w:rsid w:val="00DF6D8A"/>
    <w:rsid w:val="00DF6D96"/>
    <w:rsid w:val="00DF6F19"/>
    <w:rsid w:val="00DF749E"/>
    <w:rsid w:val="00DF784D"/>
    <w:rsid w:val="00E0000C"/>
    <w:rsid w:val="00E003E8"/>
    <w:rsid w:val="00E005D2"/>
    <w:rsid w:val="00E01140"/>
    <w:rsid w:val="00E0158C"/>
    <w:rsid w:val="00E01C3E"/>
    <w:rsid w:val="00E02776"/>
    <w:rsid w:val="00E02D02"/>
    <w:rsid w:val="00E02F9F"/>
    <w:rsid w:val="00E037C5"/>
    <w:rsid w:val="00E03B9D"/>
    <w:rsid w:val="00E03BC4"/>
    <w:rsid w:val="00E03BED"/>
    <w:rsid w:val="00E03DB5"/>
    <w:rsid w:val="00E041A8"/>
    <w:rsid w:val="00E047A5"/>
    <w:rsid w:val="00E04932"/>
    <w:rsid w:val="00E0494E"/>
    <w:rsid w:val="00E04BBE"/>
    <w:rsid w:val="00E04F88"/>
    <w:rsid w:val="00E051E5"/>
    <w:rsid w:val="00E05424"/>
    <w:rsid w:val="00E0597F"/>
    <w:rsid w:val="00E05A0D"/>
    <w:rsid w:val="00E06FB9"/>
    <w:rsid w:val="00E071F1"/>
    <w:rsid w:val="00E07B31"/>
    <w:rsid w:val="00E07D19"/>
    <w:rsid w:val="00E07F53"/>
    <w:rsid w:val="00E07FC7"/>
    <w:rsid w:val="00E1019B"/>
    <w:rsid w:val="00E10377"/>
    <w:rsid w:val="00E10435"/>
    <w:rsid w:val="00E106CF"/>
    <w:rsid w:val="00E107FC"/>
    <w:rsid w:val="00E10F93"/>
    <w:rsid w:val="00E115B8"/>
    <w:rsid w:val="00E119B1"/>
    <w:rsid w:val="00E11EC1"/>
    <w:rsid w:val="00E12017"/>
    <w:rsid w:val="00E1242D"/>
    <w:rsid w:val="00E1281F"/>
    <w:rsid w:val="00E12866"/>
    <w:rsid w:val="00E131B8"/>
    <w:rsid w:val="00E13204"/>
    <w:rsid w:val="00E135FE"/>
    <w:rsid w:val="00E13BAE"/>
    <w:rsid w:val="00E13D16"/>
    <w:rsid w:val="00E1415C"/>
    <w:rsid w:val="00E14298"/>
    <w:rsid w:val="00E142BB"/>
    <w:rsid w:val="00E145B7"/>
    <w:rsid w:val="00E148DD"/>
    <w:rsid w:val="00E15714"/>
    <w:rsid w:val="00E15A8A"/>
    <w:rsid w:val="00E160FC"/>
    <w:rsid w:val="00E16279"/>
    <w:rsid w:val="00E164A7"/>
    <w:rsid w:val="00E20149"/>
    <w:rsid w:val="00E20630"/>
    <w:rsid w:val="00E2063F"/>
    <w:rsid w:val="00E20BCD"/>
    <w:rsid w:val="00E21080"/>
    <w:rsid w:val="00E214C1"/>
    <w:rsid w:val="00E21B53"/>
    <w:rsid w:val="00E21BB0"/>
    <w:rsid w:val="00E21BC5"/>
    <w:rsid w:val="00E21FB9"/>
    <w:rsid w:val="00E22005"/>
    <w:rsid w:val="00E22355"/>
    <w:rsid w:val="00E223CD"/>
    <w:rsid w:val="00E22DAE"/>
    <w:rsid w:val="00E22DEF"/>
    <w:rsid w:val="00E22EE7"/>
    <w:rsid w:val="00E2308E"/>
    <w:rsid w:val="00E230EA"/>
    <w:rsid w:val="00E232F4"/>
    <w:rsid w:val="00E23559"/>
    <w:rsid w:val="00E235B2"/>
    <w:rsid w:val="00E2374C"/>
    <w:rsid w:val="00E23C81"/>
    <w:rsid w:val="00E24007"/>
    <w:rsid w:val="00E24426"/>
    <w:rsid w:val="00E2442B"/>
    <w:rsid w:val="00E245E6"/>
    <w:rsid w:val="00E250CD"/>
    <w:rsid w:val="00E25375"/>
    <w:rsid w:val="00E2583B"/>
    <w:rsid w:val="00E25A64"/>
    <w:rsid w:val="00E25AE3"/>
    <w:rsid w:val="00E25D61"/>
    <w:rsid w:val="00E26067"/>
    <w:rsid w:val="00E2606D"/>
    <w:rsid w:val="00E2616E"/>
    <w:rsid w:val="00E26247"/>
    <w:rsid w:val="00E2667C"/>
    <w:rsid w:val="00E26EE3"/>
    <w:rsid w:val="00E271F2"/>
    <w:rsid w:val="00E27348"/>
    <w:rsid w:val="00E27501"/>
    <w:rsid w:val="00E27C5D"/>
    <w:rsid w:val="00E27E26"/>
    <w:rsid w:val="00E27EF8"/>
    <w:rsid w:val="00E27F7C"/>
    <w:rsid w:val="00E300C7"/>
    <w:rsid w:val="00E30345"/>
    <w:rsid w:val="00E30678"/>
    <w:rsid w:val="00E307D6"/>
    <w:rsid w:val="00E30C9B"/>
    <w:rsid w:val="00E30E47"/>
    <w:rsid w:val="00E30F78"/>
    <w:rsid w:val="00E31336"/>
    <w:rsid w:val="00E329FC"/>
    <w:rsid w:val="00E32BB8"/>
    <w:rsid w:val="00E3327D"/>
    <w:rsid w:val="00E332D2"/>
    <w:rsid w:val="00E33610"/>
    <w:rsid w:val="00E33850"/>
    <w:rsid w:val="00E339B0"/>
    <w:rsid w:val="00E33A24"/>
    <w:rsid w:val="00E33CE8"/>
    <w:rsid w:val="00E34113"/>
    <w:rsid w:val="00E34169"/>
    <w:rsid w:val="00E342A1"/>
    <w:rsid w:val="00E344E6"/>
    <w:rsid w:val="00E34782"/>
    <w:rsid w:val="00E3480E"/>
    <w:rsid w:val="00E34CC7"/>
    <w:rsid w:val="00E34CDA"/>
    <w:rsid w:val="00E34D60"/>
    <w:rsid w:val="00E3518F"/>
    <w:rsid w:val="00E35237"/>
    <w:rsid w:val="00E353C4"/>
    <w:rsid w:val="00E35E6A"/>
    <w:rsid w:val="00E36117"/>
    <w:rsid w:val="00E36475"/>
    <w:rsid w:val="00E364AE"/>
    <w:rsid w:val="00E368DF"/>
    <w:rsid w:val="00E369DB"/>
    <w:rsid w:val="00E36A97"/>
    <w:rsid w:val="00E370E3"/>
    <w:rsid w:val="00E37512"/>
    <w:rsid w:val="00E3756C"/>
    <w:rsid w:val="00E375BC"/>
    <w:rsid w:val="00E379D6"/>
    <w:rsid w:val="00E40477"/>
    <w:rsid w:val="00E40D4B"/>
    <w:rsid w:val="00E410A3"/>
    <w:rsid w:val="00E41189"/>
    <w:rsid w:val="00E4129E"/>
    <w:rsid w:val="00E414CA"/>
    <w:rsid w:val="00E419A3"/>
    <w:rsid w:val="00E41C29"/>
    <w:rsid w:val="00E42664"/>
    <w:rsid w:val="00E429C0"/>
    <w:rsid w:val="00E42E54"/>
    <w:rsid w:val="00E43120"/>
    <w:rsid w:val="00E4342C"/>
    <w:rsid w:val="00E43979"/>
    <w:rsid w:val="00E43F5B"/>
    <w:rsid w:val="00E43F6E"/>
    <w:rsid w:val="00E445B7"/>
    <w:rsid w:val="00E45187"/>
    <w:rsid w:val="00E45222"/>
    <w:rsid w:val="00E4544D"/>
    <w:rsid w:val="00E45541"/>
    <w:rsid w:val="00E456E2"/>
    <w:rsid w:val="00E4592D"/>
    <w:rsid w:val="00E45AAC"/>
    <w:rsid w:val="00E45EC5"/>
    <w:rsid w:val="00E45F37"/>
    <w:rsid w:val="00E4612F"/>
    <w:rsid w:val="00E46251"/>
    <w:rsid w:val="00E4664E"/>
    <w:rsid w:val="00E46671"/>
    <w:rsid w:val="00E46959"/>
    <w:rsid w:val="00E469D1"/>
    <w:rsid w:val="00E46C7B"/>
    <w:rsid w:val="00E4774D"/>
    <w:rsid w:val="00E502F7"/>
    <w:rsid w:val="00E50800"/>
    <w:rsid w:val="00E50BFA"/>
    <w:rsid w:val="00E5115C"/>
    <w:rsid w:val="00E51397"/>
    <w:rsid w:val="00E5187F"/>
    <w:rsid w:val="00E5189A"/>
    <w:rsid w:val="00E519DD"/>
    <w:rsid w:val="00E51E77"/>
    <w:rsid w:val="00E52584"/>
    <w:rsid w:val="00E528DB"/>
    <w:rsid w:val="00E52B0F"/>
    <w:rsid w:val="00E53038"/>
    <w:rsid w:val="00E53095"/>
    <w:rsid w:val="00E538C0"/>
    <w:rsid w:val="00E53A53"/>
    <w:rsid w:val="00E53DE2"/>
    <w:rsid w:val="00E53E07"/>
    <w:rsid w:val="00E53E6C"/>
    <w:rsid w:val="00E543C2"/>
    <w:rsid w:val="00E545E6"/>
    <w:rsid w:val="00E549B0"/>
    <w:rsid w:val="00E54E61"/>
    <w:rsid w:val="00E555E3"/>
    <w:rsid w:val="00E55645"/>
    <w:rsid w:val="00E55DA8"/>
    <w:rsid w:val="00E5649D"/>
    <w:rsid w:val="00E564C0"/>
    <w:rsid w:val="00E56896"/>
    <w:rsid w:val="00E569DB"/>
    <w:rsid w:val="00E56FA6"/>
    <w:rsid w:val="00E57134"/>
    <w:rsid w:val="00E571D3"/>
    <w:rsid w:val="00E57441"/>
    <w:rsid w:val="00E577DE"/>
    <w:rsid w:val="00E5790B"/>
    <w:rsid w:val="00E60612"/>
    <w:rsid w:val="00E609BB"/>
    <w:rsid w:val="00E60D5C"/>
    <w:rsid w:val="00E617DF"/>
    <w:rsid w:val="00E617F2"/>
    <w:rsid w:val="00E6197D"/>
    <w:rsid w:val="00E61A01"/>
    <w:rsid w:val="00E61B3A"/>
    <w:rsid w:val="00E621DD"/>
    <w:rsid w:val="00E6289F"/>
    <w:rsid w:val="00E628A6"/>
    <w:rsid w:val="00E629B3"/>
    <w:rsid w:val="00E63C31"/>
    <w:rsid w:val="00E63D97"/>
    <w:rsid w:val="00E63E14"/>
    <w:rsid w:val="00E6415E"/>
    <w:rsid w:val="00E64166"/>
    <w:rsid w:val="00E64168"/>
    <w:rsid w:val="00E645D9"/>
    <w:rsid w:val="00E6476D"/>
    <w:rsid w:val="00E647AB"/>
    <w:rsid w:val="00E64C7B"/>
    <w:rsid w:val="00E654C9"/>
    <w:rsid w:val="00E657AA"/>
    <w:rsid w:val="00E65892"/>
    <w:rsid w:val="00E6589B"/>
    <w:rsid w:val="00E66B15"/>
    <w:rsid w:val="00E66C8B"/>
    <w:rsid w:val="00E672E7"/>
    <w:rsid w:val="00E67469"/>
    <w:rsid w:val="00E67671"/>
    <w:rsid w:val="00E679C1"/>
    <w:rsid w:val="00E67C5A"/>
    <w:rsid w:val="00E67C89"/>
    <w:rsid w:val="00E70148"/>
    <w:rsid w:val="00E70201"/>
    <w:rsid w:val="00E70392"/>
    <w:rsid w:val="00E703B8"/>
    <w:rsid w:val="00E706BE"/>
    <w:rsid w:val="00E7095E"/>
    <w:rsid w:val="00E70ECC"/>
    <w:rsid w:val="00E70F77"/>
    <w:rsid w:val="00E712B6"/>
    <w:rsid w:val="00E7174A"/>
    <w:rsid w:val="00E71DCD"/>
    <w:rsid w:val="00E72296"/>
    <w:rsid w:val="00E735E6"/>
    <w:rsid w:val="00E737A2"/>
    <w:rsid w:val="00E73982"/>
    <w:rsid w:val="00E73FC2"/>
    <w:rsid w:val="00E74BE5"/>
    <w:rsid w:val="00E751F9"/>
    <w:rsid w:val="00E75574"/>
    <w:rsid w:val="00E756D7"/>
    <w:rsid w:val="00E756E3"/>
    <w:rsid w:val="00E757FC"/>
    <w:rsid w:val="00E75C2B"/>
    <w:rsid w:val="00E76082"/>
    <w:rsid w:val="00E769A3"/>
    <w:rsid w:val="00E7705F"/>
    <w:rsid w:val="00E772C7"/>
    <w:rsid w:val="00E776C8"/>
    <w:rsid w:val="00E77742"/>
    <w:rsid w:val="00E779E0"/>
    <w:rsid w:val="00E77A6B"/>
    <w:rsid w:val="00E77D8B"/>
    <w:rsid w:val="00E77F7B"/>
    <w:rsid w:val="00E80333"/>
    <w:rsid w:val="00E80D97"/>
    <w:rsid w:val="00E80EB7"/>
    <w:rsid w:val="00E819E3"/>
    <w:rsid w:val="00E81A7C"/>
    <w:rsid w:val="00E81C1E"/>
    <w:rsid w:val="00E81CBD"/>
    <w:rsid w:val="00E82AFC"/>
    <w:rsid w:val="00E82BDE"/>
    <w:rsid w:val="00E82E94"/>
    <w:rsid w:val="00E8323B"/>
    <w:rsid w:val="00E83773"/>
    <w:rsid w:val="00E8394B"/>
    <w:rsid w:val="00E83E7C"/>
    <w:rsid w:val="00E8468A"/>
    <w:rsid w:val="00E8476B"/>
    <w:rsid w:val="00E84BB6"/>
    <w:rsid w:val="00E852F9"/>
    <w:rsid w:val="00E85521"/>
    <w:rsid w:val="00E85B6D"/>
    <w:rsid w:val="00E85B7C"/>
    <w:rsid w:val="00E85BCA"/>
    <w:rsid w:val="00E862A1"/>
    <w:rsid w:val="00E8741B"/>
    <w:rsid w:val="00E87DA3"/>
    <w:rsid w:val="00E90203"/>
    <w:rsid w:val="00E905A4"/>
    <w:rsid w:val="00E9062E"/>
    <w:rsid w:val="00E907B0"/>
    <w:rsid w:val="00E908DA"/>
    <w:rsid w:val="00E909EB"/>
    <w:rsid w:val="00E91966"/>
    <w:rsid w:val="00E91CC9"/>
    <w:rsid w:val="00E9200B"/>
    <w:rsid w:val="00E924ED"/>
    <w:rsid w:val="00E92B4B"/>
    <w:rsid w:val="00E92E90"/>
    <w:rsid w:val="00E930A8"/>
    <w:rsid w:val="00E9335B"/>
    <w:rsid w:val="00E93686"/>
    <w:rsid w:val="00E93DB0"/>
    <w:rsid w:val="00E94688"/>
    <w:rsid w:val="00E9469A"/>
    <w:rsid w:val="00E94921"/>
    <w:rsid w:val="00E949CD"/>
    <w:rsid w:val="00E94AEC"/>
    <w:rsid w:val="00E95139"/>
    <w:rsid w:val="00E9559B"/>
    <w:rsid w:val="00E95E2F"/>
    <w:rsid w:val="00E96624"/>
    <w:rsid w:val="00E96774"/>
    <w:rsid w:val="00E9687E"/>
    <w:rsid w:val="00E96A5F"/>
    <w:rsid w:val="00E96C2D"/>
    <w:rsid w:val="00E96CCC"/>
    <w:rsid w:val="00E96EE9"/>
    <w:rsid w:val="00E96F9D"/>
    <w:rsid w:val="00E97107"/>
    <w:rsid w:val="00E97C98"/>
    <w:rsid w:val="00E97D93"/>
    <w:rsid w:val="00EA01BF"/>
    <w:rsid w:val="00EA0530"/>
    <w:rsid w:val="00EA05F1"/>
    <w:rsid w:val="00EA06E3"/>
    <w:rsid w:val="00EA0F46"/>
    <w:rsid w:val="00EA1294"/>
    <w:rsid w:val="00EA1323"/>
    <w:rsid w:val="00EA13F2"/>
    <w:rsid w:val="00EA1535"/>
    <w:rsid w:val="00EA18A5"/>
    <w:rsid w:val="00EA1CFB"/>
    <w:rsid w:val="00EA25D9"/>
    <w:rsid w:val="00EA341B"/>
    <w:rsid w:val="00EA3692"/>
    <w:rsid w:val="00EA3AD9"/>
    <w:rsid w:val="00EA3BC4"/>
    <w:rsid w:val="00EA3BDB"/>
    <w:rsid w:val="00EA3FC2"/>
    <w:rsid w:val="00EA4074"/>
    <w:rsid w:val="00EA41DF"/>
    <w:rsid w:val="00EA45BF"/>
    <w:rsid w:val="00EA4679"/>
    <w:rsid w:val="00EA4C48"/>
    <w:rsid w:val="00EA4CAB"/>
    <w:rsid w:val="00EA4CF3"/>
    <w:rsid w:val="00EA512B"/>
    <w:rsid w:val="00EA527D"/>
    <w:rsid w:val="00EA53F5"/>
    <w:rsid w:val="00EA5886"/>
    <w:rsid w:val="00EA5D86"/>
    <w:rsid w:val="00EA5FA8"/>
    <w:rsid w:val="00EA6120"/>
    <w:rsid w:val="00EA624C"/>
    <w:rsid w:val="00EA6578"/>
    <w:rsid w:val="00EA657F"/>
    <w:rsid w:val="00EA6772"/>
    <w:rsid w:val="00EA6A66"/>
    <w:rsid w:val="00EA6B12"/>
    <w:rsid w:val="00EA6C27"/>
    <w:rsid w:val="00EA6FFE"/>
    <w:rsid w:val="00EA729E"/>
    <w:rsid w:val="00EA72BA"/>
    <w:rsid w:val="00EA72E9"/>
    <w:rsid w:val="00EA73A1"/>
    <w:rsid w:val="00EA7FA7"/>
    <w:rsid w:val="00EB04A5"/>
    <w:rsid w:val="00EB0521"/>
    <w:rsid w:val="00EB0986"/>
    <w:rsid w:val="00EB0D2A"/>
    <w:rsid w:val="00EB10A6"/>
    <w:rsid w:val="00EB119A"/>
    <w:rsid w:val="00EB15A7"/>
    <w:rsid w:val="00EB1A30"/>
    <w:rsid w:val="00EB1BEF"/>
    <w:rsid w:val="00EB1C45"/>
    <w:rsid w:val="00EB1F24"/>
    <w:rsid w:val="00EB1F8C"/>
    <w:rsid w:val="00EB233D"/>
    <w:rsid w:val="00EB235D"/>
    <w:rsid w:val="00EB250C"/>
    <w:rsid w:val="00EB2558"/>
    <w:rsid w:val="00EB2587"/>
    <w:rsid w:val="00EB2F03"/>
    <w:rsid w:val="00EB3107"/>
    <w:rsid w:val="00EB33A8"/>
    <w:rsid w:val="00EB3856"/>
    <w:rsid w:val="00EB3A1D"/>
    <w:rsid w:val="00EB3BF6"/>
    <w:rsid w:val="00EB4048"/>
    <w:rsid w:val="00EB4847"/>
    <w:rsid w:val="00EB4B66"/>
    <w:rsid w:val="00EB4C40"/>
    <w:rsid w:val="00EB4C9B"/>
    <w:rsid w:val="00EB4CA3"/>
    <w:rsid w:val="00EB5173"/>
    <w:rsid w:val="00EB5766"/>
    <w:rsid w:val="00EB58C5"/>
    <w:rsid w:val="00EB5A05"/>
    <w:rsid w:val="00EB5EE9"/>
    <w:rsid w:val="00EB638F"/>
    <w:rsid w:val="00EB673E"/>
    <w:rsid w:val="00EB6A4F"/>
    <w:rsid w:val="00EB6D13"/>
    <w:rsid w:val="00EB77B3"/>
    <w:rsid w:val="00EB7CBB"/>
    <w:rsid w:val="00EB7FC9"/>
    <w:rsid w:val="00EC0265"/>
    <w:rsid w:val="00EC091C"/>
    <w:rsid w:val="00EC16B4"/>
    <w:rsid w:val="00EC1797"/>
    <w:rsid w:val="00EC1875"/>
    <w:rsid w:val="00EC1B0F"/>
    <w:rsid w:val="00EC1D70"/>
    <w:rsid w:val="00EC1DD1"/>
    <w:rsid w:val="00EC1FC3"/>
    <w:rsid w:val="00EC2031"/>
    <w:rsid w:val="00EC279D"/>
    <w:rsid w:val="00EC2A6A"/>
    <w:rsid w:val="00EC2D42"/>
    <w:rsid w:val="00EC2D4C"/>
    <w:rsid w:val="00EC30B7"/>
    <w:rsid w:val="00EC376F"/>
    <w:rsid w:val="00EC3D04"/>
    <w:rsid w:val="00EC3DE6"/>
    <w:rsid w:val="00EC43CC"/>
    <w:rsid w:val="00EC492C"/>
    <w:rsid w:val="00EC4C4B"/>
    <w:rsid w:val="00EC5617"/>
    <w:rsid w:val="00EC5698"/>
    <w:rsid w:val="00EC5903"/>
    <w:rsid w:val="00EC5ABC"/>
    <w:rsid w:val="00EC5AF8"/>
    <w:rsid w:val="00EC5E4E"/>
    <w:rsid w:val="00EC642B"/>
    <w:rsid w:val="00EC6ACB"/>
    <w:rsid w:val="00EC6C39"/>
    <w:rsid w:val="00EC6F0D"/>
    <w:rsid w:val="00EC792E"/>
    <w:rsid w:val="00EC7A1A"/>
    <w:rsid w:val="00EC7D3A"/>
    <w:rsid w:val="00EC7FEE"/>
    <w:rsid w:val="00ED03BD"/>
    <w:rsid w:val="00ED04AE"/>
    <w:rsid w:val="00ED070B"/>
    <w:rsid w:val="00ED0A78"/>
    <w:rsid w:val="00ED0B19"/>
    <w:rsid w:val="00ED0B57"/>
    <w:rsid w:val="00ED0C9F"/>
    <w:rsid w:val="00ED0DB2"/>
    <w:rsid w:val="00ED0DC2"/>
    <w:rsid w:val="00ED16C5"/>
    <w:rsid w:val="00ED1907"/>
    <w:rsid w:val="00ED1972"/>
    <w:rsid w:val="00ED21C6"/>
    <w:rsid w:val="00ED2A9E"/>
    <w:rsid w:val="00ED3133"/>
    <w:rsid w:val="00ED3920"/>
    <w:rsid w:val="00ED3DDF"/>
    <w:rsid w:val="00ED3E8E"/>
    <w:rsid w:val="00ED493F"/>
    <w:rsid w:val="00ED49EE"/>
    <w:rsid w:val="00ED4A81"/>
    <w:rsid w:val="00ED5443"/>
    <w:rsid w:val="00ED56BA"/>
    <w:rsid w:val="00ED5835"/>
    <w:rsid w:val="00ED5A87"/>
    <w:rsid w:val="00ED6277"/>
    <w:rsid w:val="00ED6727"/>
    <w:rsid w:val="00ED6E53"/>
    <w:rsid w:val="00ED6FEF"/>
    <w:rsid w:val="00ED74F8"/>
    <w:rsid w:val="00ED7BA5"/>
    <w:rsid w:val="00EE05C7"/>
    <w:rsid w:val="00EE05F6"/>
    <w:rsid w:val="00EE06D2"/>
    <w:rsid w:val="00EE0945"/>
    <w:rsid w:val="00EE0C74"/>
    <w:rsid w:val="00EE0D5C"/>
    <w:rsid w:val="00EE0F34"/>
    <w:rsid w:val="00EE0FBB"/>
    <w:rsid w:val="00EE113E"/>
    <w:rsid w:val="00EE12C1"/>
    <w:rsid w:val="00EE1687"/>
    <w:rsid w:val="00EE1889"/>
    <w:rsid w:val="00EE1B3B"/>
    <w:rsid w:val="00EE29CA"/>
    <w:rsid w:val="00EE2AA1"/>
    <w:rsid w:val="00EE2D1E"/>
    <w:rsid w:val="00EE2F86"/>
    <w:rsid w:val="00EE31DC"/>
    <w:rsid w:val="00EE342A"/>
    <w:rsid w:val="00EE3664"/>
    <w:rsid w:val="00EE3865"/>
    <w:rsid w:val="00EE39EA"/>
    <w:rsid w:val="00EE3D05"/>
    <w:rsid w:val="00EE3D9F"/>
    <w:rsid w:val="00EE40A5"/>
    <w:rsid w:val="00EE40DD"/>
    <w:rsid w:val="00EE4350"/>
    <w:rsid w:val="00EE4611"/>
    <w:rsid w:val="00EE4AA9"/>
    <w:rsid w:val="00EE500B"/>
    <w:rsid w:val="00EE537D"/>
    <w:rsid w:val="00EE53EB"/>
    <w:rsid w:val="00EE580C"/>
    <w:rsid w:val="00EE621E"/>
    <w:rsid w:val="00EE63DA"/>
    <w:rsid w:val="00EE6422"/>
    <w:rsid w:val="00EE661F"/>
    <w:rsid w:val="00EE6CC4"/>
    <w:rsid w:val="00EE70D9"/>
    <w:rsid w:val="00EE7A69"/>
    <w:rsid w:val="00EE7EC6"/>
    <w:rsid w:val="00EF0040"/>
    <w:rsid w:val="00EF0553"/>
    <w:rsid w:val="00EF06C7"/>
    <w:rsid w:val="00EF073F"/>
    <w:rsid w:val="00EF0991"/>
    <w:rsid w:val="00EF0E2B"/>
    <w:rsid w:val="00EF0FD6"/>
    <w:rsid w:val="00EF1035"/>
    <w:rsid w:val="00EF1240"/>
    <w:rsid w:val="00EF1342"/>
    <w:rsid w:val="00EF149B"/>
    <w:rsid w:val="00EF1B05"/>
    <w:rsid w:val="00EF1D81"/>
    <w:rsid w:val="00EF1EDB"/>
    <w:rsid w:val="00EF2184"/>
    <w:rsid w:val="00EF2650"/>
    <w:rsid w:val="00EF2916"/>
    <w:rsid w:val="00EF31C2"/>
    <w:rsid w:val="00EF3499"/>
    <w:rsid w:val="00EF35A8"/>
    <w:rsid w:val="00EF4904"/>
    <w:rsid w:val="00EF4B4C"/>
    <w:rsid w:val="00EF4B85"/>
    <w:rsid w:val="00EF4FEB"/>
    <w:rsid w:val="00EF55C8"/>
    <w:rsid w:val="00EF56F0"/>
    <w:rsid w:val="00EF582E"/>
    <w:rsid w:val="00EF5D19"/>
    <w:rsid w:val="00EF5DB0"/>
    <w:rsid w:val="00EF5F71"/>
    <w:rsid w:val="00EF5F9F"/>
    <w:rsid w:val="00EF62C6"/>
    <w:rsid w:val="00EF6862"/>
    <w:rsid w:val="00EF6DD9"/>
    <w:rsid w:val="00EF6EA1"/>
    <w:rsid w:val="00EF70A5"/>
    <w:rsid w:val="00EF7134"/>
    <w:rsid w:val="00EF73ED"/>
    <w:rsid w:val="00EF74A7"/>
    <w:rsid w:val="00EF74E9"/>
    <w:rsid w:val="00EF7517"/>
    <w:rsid w:val="00EF7690"/>
    <w:rsid w:val="00EF7B95"/>
    <w:rsid w:val="00F000BA"/>
    <w:rsid w:val="00F003C9"/>
    <w:rsid w:val="00F005A4"/>
    <w:rsid w:val="00F00A8C"/>
    <w:rsid w:val="00F00F0B"/>
    <w:rsid w:val="00F0129D"/>
    <w:rsid w:val="00F017B1"/>
    <w:rsid w:val="00F01D88"/>
    <w:rsid w:val="00F0212F"/>
    <w:rsid w:val="00F023B3"/>
    <w:rsid w:val="00F02840"/>
    <w:rsid w:val="00F03105"/>
    <w:rsid w:val="00F032E1"/>
    <w:rsid w:val="00F03723"/>
    <w:rsid w:val="00F0389B"/>
    <w:rsid w:val="00F03AC5"/>
    <w:rsid w:val="00F03ACC"/>
    <w:rsid w:val="00F03D06"/>
    <w:rsid w:val="00F03D89"/>
    <w:rsid w:val="00F04078"/>
    <w:rsid w:val="00F04768"/>
    <w:rsid w:val="00F052B3"/>
    <w:rsid w:val="00F0572C"/>
    <w:rsid w:val="00F05DF7"/>
    <w:rsid w:val="00F05F72"/>
    <w:rsid w:val="00F062E4"/>
    <w:rsid w:val="00F06374"/>
    <w:rsid w:val="00F06A6E"/>
    <w:rsid w:val="00F06C5A"/>
    <w:rsid w:val="00F06C92"/>
    <w:rsid w:val="00F06CEC"/>
    <w:rsid w:val="00F06D35"/>
    <w:rsid w:val="00F0703D"/>
    <w:rsid w:val="00F0714B"/>
    <w:rsid w:val="00F07372"/>
    <w:rsid w:val="00F07401"/>
    <w:rsid w:val="00F0774D"/>
    <w:rsid w:val="00F07A12"/>
    <w:rsid w:val="00F07E11"/>
    <w:rsid w:val="00F106AD"/>
    <w:rsid w:val="00F10755"/>
    <w:rsid w:val="00F11E62"/>
    <w:rsid w:val="00F11F71"/>
    <w:rsid w:val="00F12A72"/>
    <w:rsid w:val="00F12BB4"/>
    <w:rsid w:val="00F13077"/>
    <w:rsid w:val="00F13526"/>
    <w:rsid w:val="00F137F7"/>
    <w:rsid w:val="00F139A3"/>
    <w:rsid w:val="00F13A51"/>
    <w:rsid w:val="00F1409B"/>
    <w:rsid w:val="00F1448D"/>
    <w:rsid w:val="00F14584"/>
    <w:rsid w:val="00F14623"/>
    <w:rsid w:val="00F14835"/>
    <w:rsid w:val="00F14A4B"/>
    <w:rsid w:val="00F14B46"/>
    <w:rsid w:val="00F14B57"/>
    <w:rsid w:val="00F14BE0"/>
    <w:rsid w:val="00F15383"/>
    <w:rsid w:val="00F15D84"/>
    <w:rsid w:val="00F15E64"/>
    <w:rsid w:val="00F16C6D"/>
    <w:rsid w:val="00F16EFB"/>
    <w:rsid w:val="00F16F7E"/>
    <w:rsid w:val="00F1786F"/>
    <w:rsid w:val="00F17B4A"/>
    <w:rsid w:val="00F17BAC"/>
    <w:rsid w:val="00F17DCF"/>
    <w:rsid w:val="00F20149"/>
    <w:rsid w:val="00F203B1"/>
    <w:rsid w:val="00F20AF4"/>
    <w:rsid w:val="00F20B70"/>
    <w:rsid w:val="00F20BC7"/>
    <w:rsid w:val="00F21043"/>
    <w:rsid w:val="00F2108E"/>
    <w:rsid w:val="00F2143D"/>
    <w:rsid w:val="00F215B9"/>
    <w:rsid w:val="00F217EC"/>
    <w:rsid w:val="00F21B9C"/>
    <w:rsid w:val="00F21CF0"/>
    <w:rsid w:val="00F21F84"/>
    <w:rsid w:val="00F2214E"/>
    <w:rsid w:val="00F22387"/>
    <w:rsid w:val="00F2282B"/>
    <w:rsid w:val="00F22B79"/>
    <w:rsid w:val="00F22C77"/>
    <w:rsid w:val="00F22F4F"/>
    <w:rsid w:val="00F231E7"/>
    <w:rsid w:val="00F23E6F"/>
    <w:rsid w:val="00F2432A"/>
    <w:rsid w:val="00F24345"/>
    <w:rsid w:val="00F24CA2"/>
    <w:rsid w:val="00F24EB0"/>
    <w:rsid w:val="00F24F75"/>
    <w:rsid w:val="00F25070"/>
    <w:rsid w:val="00F25114"/>
    <w:rsid w:val="00F25244"/>
    <w:rsid w:val="00F256BA"/>
    <w:rsid w:val="00F25785"/>
    <w:rsid w:val="00F25AB0"/>
    <w:rsid w:val="00F25BBD"/>
    <w:rsid w:val="00F266B4"/>
    <w:rsid w:val="00F26785"/>
    <w:rsid w:val="00F26B75"/>
    <w:rsid w:val="00F26BB4"/>
    <w:rsid w:val="00F26D12"/>
    <w:rsid w:val="00F272C8"/>
    <w:rsid w:val="00F2731F"/>
    <w:rsid w:val="00F2763A"/>
    <w:rsid w:val="00F27678"/>
    <w:rsid w:val="00F27697"/>
    <w:rsid w:val="00F27922"/>
    <w:rsid w:val="00F27B50"/>
    <w:rsid w:val="00F30250"/>
    <w:rsid w:val="00F3047A"/>
    <w:rsid w:val="00F30F77"/>
    <w:rsid w:val="00F3112C"/>
    <w:rsid w:val="00F31195"/>
    <w:rsid w:val="00F31555"/>
    <w:rsid w:val="00F316B5"/>
    <w:rsid w:val="00F31B63"/>
    <w:rsid w:val="00F31E38"/>
    <w:rsid w:val="00F31F13"/>
    <w:rsid w:val="00F321C8"/>
    <w:rsid w:val="00F32690"/>
    <w:rsid w:val="00F32A67"/>
    <w:rsid w:val="00F32EDF"/>
    <w:rsid w:val="00F3325B"/>
    <w:rsid w:val="00F334C9"/>
    <w:rsid w:val="00F335D4"/>
    <w:rsid w:val="00F337EA"/>
    <w:rsid w:val="00F33BAE"/>
    <w:rsid w:val="00F33C79"/>
    <w:rsid w:val="00F33CB9"/>
    <w:rsid w:val="00F33ED8"/>
    <w:rsid w:val="00F3418D"/>
    <w:rsid w:val="00F34B69"/>
    <w:rsid w:val="00F35174"/>
    <w:rsid w:val="00F351E2"/>
    <w:rsid w:val="00F3526B"/>
    <w:rsid w:val="00F35464"/>
    <w:rsid w:val="00F35C68"/>
    <w:rsid w:val="00F35C70"/>
    <w:rsid w:val="00F35E2C"/>
    <w:rsid w:val="00F35E43"/>
    <w:rsid w:val="00F35F82"/>
    <w:rsid w:val="00F35FB0"/>
    <w:rsid w:val="00F3611D"/>
    <w:rsid w:val="00F364A3"/>
    <w:rsid w:val="00F36536"/>
    <w:rsid w:val="00F36616"/>
    <w:rsid w:val="00F36D8E"/>
    <w:rsid w:val="00F36F9A"/>
    <w:rsid w:val="00F37039"/>
    <w:rsid w:val="00F37121"/>
    <w:rsid w:val="00F37600"/>
    <w:rsid w:val="00F4020F"/>
    <w:rsid w:val="00F40BA3"/>
    <w:rsid w:val="00F40CBE"/>
    <w:rsid w:val="00F41895"/>
    <w:rsid w:val="00F41C3A"/>
    <w:rsid w:val="00F41D76"/>
    <w:rsid w:val="00F41FA5"/>
    <w:rsid w:val="00F42034"/>
    <w:rsid w:val="00F42499"/>
    <w:rsid w:val="00F4267F"/>
    <w:rsid w:val="00F4288B"/>
    <w:rsid w:val="00F4356C"/>
    <w:rsid w:val="00F43711"/>
    <w:rsid w:val="00F43975"/>
    <w:rsid w:val="00F43AF9"/>
    <w:rsid w:val="00F43E71"/>
    <w:rsid w:val="00F44258"/>
    <w:rsid w:val="00F44325"/>
    <w:rsid w:val="00F44622"/>
    <w:rsid w:val="00F44CAE"/>
    <w:rsid w:val="00F44D1F"/>
    <w:rsid w:val="00F44F43"/>
    <w:rsid w:val="00F45016"/>
    <w:rsid w:val="00F45580"/>
    <w:rsid w:val="00F45966"/>
    <w:rsid w:val="00F45CAF"/>
    <w:rsid w:val="00F46129"/>
    <w:rsid w:val="00F4633F"/>
    <w:rsid w:val="00F464BA"/>
    <w:rsid w:val="00F46549"/>
    <w:rsid w:val="00F4664E"/>
    <w:rsid w:val="00F4669A"/>
    <w:rsid w:val="00F46AD8"/>
    <w:rsid w:val="00F470F1"/>
    <w:rsid w:val="00F4798A"/>
    <w:rsid w:val="00F47A28"/>
    <w:rsid w:val="00F47A6F"/>
    <w:rsid w:val="00F47FAA"/>
    <w:rsid w:val="00F5009A"/>
    <w:rsid w:val="00F502AF"/>
    <w:rsid w:val="00F502C4"/>
    <w:rsid w:val="00F50648"/>
    <w:rsid w:val="00F50B19"/>
    <w:rsid w:val="00F50BCF"/>
    <w:rsid w:val="00F50F30"/>
    <w:rsid w:val="00F5172B"/>
    <w:rsid w:val="00F51F36"/>
    <w:rsid w:val="00F52029"/>
    <w:rsid w:val="00F52179"/>
    <w:rsid w:val="00F52345"/>
    <w:rsid w:val="00F526DF"/>
    <w:rsid w:val="00F5284F"/>
    <w:rsid w:val="00F52E08"/>
    <w:rsid w:val="00F52FAC"/>
    <w:rsid w:val="00F53230"/>
    <w:rsid w:val="00F5346C"/>
    <w:rsid w:val="00F53971"/>
    <w:rsid w:val="00F53C8F"/>
    <w:rsid w:val="00F53D96"/>
    <w:rsid w:val="00F543A3"/>
    <w:rsid w:val="00F54754"/>
    <w:rsid w:val="00F5494F"/>
    <w:rsid w:val="00F54A3E"/>
    <w:rsid w:val="00F54EEC"/>
    <w:rsid w:val="00F54F6B"/>
    <w:rsid w:val="00F550BE"/>
    <w:rsid w:val="00F55326"/>
    <w:rsid w:val="00F5568B"/>
    <w:rsid w:val="00F55944"/>
    <w:rsid w:val="00F5598F"/>
    <w:rsid w:val="00F55A47"/>
    <w:rsid w:val="00F55A7E"/>
    <w:rsid w:val="00F563F3"/>
    <w:rsid w:val="00F56901"/>
    <w:rsid w:val="00F56C0E"/>
    <w:rsid w:val="00F56C7F"/>
    <w:rsid w:val="00F56CA3"/>
    <w:rsid w:val="00F570DA"/>
    <w:rsid w:val="00F571E4"/>
    <w:rsid w:val="00F578EF"/>
    <w:rsid w:val="00F57B6C"/>
    <w:rsid w:val="00F57C80"/>
    <w:rsid w:val="00F57FDC"/>
    <w:rsid w:val="00F604F4"/>
    <w:rsid w:val="00F606AD"/>
    <w:rsid w:val="00F60D42"/>
    <w:rsid w:val="00F616AD"/>
    <w:rsid w:val="00F61F33"/>
    <w:rsid w:val="00F620A8"/>
    <w:rsid w:val="00F62533"/>
    <w:rsid w:val="00F62938"/>
    <w:rsid w:val="00F62D84"/>
    <w:rsid w:val="00F630AE"/>
    <w:rsid w:val="00F63111"/>
    <w:rsid w:val="00F633B5"/>
    <w:rsid w:val="00F633B9"/>
    <w:rsid w:val="00F63932"/>
    <w:rsid w:val="00F63A99"/>
    <w:rsid w:val="00F63B2C"/>
    <w:rsid w:val="00F641E4"/>
    <w:rsid w:val="00F644E9"/>
    <w:rsid w:val="00F6460A"/>
    <w:rsid w:val="00F6470F"/>
    <w:rsid w:val="00F64DEE"/>
    <w:rsid w:val="00F65051"/>
    <w:rsid w:val="00F653D9"/>
    <w:rsid w:val="00F65C10"/>
    <w:rsid w:val="00F65EA8"/>
    <w:rsid w:val="00F660AE"/>
    <w:rsid w:val="00F664A0"/>
    <w:rsid w:val="00F665B5"/>
    <w:rsid w:val="00F666D1"/>
    <w:rsid w:val="00F667F1"/>
    <w:rsid w:val="00F66AEE"/>
    <w:rsid w:val="00F66D8C"/>
    <w:rsid w:val="00F66FB2"/>
    <w:rsid w:val="00F66FF2"/>
    <w:rsid w:val="00F67221"/>
    <w:rsid w:val="00F6722C"/>
    <w:rsid w:val="00F67529"/>
    <w:rsid w:val="00F67801"/>
    <w:rsid w:val="00F67D8D"/>
    <w:rsid w:val="00F70784"/>
    <w:rsid w:val="00F707D8"/>
    <w:rsid w:val="00F70B40"/>
    <w:rsid w:val="00F70C03"/>
    <w:rsid w:val="00F712C9"/>
    <w:rsid w:val="00F7138B"/>
    <w:rsid w:val="00F71465"/>
    <w:rsid w:val="00F715E5"/>
    <w:rsid w:val="00F71AD2"/>
    <w:rsid w:val="00F71DC8"/>
    <w:rsid w:val="00F7209C"/>
    <w:rsid w:val="00F727B8"/>
    <w:rsid w:val="00F7283C"/>
    <w:rsid w:val="00F72B0E"/>
    <w:rsid w:val="00F72BC4"/>
    <w:rsid w:val="00F7316C"/>
    <w:rsid w:val="00F733FB"/>
    <w:rsid w:val="00F73B89"/>
    <w:rsid w:val="00F73C21"/>
    <w:rsid w:val="00F740BC"/>
    <w:rsid w:val="00F742F1"/>
    <w:rsid w:val="00F743C9"/>
    <w:rsid w:val="00F74B80"/>
    <w:rsid w:val="00F75E4B"/>
    <w:rsid w:val="00F76146"/>
    <w:rsid w:val="00F76159"/>
    <w:rsid w:val="00F7689E"/>
    <w:rsid w:val="00F76B67"/>
    <w:rsid w:val="00F76C44"/>
    <w:rsid w:val="00F76FDB"/>
    <w:rsid w:val="00F77534"/>
    <w:rsid w:val="00F77582"/>
    <w:rsid w:val="00F77868"/>
    <w:rsid w:val="00F77957"/>
    <w:rsid w:val="00F77AC0"/>
    <w:rsid w:val="00F77C10"/>
    <w:rsid w:val="00F802D1"/>
    <w:rsid w:val="00F80692"/>
    <w:rsid w:val="00F8078A"/>
    <w:rsid w:val="00F80812"/>
    <w:rsid w:val="00F80AB2"/>
    <w:rsid w:val="00F80D1C"/>
    <w:rsid w:val="00F811BB"/>
    <w:rsid w:val="00F8175A"/>
    <w:rsid w:val="00F81808"/>
    <w:rsid w:val="00F81CBE"/>
    <w:rsid w:val="00F81E06"/>
    <w:rsid w:val="00F81F00"/>
    <w:rsid w:val="00F821D4"/>
    <w:rsid w:val="00F82388"/>
    <w:rsid w:val="00F8248E"/>
    <w:rsid w:val="00F82579"/>
    <w:rsid w:val="00F82BE6"/>
    <w:rsid w:val="00F834A6"/>
    <w:rsid w:val="00F839B5"/>
    <w:rsid w:val="00F83B19"/>
    <w:rsid w:val="00F83EDB"/>
    <w:rsid w:val="00F841B9"/>
    <w:rsid w:val="00F84245"/>
    <w:rsid w:val="00F84605"/>
    <w:rsid w:val="00F84D87"/>
    <w:rsid w:val="00F84DAF"/>
    <w:rsid w:val="00F861A6"/>
    <w:rsid w:val="00F8641E"/>
    <w:rsid w:val="00F866E4"/>
    <w:rsid w:val="00F8670E"/>
    <w:rsid w:val="00F867E4"/>
    <w:rsid w:val="00F86ABC"/>
    <w:rsid w:val="00F86B14"/>
    <w:rsid w:val="00F86D6D"/>
    <w:rsid w:val="00F87082"/>
    <w:rsid w:val="00F87404"/>
    <w:rsid w:val="00F87497"/>
    <w:rsid w:val="00F876BD"/>
    <w:rsid w:val="00F879A2"/>
    <w:rsid w:val="00F87ACB"/>
    <w:rsid w:val="00F87ADC"/>
    <w:rsid w:val="00F87CF7"/>
    <w:rsid w:val="00F90497"/>
    <w:rsid w:val="00F90DD2"/>
    <w:rsid w:val="00F90EB4"/>
    <w:rsid w:val="00F91389"/>
    <w:rsid w:val="00F9139E"/>
    <w:rsid w:val="00F914DC"/>
    <w:rsid w:val="00F91668"/>
    <w:rsid w:val="00F91F49"/>
    <w:rsid w:val="00F92074"/>
    <w:rsid w:val="00F9288A"/>
    <w:rsid w:val="00F928B9"/>
    <w:rsid w:val="00F9351B"/>
    <w:rsid w:val="00F938E9"/>
    <w:rsid w:val="00F93AD2"/>
    <w:rsid w:val="00F93B05"/>
    <w:rsid w:val="00F93E3A"/>
    <w:rsid w:val="00F9453C"/>
    <w:rsid w:val="00F94B62"/>
    <w:rsid w:val="00F9517F"/>
    <w:rsid w:val="00F95702"/>
    <w:rsid w:val="00F9576E"/>
    <w:rsid w:val="00F95BE1"/>
    <w:rsid w:val="00F95CB3"/>
    <w:rsid w:val="00F9603D"/>
    <w:rsid w:val="00F96646"/>
    <w:rsid w:val="00F969D1"/>
    <w:rsid w:val="00F96A2F"/>
    <w:rsid w:val="00F96B58"/>
    <w:rsid w:val="00F96B7D"/>
    <w:rsid w:val="00F96BD6"/>
    <w:rsid w:val="00F96D06"/>
    <w:rsid w:val="00F9711A"/>
    <w:rsid w:val="00F976CC"/>
    <w:rsid w:val="00F97ABD"/>
    <w:rsid w:val="00F97BAA"/>
    <w:rsid w:val="00F97BBC"/>
    <w:rsid w:val="00F97E1E"/>
    <w:rsid w:val="00FA012C"/>
    <w:rsid w:val="00FA0491"/>
    <w:rsid w:val="00FA049C"/>
    <w:rsid w:val="00FA0819"/>
    <w:rsid w:val="00FA0841"/>
    <w:rsid w:val="00FA099F"/>
    <w:rsid w:val="00FA09D8"/>
    <w:rsid w:val="00FA0D76"/>
    <w:rsid w:val="00FA0F6B"/>
    <w:rsid w:val="00FA0F9C"/>
    <w:rsid w:val="00FA11A5"/>
    <w:rsid w:val="00FA18FA"/>
    <w:rsid w:val="00FA23BE"/>
    <w:rsid w:val="00FA2518"/>
    <w:rsid w:val="00FA2A05"/>
    <w:rsid w:val="00FA2ECD"/>
    <w:rsid w:val="00FA306A"/>
    <w:rsid w:val="00FA323A"/>
    <w:rsid w:val="00FA3317"/>
    <w:rsid w:val="00FA338A"/>
    <w:rsid w:val="00FA39AC"/>
    <w:rsid w:val="00FA3CEE"/>
    <w:rsid w:val="00FA3EAE"/>
    <w:rsid w:val="00FA419C"/>
    <w:rsid w:val="00FA4473"/>
    <w:rsid w:val="00FA44CD"/>
    <w:rsid w:val="00FA4B9D"/>
    <w:rsid w:val="00FA53E4"/>
    <w:rsid w:val="00FA567A"/>
    <w:rsid w:val="00FA58E2"/>
    <w:rsid w:val="00FA5EB3"/>
    <w:rsid w:val="00FA6167"/>
    <w:rsid w:val="00FA6576"/>
    <w:rsid w:val="00FA682A"/>
    <w:rsid w:val="00FA6B11"/>
    <w:rsid w:val="00FA6E0D"/>
    <w:rsid w:val="00FA7103"/>
    <w:rsid w:val="00FA77D9"/>
    <w:rsid w:val="00FA7855"/>
    <w:rsid w:val="00FA798A"/>
    <w:rsid w:val="00FA7BC3"/>
    <w:rsid w:val="00FB0090"/>
    <w:rsid w:val="00FB02EE"/>
    <w:rsid w:val="00FB176A"/>
    <w:rsid w:val="00FB1A07"/>
    <w:rsid w:val="00FB2212"/>
    <w:rsid w:val="00FB222B"/>
    <w:rsid w:val="00FB2930"/>
    <w:rsid w:val="00FB2B09"/>
    <w:rsid w:val="00FB2EB2"/>
    <w:rsid w:val="00FB315B"/>
    <w:rsid w:val="00FB33BD"/>
    <w:rsid w:val="00FB34EE"/>
    <w:rsid w:val="00FB3B8F"/>
    <w:rsid w:val="00FB3D60"/>
    <w:rsid w:val="00FB405B"/>
    <w:rsid w:val="00FB426E"/>
    <w:rsid w:val="00FB44FF"/>
    <w:rsid w:val="00FB49FC"/>
    <w:rsid w:val="00FB4C5F"/>
    <w:rsid w:val="00FB5180"/>
    <w:rsid w:val="00FB542A"/>
    <w:rsid w:val="00FB5D8C"/>
    <w:rsid w:val="00FB5D9C"/>
    <w:rsid w:val="00FB602F"/>
    <w:rsid w:val="00FB6386"/>
    <w:rsid w:val="00FB6780"/>
    <w:rsid w:val="00FB6D1A"/>
    <w:rsid w:val="00FB6F54"/>
    <w:rsid w:val="00FB704D"/>
    <w:rsid w:val="00FB7086"/>
    <w:rsid w:val="00FB714C"/>
    <w:rsid w:val="00FB7153"/>
    <w:rsid w:val="00FB7806"/>
    <w:rsid w:val="00FB7898"/>
    <w:rsid w:val="00FB7AA0"/>
    <w:rsid w:val="00FB7F7A"/>
    <w:rsid w:val="00FC063B"/>
    <w:rsid w:val="00FC0EE2"/>
    <w:rsid w:val="00FC1BB4"/>
    <w:rsid w:val="00FC1D4B"/>
    <w:rsid w:val="00FC21A6"/>
    <w:rsid w:val="00FC21D2"/>
    <w:rsid w:val="00FC2585"/>
    <w:rsid w:val="00FC2856"/>
    <w:rsid w:val="00FC294F"/>
    <w:rsid w:val="00FC2A1B"/>
    <w:rsid w:val="00FC2B75"/>
    <w:rsid w:val="00FC312D"/>
    <w:rsid w:val="00FC3206"/>
    <w:rsid w:val="00FC379B"/>
    <w:rsid w:val="00FC4206"/>
    <w:rsid w:val="00FC4312"/>
    <w:rsid w:val="00FC48AB"/>
    <w:rsid w:val="00FC4F7D"/>
    <w:rsid w:val="00FC5455"/>
    <w:rsid w:val="00FC5636"/>
    <w:rsid w:val="00FC5871"/>
    <w:rsid w:val="00FC58C7"/>
    <w:rsid w:val="00FC5C7F"/>
    <w:rsid w:val="00FC628D"/>
    <w:rsid w:val="00FC62F3"/>
    <w:rsid w:val="00FC68BA"/>
    <w:rsid w:val="00FC6BBA"/>
    <w:rsid w:val="00FC6D1A"/>
    <w:rsid w:val="00FC7071"/>
    <w:rsid w:val="00FC70BC"/>
    <w:rsid w:val="00FC7344"/>
    <w:rsid w:val="00FC7471"/>
    <w:rsid w:val="00FC75D3"/>
    <w:rsid w:val="00FC75F1"/>
    <w:rsid w:val="00FC780B"/>
    <w:rsid w:val="00FC7966"/>
    <w:rsid w:val="00FC79CC"/>
    <w:rsid w:val="00FC7AF0"/>
    <w:rsid w:val="00FD02B0"/>
    <w:rsid w:val="00FD034F"/>
    <w:rsid w:val="00FD0A36"/>
    <w:rsid w:val="00FD1023"/>
    <w:rsid w:val="00FD109B"/>
    <w:rsid w:val="00FD122C"/>
    <w:rsid w:val="00FD1574"/>
    <w:rsid w:val="00FD1769"/>
    <w:rsid w:val="00FD192F"/>
    <w:rsid w:val="00FD1B53"/>
    <w:rsid w:val="00FD1C87"/>
    <w:rsid w:val="00FD1E46"/>
    <w:rsid w:val="00FD1F80"/>
    <w:rsid w:val="00FD241C"/>
    <w:rsid w:val="00FD2BBC"/>
    <w:rsid w:val="00FD2BEE"/>
    <w:rsid w:val="00FD2DBD"/>
    <w:rsid w:val="00FD31A9"/>
    <w:rsid w:val="00FD3817"/>
    <w:rsid w:val="00FD394D"/>
    <w:rsid w:val="00FD3C0E"/>
    <w:rsid w:val="00FD4619"/>
    <w:rsid w:val="00FD464C"/>
    <w:rsid w:val="00FD4907"/>
    <w:rsid w:val="00FD58B3"/>
    <w:rsid w:val="00FD5A75"/>
    <w:rsid w:val="00FD5D9C"/>
    <w:rsid w:val="00FD5E97"/>
    <w:rsid w:val="00FD616D"/>
    <w:rsid w:val="00FD6363"/>
    <w:rsid w:val="00FD6941"/>
    <w:rsid w:val="00FD6AB3"/>
    <w:rsid w:val="00FD6DD0"/>
    <w:rsid w:val="00FD6E2F"/>
    <w:rsid w:val="00FD6F66"/>
    <w:rsid w:val="00FD7231"/>
    <w:rsid w:val="00FD72A4"/>
    <w:rsid w:val="00FD7886"/>
    <w:rsid w:val="00FD78BD"/>
    <w:rsid w:val="00FD7D86"/>
    <w:rsid w:val="00FE00AB"/>
    <w:rsid w:val="00FE0685"/>
    <w:rsid w:val="00FE0CB3"/>
    <w:rsid w:val="00FE0D60"/>
    <w:rsid w:val="00FE12B8"/>
    <w:rsid w:val="00FE14DD"/>
    <w:rsid w:val="00FE1BA4"/>
    <w:rsid w:val="00FE1BB2"/>
    <w:rsid w:val="00FE2180"/>
    <w:rsid w:val="00FE2914"/>
    <w:rsid w:val="00FE2A1B"/>
    <w:rsid w:val="00FE2CDB"/>
    <w:rsid w:val="00FE32D1"/>
    <w:rsid w:val="00FE3ADB"/>
    <w:rsid w:val="00FE3D52"/>
    <w:rsid w:val="00FE3D73"/>
    <w:rsid w:val="00FE3E2E"/>
    <w:rsid w:val="00FE3EEF"/>
    <w:rsid w:val="00FE40FC"/>
    <w:rsid w:val="00FE440C"/>
    <w:rsid w:val="00FE463F"/>
    <w:rsid w:val="00FE46B4"/>
    <w:rsid w:val="00FE4D54"/>
    <w:rsid w:val="00FE4E4B"/>
    <w:rsid w:val="00FE4F22"/>
    <w:rsid w:val="00FE4F2F"/>
    <w:rsid w:val="00FE50F7"/>
    <w:rsid w:val="00FE514F"/>
    <w:rsid w:val="00FE53EE"/>
    <w:rsid w:val="00FE581A"/>
    <w:rsid w:val="00FE5B16"/>
    <w:rsid w:val="00FE5CF6"/>
    <w:rsid w:val="00FE5D6A"/>
    <w:rsid w:val="00FE6062"/>
    <w:rsid w:val="00FE63B7"/>
    <w:rsid w:val="00FE68D5"/>
    <w:rsid w:val="00FE6B24"/>
    <w:rsid w:val="00FE6BC3"/>
    <w:rsid w:val="00FE6DEE"/>
    <w:rsid w:val="00FE72F6"/>
    <w:rsid w:val="00FE73E6"/>
    <w:rsid w:val="00FE788B"/>
    <w:rsid w:val="00FE7C2D"/>
    <w:rsid w:val="00FF0189"/>
    <w:rsid w:val="00FF01F8"/>
    <w:rsid w:val="00FF0ACD"/>
    <w:rsid w:val="00FF0AF6"/>
    <w:rsid w:val="00FF0BAC"/>
    <w:rsid w:val="00FF0BDF"/>
    <w:rsid w:val="00FF0CD9"/>
    <w:rsid w:val="00FF157D"/>
    <w:rsid w:val="00FF17D4"/>
    <w:rsid w:val="00FF18D5"/>
    <w:rsid w:val="00FF1E46"/>
    <w:rsid w:val="00FF230B"/>
    <w:rsid w:val="00FF2864"/>
    <w:rsid w:val="00FF2AE6"/>
    <w:rsid w:val="00FF3171"/>
    <w:rsid w:val="00FF3402"/>
    <w:rsid w:val="00FF3515"/>
    <w:rsid w:val="00FF38C5"/>
    <w:rsid w:val="00FF3DD0"/>
    <w:rsid w:val="00FF405C"/>
    <w:rsid w:val="00FF4979"/>
    <w:rsid w:val="00FF4A7F"/>
    <w:rsid w:val="00FF5558"/>
    <w:rsid w:val="00FF55AF"/>
    <w:rsid w:val="00FF6644"/>
    <w:rsid w:val="00FF679A"/>
    <w:rsid w:val="00FF6832"/>
    <w:rsid w:val="00FF6C17"/>
    <w:rsid w:val="00FF6F85"/>
    <w:rsid w:val="00FF7349"/>
    <w:rsid w:val="00FF73AE"/>
    <w:rsid w:val="00FF73FD"/>
    <w:rsid w:val="00FF7407"/>
    <w:rsid w:val="00FF756C"/>
    <w:rsid w:val="00FF7D00"/>
    <w:rsid w:val="00FF7EBB"/>
    <w:rsid w:val="013149C7"/>
    <w:rsid w:val="015D0D5E"/>
    <w:rsid w:val="01A11915"/>
    <w:rsid w:val="01A47FEF"/>
    <w:rsid w:val="01B04A18"/>
    <w:rsid w:val="01CB38CC"/>
    <w:rsid w:val="020B3CA3"/>
    <w:rsid w:val="024A4A94"/>
    <w:rsid w:val="02CD28A8"/>
    <w:rsid w:val="03211008"/>
    <w:rsid w:val="03406828"/>
    <w:rsid w:val="036F2398"/>
    <w:rsid w:val="03C11DB6"/>
    <w:rsid w:val="03E33071"/>
    <w:rsid w:val="04505274"/>
    <w:rsid w:val="046B001D"/>
    <w:rsid w:val="046B733B"/>
    <w:rsid w:val="04B94C4B"/>
    <w:rsid w:val="04CB466B"/>
    <w:rsid w:val="050E42F5"/>
    <w:rsid w:val="055A5C14"/>
    <w:rsid w:val="056052B0"/>
    <w:rsid w:val="05AF61CB"/>
    <w:rsid w:val="05EA2C39"/>
    <w:rsid w:val="06922F18"/>
    <w:rsid w:val="06A95617"/>
    <w:rsid w:val="06B95635"/>
    <w:rsid w:val="06CB091B"/>
    <w:rsid w:val="07277F9F"/>
    <w:rsid w:val="07B42FA8"/>
    <w:rsid w:val="07EA3B63"/>
    <w:rsid w:val="081318D1"/>
    <w:rsid w:val="08332927"/>
    <w:rsid w:val="083D6B44"/>
    <w:rsid w:val="08422A5C"/>
    <w:rsid w:val="08445B15"/>
    <w:rsid w:val="08771B00"/>
    <w:rsid w:val="08792089"/>
    <w:rsid w:val="08DC58DA"/>
    <w:rsid w:val="097C1257"/>
    <w:rsid w:val="09815806"/>
    <w:rsid w:val="0A7763D5"/>
    <w:rsid w:val="0B003E83"/>
    <w:rsid w:val="0B415F07"/>
    <w:rsid w:val="0B507DF5"/>
    <w:rsid w:val="0B5C1575"/>
    <w:rsid w:val="0B8A78EB"/>
    <w:rsid w:val="0BA13F3D"/>
    <w:rsid w:val="0BA81FC6"/>
    <w:rsid w:val="0BD55CB2"/>
    <w:rsid w:val="0C6E1D0B"/>
    <w:rsid w:val="0C6F0253"/>
    <w:rsid w:val="0D5B0650"/>
    <w:rsid w:val="0D7452A9"/>
    <w:rsid w:val="0D850355"/>
    <w:rsid w:val="0DCD2E38"/>
    <w:rsid w:val="0DF54F71"/>
    <w:rsid w:val="0E8B34BF"/>
    <w:rsid w:val="0EA67A84"/>
    <w:rsid w:val="0EB00737"/>
    <w:rsid w:val="0EC013D7"/>
    <w:rsid w:val="0FD5012A"/>
    <w:rsid w:val="0FE06513"/>
    <w:rsid w:val="0FE443F8"/>
    <w:rsid w:val="0FE61C77"/>
    <w:rsid w:val="10360C45"/>
    <w:rsid w:val="10687230"/>
    <w:rsid w:val="110D333D"/>
    <w:rsid w:val="11140447"/>
    <w:rsid w:val="11BF1446"/>
    <w:rsid w:val="11D230A2"/>
    <w:rsid w:val="120D322B"/>
    <w:rsid w:val="122D3EAF"/>
    <w:rsid w:val="122F22A3"/>
    <w:rsid w:val="126533BB"/>
    <w:rsid w:val="126B2BAF"/>
    <w:rsid w:val="127A1044"/>
    <w:rsid w:val="12F63DBA"/>
    <w:rsid w:val="13326782"/>
    <w:rsid w:val="137750CF"/>
    <w:rsid w:val="13FD150A"/>
    <w:rsid w:val="14A168E7"/>
    <w:rsid w:val="14D306E1"/>
    <w:rsid w:val="158B2F10"/>
    <w:rsid w:val="159863B1"/>
    <w:rsid w:val="15A5514E"/>
    <w:rsid w:val="160543AE"/>
    <w:rsid w:val="16147BCE"/>
    <w:rsid w:val="167A650C"/>
    <w:rsid w:val="168C1346"/>
    <w:rsid w:val="16F72CB9"/>
    <w:rsid w:val="17162E52"/>
    <w:rsid w:val="17245FF7"/>
    <w:rsid w:val="173B60B4"/>
    <w:rsid w:val="17874A7A"/>
    <w:rsid w:val="180A5720"/>
    <w:rsid w:val="181B0BD3"/>
    <w:rsid w:val="183B3024"/>
    <w:rsid w:val="184912C1"/>
    <w:rsid w:val="191607E0"/>
    <w:rsid w:val="196C4BF9"/>
    <w:rsid w:val="19983969"/>
    <w:rsid w:val="19B0666B"/>
    <w:rsid w:val="1A3851B5"/>
    <w:rsid w:val="1A3E0BF7"/>
    <w:rsid w:val="1A424B69"/>
    <w:rsid w:val="1A795265"/>
    <w:rsid w:val="1A8053A0"/>
    <w:rsid w:val="1AA01560"/>
    <w:rsid w:val="1AF61357"/>
    <w:rsid w:val="1AFF47DC"/>
    <w:rsid w:val="1AFF5FBD"/>
    <w:rsid w:val="1B235CD2"/>
    <w:rsid w:val="1B295AE3"/>
    <w:rsid w:val="1B3020AA"/>
    <w:rsid w:val="1BAC1D0D"/>
    <w:rsid w:val="1BD34104"/>
    <w:rsid w:val="1C43352F"/>
    <w:rsid w:val="1CA13DEA"/>
    <w:rsid w:val="1CD13A2C"/>
    <w:rsid w:val="1D247334"/>
    <w:rsid w:val="1D4961E3"/>
    <w:rsid w:val="1D527E13"/>
    <w:rsid w:val="1DC40CDF"/>
    <w:rsid w:val="1DD93306"/>
    <w:rsid w:val="1EA23499"/>
    <w:rsid w:val="1F4F2DD7"/>
    <w:rsid w:val="1FA45952"/>
    <w:rsid w:val="1FBB18F3"/>
    <w:rsid w:val="1FE95D57"/>
    <w:rsid w:val="207277FE"/>
    <w:rsid w:val="20763EBC"/>
    <w:rsid w:val="20B95D60"/>
    <w:rsid w:val="20D55637"/>
    <w:rsid w:val="21432395"/>
    <w:rsid w:val="219114E1"/>
    <w:rsid w:val="21DB7963"/>
    <w:rsid w:val="222608A0"/>
    <w:rsid w:val="22313065"/>
    <w:rsid w:val="22631838"/>
    <w:rsid w:val="226B344A"/>
    <w:rsid w:val="2270387C"/>
    <w:rsid w:val="23774B67"/>
    <w:rsid w:val="23B762EA"/>
    <w:rsid w:val="23BF71FF"/>
    <w:rsid w:val="23CB6E5A"/>
    <w:rsid w:val="23EE5399"/>
    <w:rsid w:val="24114926"/>
    <w:rsid w:val="2434206C"/>
    <w:rsid w:val="248D0C95"/>
    <w:rsid w:val="256F6369"/>
    <w:rsid w:val="25A81B02"/>
    <w:rsid w:val="25E80596"/>
    <w:rsid w:val="260D383B"/>
    <w:rsid w:val="263B17C8"/>
    <w:rsid w:val="263F121F"/>
    <w:rsid w:val="263F725B"/>
    <w:rsid w:val="26837DA9"/>
    <w:rsid w:val="26900C6F"/>
    <w:rsid w:val="269167D3"/>
    <w:rsid w:val="26AA56DA"/>
    <w:rsid w:val="26BB6249"/>
    <w:rsid w:val="26F40AA1"/>
    <w:rsid w:val="271218ED"/>
    <w:rsid w:val="275D2EE7"/>
    <w:rsid w:val="27624641"/>
    <w:rsid w:val="2774211E"/>
    <w:rsid w:val="27877040"/>
    <w:rsid w:val="279319CB"/>
    <w:rsid w:val="27D20207"/>
    <w:rsid w:val="281A3238"/>
    <w:rsid w:val="28431B9D"/>
    <w:rsid w:val="289C7B0E"/>
    <w:rsid w:val="28BF6E9C"/>
    <w:rsid w:val="28C23C1F"/>
    <w:rsid w:val="28E12AAF"/>
    <w:rsid w:val="291160AF"/>
    <w:rsid w:val="2952631D"/>
    <w:rsid w:val="299D52CE"/>
    <w:rsid w:val="29DC578D"/>
    <w:rsid w:val="2A380CAA"/>
    <w:rsid w:val="2A3C7759"/>
    <w:rsid w:val="2AAC5A84"/>
    <w:rsid w:val="2AEA21F7"/>
    <w:rsid w:val="2AFC04EE"/>
    <w:rsid w:val="2B1A3C63"/>
    <w:rsid w:val="2B543B05"/>
    <w:rsid w:val="2C2767C2"/>
    <w:rsid w:val="2C5030EA"/>
    <w:rsid w:val="2C6A28BE"/>
    <w:rsid w:val="2CA50B04"/>
    <w:rsid w:val="2D320275"/>
    <w:rsid w:val="2D405460"/>
    <w:rsid w:val="2DC8275F"/>
    <w:rsid w:val="2DC9097A"/>
    <w:rsid w:val="2DD1536A"/>
    <w:rsid w:val="2E25079E"/>
    <w:rsid w:val="2E4A1577"/>
    <w:rsid w:val="2E947837"/>
    <w:rsid w:val="2EE52159"/>
    <w:rsid w:val="2F191EB9"/>
    <w:rsid w:val="2F212621"/>
    <w:rsid w:val="2F7470EF"/>
    <w:rsid w:val="2FBA6AEB"/>
    <w:rsid w:val="30542084"/>
    <w:rsid w:val="30924F9F"/>
    <w:rsid w:val="311B691F"/>
    <w:rsid w:val="315B4DD0"/>
    <w:rsid w:val="315D39E2"/>
    <w:rsid w:val="31905D36"/>
    <w:rsid w:val="31D23BCD"/>
    <w:rsid w:val="32092529"/>
    <w:rsid w:val="32193BA3"/>
    <w:rsid w:val="324119F7"/>
    <w:rsid w:val="32C63F09"/>
    <w:rsid w:val="32C86D5E"/>
    <w:rsid w:val="334F3276"/>
    <w:rsid w:val="33536426"/>
    <w:rsid w:val="33B03C1D"/>
    <w:rsid w:val="34386D87"/>
    <w:rsid w:val="348F22D5"/>
    <w:rsid w:val="34A26AFE"/>
    <w:rsid w:val="34C0361D"/>
    <w:rsid w:val="35FC571E"/>
    <w:rsid w:val="36697F1B"/>
    <w:rsid w:val="36E324AE"/>
    <w:rsid w:val="372938E0"/>
    <w:rsid w:val="37294C63"/>
    <w:rsid w:val="37740108"/>
    <w:rsid w:val="3841558D"/>
    <w:rsid w:val="38693A61"/>
    <w:rsid w:val="38850A3B"/>
    <w:rsid w:val="389A5FC0"/>
    <w:rsid w:val="38A903F1"/>
    <w:rsid w:val="38AE553A"/>
    <w:rsid w:val="390A4620"/>
    <w:rsid w:val="39167469"/>
    <w:rsid w:val="39644D95"/>
    <w:rsid w:val="39B722C1"/>
    <w:rsid w:val="39D66ADF"/>
    <w:rsid w:val="3A1204A1"/>
    <w:rsid w:val="3A687753"/>
    <w:rsid w:val="3B0D670E"/>
    <w:rsid w:val="3B533ACA"/>
    <w:rsid w:val="3B7747C3"/>
    <w:rsid w:val="3BD936F1"/>
    <w:rsid w:val="3C065573"/>
    <w:rsid w:val="3C257F97"/>
    <w:rsid w:val="3C863134"/>
    <w:rsid w:val="3C8A4A61"/>
    <w:rsid w:val="3CB11983"/>
    <w:rsid w:val="3CEA5045"/>
    <w:rsid w:val="3D615DA0"/>
    <w:rsid w:val="3DCB6307"/>
    <w:rsid w:val="3E155875"/>
    <w:rsid w:val="3E25335D"/>
    <w:rsid w:val="3E62573F"/>
    <w:rsid w:val="3E7E7642"/>
    <w:rsid w:val="3F073682"/>
    <w:rsid w:val="3F4F0522"/>
    <w:rsid w:val="3F7F6471"/>
    <w:rsid w:val="3FAE3F57"/>
    <w:rsid w:val="3FDB10A4"/>
    <w:rsid w:val="3FF820C2"/>
    <w:rsid w:val="407E21C1"/>
    <w:rsid w:val="411C5F98"/>
    <w:rsid w:val="415831D0"/>
    <w:rsid w:val="416720C9"/>
    <w:rsid w:val="41C00D6E"/>
    <w:rsid w:val="41F636AF"/>
    <w:rsid w:val="41F723DF"/>
    <w:rsid w:val="426B20BE"/>
    <w:rsid w:val="43023801"/>
    <w:rsid w:val="435A7C23"/>
    <w:rsid w:val="43664B49"/>
    <w:rsid w:val="43E440AF"/>
    <w:rsid w:val="441E63FE"/>
    <w:rsid w:val="443B4F0B"/>
    <w:rsid w:val="443B538D"/>
    <w:rsid w:val="44B60C31"/>
    <w:rsid w:val="44CD1253"/>
    <w:rsid w:val="45423524"/>
    <w:rsid w:val="455A248C"/>
    <w:rsid w:val="45803914"/>
    <w:rsid w:val="45992680"/>
    <w:rsid w:val="45DA3B17"/>
    <w:rsid w:val="46B47EF3"/>
    <w:rsid w:val="46DA4082"/>
    <w:rsid w:val="46DC07F4"/>
    <w:rsid w:val="47742FA8"/>
    <w:rsid w:val="47D01EDF"/>
    <w:rsid w:val="47FB7F56"/>
    <w:rsid w:val="47FD1AB4"/>
    <w:rsid w:val="481046B3"/>
    <w:rsid w:val="487A30FB"/>
    <w:rsid w:val="48984F57"/>
    <w:rsid w:val="48D63CB6"/>
    <w:rsid w:val="48E757E7"/>
    <w:rsid w:val="49783BB7"/>
    <w:rsid w:val="498E7C43"/>
    <w:rsid w:val="49A5718B"/>
    <w:rsid w:val="49AD702E"/>
    <w:rsid w:val="49BF0950"/>
    <w:rsid w:val="4A166752"/>
    <w:rsid w:val="4A2C4CD5"/>
    <w:rsid w:val="4ABD0879"/>
    <w:rsid w:val="4ABF0484"/>
    <w:rsid w:val="4ACF57AD"/>
    <w:rsid w:val="4AED5CA3"/>
    <w:rsid w:val="4AF11239"/>
    <w:rsid w:val="4B96067F"/>
    <w:rsid w:val="4BB06A6C"/>
    <w:rsid w:val="4BC87EAB"/>
    <w:rsid w:val="4BDB5D47"/>
    <w:rsid w:val="4BFD69BF"/>
    <w:rsid w:val="4C18525B"/>
    <w:rsid w:val="4C467730"/>
    <w:rsid w:val="4C8A18A8"/>
    <w:rsid w:val="4CAE1A3B"/>
    <w:rsid w:val="4CC71D29"/>
    <w:rsid w:val="4D3C0FE2"/>
    <w:rsid w:val="4D477929"/>
    <w:rsid w:val="4D632B8B"/>
    <w:rsid w:val="4E032F1B"/>
    <w:rsid w:val="4E1B3EF5"/>
    <w:rsid w:val="4E2E4192"/>
    <w:rsid w:val="4E522680"/>
    <w:rsid w:val="4ED7041B"/>
    <w:rsid w:val="4EE97039"/>
    <w:rsid w:val="4F34032A"/>
    <w:rsid w:val="4F7D3AC1"/>
    <w:rsid w:val="4F90230C"/>
    <w:rsid w:val="4F952969"/>
    <w:rsid w:val="4FBE266A"/>
    <w:rsid w:val="50107715"/>
    <w:rsid w:val="506B4678"/>
    <w:rsid w:val="50875053"/>
    <w:rsid w:val="50907EAA"/>
    <w:rsid w:val="50E2038A"/>
    <w:rsid w:val="5126337F"/>
    <w:rsid w:val="51660B07"/>
    <w:rsid w:val="51785A61"/>
    <w:rsid w:val="526C7A17"/>
    <w:rsid w:val="528331A7"/>
    <w:rsid w:val="52B21504"/>
    <w:rsid w:val="52B83BB6"/>
    <w:rsid w:val="52B93957"/>
    <w:rsid w:val="5327041A"/>
    <w:rsid w:val="53316787"/>
    <w:rsid w:val="538E5A76"/>
    <w:rsid w:val="53C0197C"/>
    <w:rsid w:val="54481B69"/>
    <w:rsid w:val="545A561D"/>
    <w:rsid w:val="54DC5524"/>
    <w:rsid w:val="54F63F7F"/>
    <w:rsid w:val="55093596"/>
    <w:rsid w:val="552B79A2"/>
    <w:rsid w:val="553F0BBD"/>
    <w:rsid w:val="555228CD"/>
    <w:rsid w:val="55723810"/>
    <w:rsid w:val="55A25C04"/>
    <w:rsid w:val="55DE7A8C"/>
    <w:rsid w:val="56651F16"/>
    <w:rsid w:val="566609B6"/>
    <w:rsid w:val="56C60C38"/>
    <w:rsid w:val="56D17F31"/>
    <w:rsid w:val="56F16722"/>
    <w:rsid w:val="571C3E60"/>
    <w:rsid w:val="571C3F8B"/>
    <w:rsid w:val="57463B2D"/>
    <w:rsid w:val="5764572A"/>
    <w:rsid w:val="578D15B1"/>
    <w:rsid w:val="587307F1"/>
    <w:rsid w:val="58B77EC9"/>
    <w:rsid w:val="591744C8"/>
    <w:rsid w:val="5967353F"/>
    <w:rsid w:val="5A17633D"/>
    <w:rsid w:val="5A9E0C11"/>
    <w:rsid w:val="5AA5252E"/>
    <w:rsid w:val="5AB77BF0"/>
    <w:rsid w:val="5ACD5105"/>
    <w:rsid w:val="5B0726B0"/>
    <w:rsid w:val="5B952D8A"/>
    <w:rsid w:val="5B9D47CB"/>
    <w:rsid w:val="5BB01C5D"/>
    <w:rsid w:val="5BD350DE"/>
    <w:rsid w:val="5C176000"/>
    <w:rsid w:val="5C300383"/>
    <w:rsid w:val="5C9E5A5F"/>
    <w:rsid w:val="5CBF7B1D"/>
    <w:rsid w:val="5D8331B0"/>
    <w:rsid w:val="5E1E62F4"/>
    <w:rsid w:val="5E9E40C6"/>
    <w:rsid w:val="5EE01054"/>
    <w:rsid w:val="5EFE7A06"/>
    <w:rsid w:val="5F2D68F1"/>
    <w:rsid w:val="5F3113CB"/>
    <w:rsid w:val="5F3E79F1"/>
    <w:rsid w:val="5F925F26"/>
    <w:rsid w:val="60107EBF"/>
    <w:rsid w:val="6029080B"/>
    <w:rsid w:val="607173CF"/>
    <w:rsid w:val="60727327"/>
    <w:rsid w:val="60EF4080"/>
    <w:rsid w:val="61181721"/>
    <w:rsid w:val="619D4A7D"/>
    <w:rsid w:val="61A118BC"/>
    <w:rsid w:val="62084158"/>
    <w:rsid w:val="62193AFD"/>
    <w:rsid w:val="628F1358"/>
    <w:rsid w:val="62A33F6D"/>
    <w:rsid w:val="62DA3793"/>
    <w:rsid w:val="62EE4A47"/>
    <w:rsid w:val="631B15B3"/>
    <w:rsid w:val="63263F17"/>
    <w:rsid w:val="63283EA3"/>
    <w:rsid w:val="63421250"/>
    <w:rsid w:val="63635F95"/>
    <w:rsid w:val="63671C44"/>
    <w:rsid w:val="63B34DBC"/>
    <w:rsid w:val="63F5164E"/>
    <w:rsid w:val="640200A2"/>
    <w:rsid w:val="640F6B81"/>
    <w:rsid w:val="64215A9E"/>
    <w:rsid w:val="642B6496"/>
    <w:rsid w:val="643651D7"/>
    <w:rsid w:val="6442094D"/>
    <w:rsid w:val="64DA7B85"/>
    <w:rsid w:val="654B7656"/>
    <w:rsid w:val="655853F4"/>
    <w:rsid w:val="65730465"/>
    <w:rsid w:val="661A1A97"/>
    <w:rsid w:val="662326FA"/>
    <w:rsid w:val="66A90772"/>
    <w:rsid w:val="66D22236"/>
    <w:rsid w:val="66E777E3"/>
    <w:rsid w:val="67204FE0"/>
    <w:rsid w:val="676C7394"/>
    <w:rsid w:val="67ED3C2E"/>
    <w:rsid w:val="68630664"/>
    <w:rsid w:val="686A3C27"/>
    <w:rsid w:val="688B4586"/>
    <w:rsid w:val="68C72DF3"/>
    <w:rsid w:val="68CE14B1"/>
    <w:rsid w:val="68FD72C6"/>
    <w:rsid w:val="694B7676"/>
    <w:rsid w:val="6951757E"/>
    <w:rsid w:val="69BD076A"/>
    <w:rsid w:val="69F94935"/>
    <w:rsid w:val="6ADB2042"/>
    <w:rsid w:val="6B4C52BB"/>
    <w:rsid w:val="6B5B34AA"/>
    <w:rsid w:val="6B9F4D9C"/>
    <w:rsid w:val="6BE729D2"/>
    <w:rsid w:val="6BEC2ACD"/>
    <w:rsid w:val="6BFD1C3F"/>
    <w:rsid w:val="6C152D75"/>
    <w:rsid w:val="6C206B4C"/>
    <w:rsid w:val="6D290774"/>
    <w:rsid w:val="6D550419"/>
    <w:rsid w:val="6DD21C3A"/>
    <w:rsid w:val="6E8D3BF9"/>
    <w:rsid w:val="6ED36FE9"/>
    <w:rsid w:val="6EF20C25"/>
    <w:rsid w:val="6F296AE3"/>
    <w:rsid w:val="6F5327AE"/>
    <w:rsid w:val="6F5E47A3"/>
    <w:rsid w:val="6F965601"/>
    <w:rsid w:val="6FB865A9"/>
    <w:rsid w:val="6FD111A8"/>
    <w:rsid w:val="6FD203A3"/>
    <w:rsid w:val="6FDF386E"/>
    <w:rsid w:val="70364E3F"/>
    <w:rsid w:val="70750FEE"/>
    <w:rsid w:val="708232E0"/>
    <w:rsid w:val="70900B4D"/>
    <w:rsid w:val="71377096"/>
    <w:rsid w:val="71840FF8"/>
    <w:rsid w:val="72403DB6"/>
    <w:rsid w:val="72A37B04"/>
    <w:rsid w:val="72BF0C55"/>
    <w:rsid w:val="72CD7EDE"/>
    <w:rsid w:val="72EF0ED3"/>
    <w:rsid w:val="7307375F"/>
    <w:rsid w:val="73231700"/>
    <w:rsid w:val="733F1FAE"/>
    <w:rsid w:val="734B2115"/>
    <w:rsid w:val="73A617E5"/>
    <w:rsid w:val="73C209E7"/>
    <w:rsid w:val="74042666"/>
    <w:rsid w:val="74A105D2"/>
    <w:rsid w:val="74DC3928"/>
    <w:rsid w:val="74E44DEB"/>
    <w:rsid w:val="75156511"/>
    <w:rsid w:val="751D27B3"/>
    <w:rsid w:val="75451758"/>
    <w:rsid w:val="762C0527"/>
    <w:rsid w:val="76B37651"/>
    <w:rsid w:val="76D24009"/>
    <w:rsid w:val="76FA2797"/>
    <w:rsid w:val="7766190D"/>
    <w:rsid w:val="778D19E4"/>
    <w:rsid w:val="77A10BC2"/>
    <w:rsid w:val="77BD2282"/>
    <w:rsid w:val="781151B9"/>
    <w:rsid w:val="78E21FA1"/>
    <w:rsid w:val="78EE5F51"/>
    <w:rsid w:val="78F65A4C"/>
    <w:rsid w:val="79202621"/>
    <w:rsid w:val="79482B43"/>
    <w:rsid w:val="798058E5"/>
    <w:rsid w:val="79873E46"/>
    <w:rsid w:val="799637BE"/>
    <w:rsid w:val="79B4611B"/>
    <w:rsid w:val="7A5B78CC"/>
    <w:rsid w:val="7AB26C91"/>
    <w:rsid w:val="7ABA732A"/>
    <w:rsid w:val="7ACF6AF5"/>
    <w:rsid w:val="7B0A49A4"/>
    <w:rsid w:val="7B1476A8"/>
    <w:rsid w:val="7B446F42"/>
    <w:rsid w:val="7B4C5D71"/>
    <w:rsid w:val="7C1D7FBF"/>
    <w:rsid w:val="7C526F1E"/>
    <w:rsid w:val="7CD24A22"/>
    <w:rsid w:val="7D2C4DBD"/>
    <w:rsid w:val="7E186EBE"/>
    <w:rsid w:val="7EB82B86"/>
    <w:rsid w:val="7F0306AB"/>
    <w:rsid w:val="7F750F2D"/>
    <w:rsid w:val="7F77597E"/>
    <w:rsid w:val="7F8E4C30"/>
    <w:rsid w:val="7F9B10FB"/>
    <w:rsid w:val="7FFF3D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0" w:semiHidden="0" w:name="endnote reference"/>
    <w:lsdException w:qFormat="1" w:unhideWhenUsed="0" w:uiPriority="0" w:semiHidden="0" w:name="endnote text"/>
    <w:lsdException w:uiPriority="99" w:name="table of authorities"/>
    <w:lsdException w:uiPriority="99" w:name="macro"/>
    <w:lsdException w:qFormat="1" w:uiPriority="99"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qFormat="1" w:unhideWhenUsed="0" w:uiPriority="0" w:semiHidden="0"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6"/>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7"/>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78"/>
    <w:qFormat/>
    <w:uiPriority w:val="9"/>
    <w:pPr>
      <w:tabs>
        <w:tab w:val="left" w:pos="315"/>
      </w:tabs>
      <w:spacing w:before="120" w:after="120"/>
      <w:outlineLvl w:val="3"/>
    </w:pPr>
    <w:rPr>
      <w:rFonts w:ascii="Cambria" w:hAnsi="Cambria" w:eastAsia="黑体"/>
      <w:bCs/>
      <w:sz w:val="24"/>
      <w:szCs w:val="28"/>
    </w:rPr>
  </w:style>
  <w:style w:type="paragraph" w:styleId="6">
    <w:name w:val="heading 5"/>
    <w:basedOn w:val="1"/>
    <w:next w:val="1"/>
    <w:link w:val="79"/>
    <w:qFormat/>
    <w:uiPriority w:val="9"/>
    <w:pPr>
      <w:tabs>
        <w:tab w:val="left" w:pos="420"/>
      </w:tabs>
      <w:spacing w:beforeLines="50" w:afterLines="50"/>
      <w:outlineLvl w:val="4"/>
    </w:pPr>
    <w:rPr>
      <w:bCs/>
      <w:szCs w:val="28"/>
    </w:rPr>
  </w:style>
  <w:style w:type="paragraph" w:styleId="7">
    <w:name w:val="heading 6"/>
    <w:basedOn w:val="1"/>
    <w:next w:val="1"/>
    <w:link w:val="80"/>
    <w:qFormat/>
    <w:uiPriority w:val="9"/>
    <w:pPr>
      <w:tabs>
        <w:tab w:val="left" w:pos="945"/>
      </w:tabs>
      <w:outlineLvl w:val="5"/>
    </w:pPr>
    <w:rPr>
      <w:rFonts w:ascii="Cambria" w:hAnsi="Cambria"/>
      <w:bCs/>
      <w:szCs w:val="24"/>
    </w:rPr>
  </w:style>
  <w:style w:type="paragraph" w:styleId="8">
    <w:name w:val="heading 7"/>
    <w:basedOn w:val="1"/>
    <w:next w:val="1"/>
    <w:link w:val="250"/>
    <w:qFormat/>
    <w:uiPriority w:val="0"/>
    <w:pPr>
      <w:keepNext/>
      <w:keepLines/>
      <w:widowControl/>
      <w:tabs>
        <w:tab w:val="left" w:pos="2520"/>
      </w:tabs>
      <w:spacing w:before="240" w:after="64" w:line="320" w:lineRule="auto"/>
      <w:ind w:left="1296" w:hanging="1296"/>
      <w:jc w:val="center"/>
      <w:outlineLvl w:val="6"/>
    </w:pPr>
    <w:rPr>
      <w:rFonts w:ascii="Times New Roman" w:hAnsi="Times New Roman"/>
      <w:bCs/>
      <w:kern w:val="0"/>
      <w:sz w:val="24"/>
      <w:szCs w:val="24"/>
    </w:rPr>
  </w:style>
  <w:style w:type="paragraph" w:styleId="9">
    <w:name w:val="heading 8"/>
    <w:basedOn w:val="1"/>
    <w:next w:val="1"/>
    <w:link w:val="251"/>
    <w:qFormat/>
    <w:uiPriority w:val="0"/>
    <w:pPr>
      <w:keepNext/>
      <w:keepLines/>
      <w:widowControl/>
      <w:tabs>
        <w:tab w:val="left" w:pos="1440"/>
      </w:tabs>
      <w:spacing w:before="240" w:after="64" w:line="320" w:lineRule="auto"/>
      <w:ind w:left="1440" w:hanging="1440"/>
      <w:jc w:val="center"/>
      <w:outlineLvl w:val="7"/>
    </w:pPr>
    <w:rPr>
      <w:rFonts w:ascii="Arial" w:hAnsi="Arial" w:eastAsia="黑体"/>
      <w:b/>
      <w:kern w:val="0"/>
      <w:sz w:val="24"/>
      <w:szCs w:val="24"/>
    </w:rPr>
  </w:style>
  <w:style w:type="paragraph" w:styleId="10">
    <w:name w:val="heading 9"/>
    <w:basedOn w:val="1"/>
    <w:next w:val="1"/>
    <w:link w:val="252"/>
    <w:qFormat/>
    <w:uiPriority w:val="0"/>
    <w:pPr>
      <w:keepNext/>
      <w:keepLines/>
      <w:widowControl/>
      <w:tabs>
        <w:tab w:val="left" w:pos="1584"/>
      </w:tabs>
      <w:spacing w:before="240" w:after="64" w:line="320" w:lineRule="auto"/>
      <w:ind w:left="1584" w:hanging="1584"/>
      <w:jc w:val="center"/>
      <w:outlineLvl w:val="8"/>
    </w:pPr>
    <w:rPr>
      <w:rFonts w:ascii="Arial" w:hAnsi="Arial" w:eastAsia="黑体"/>
      <w:b/>
      <w:kern w:val="0"/>
      <w:szCs w:val="21"/>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szCs w:val="24"/>
    </w:rPr>
  </w:style>
  <w:style w:type="paragraph" w:styleId="12">
    <w:name w:val="toc 7"/>
    <w:basedOn w:val="1"/>
    <w:next w:val="1"/>
    <w:unhideWhenUsed/>
    <w:qFormat/>
    <w:uiPriority w:val="39"/>
    <w:pPr>
      <w:ind w:left="1050"/>
      <w:jc w:val="left"/>
    </w:pPr>
    <w:rPr>
      <w:rFonts w:asciiTheme="minorHAnsi" w:eastAsiaTheme="minorHAnsi"/>
      <w:sz w:val="20"/>
      <w:szCs w:val="20"/>
    </w:rPr>
  </w:style>
  <w:style w:type="paragraph" w:styleId="13">
    <w:name w:val="Normal Indent"/>
    <w:basedOn w:val="1"/>
    <w:qFormat/>
    <w:uiPriority w:val="0"/>
    <w:pPr>
      <w:widowControl/>
      <w:ind w:firstLine="420" w:firstLineChars="200"/>
      <w:jc w:val="center"/>
    </w:pPr>
    <w:rPr>
      <w:rFonts w:ascii="Times New Roman" w:hAnsi="Times New Roman"/>
      <w:b/>
      <w:kern w:val="0"/>
      <w:sz w:val="44"/>
      <w:szCs w:val="20"/>
    </w:r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263"/>
    <w:qFormat/>
    <w:uiPriority w:val="0"/>
    <w:pPr>
      <w:shd w:val="clear" w:color="auto" w:fill="000080"/>
    </w:pPr>
  </w:style>
  <w:style w:type="paragraph" w:styleId="16">
    <w:name w:val="toa heading"/>
    <w:basedOn w:val="1"/>
    <w:next w:val="1"/>
    <w:unhideWhenUsed/>
    <w:qFormat/>
    <w:uiPriority w:val="99"/>
    <w:pPr>
      <w:spacing w:before="120"/>
    </w:pPr>
    <w:rPr>
      <w:rFonts w:ascii="Cambria" w:hAnsi="Cambria"/>
      <w:sz w:val="24"/>
      <w:szCs w:val="24"/>
    </w:rPr>
  </w:style>
  <w:style w:type="paragraph" w:styleId="17">
    <w:name w:val="annotation text"/>
    <w:basedOn w:val="1"/>
    <w:link w:val="255"/>
    <w:qFormat/>
    <w:uiPriority w:val="0"/>
    <w:pPr>
      <w:jc w:val="left"/>
    </w:pPr>
  </w:style>
  <w:style w:type="paragraph" w:styleId="18">
    <w:name w:val="Body Text 3"/>
    <w:basedOn w:val="1"/>
    <w:link w:val="246"/>
    <w:qFormat/>
    <w:uiPriority w:val="0"/>
    <w:rPr>
      <w:rFonts w:ascii="宋体" w:hAnsi="Times New Roman"/>
      <w:sz w:val="24"/>
      <w:szCs w:val="20"/>
    </w:rPr>
  </w:style>
  <w:style w:type="paragraph" w:styleId="19">
    <w:name w:val="Body Text"/>
    <w:basedOn w:val="1"/>
    <w:link w:val="81"/>
    <w:qFormat/>
    <w:uiPriority w:val="0"/>
    <w:rPr>
      <w:rFonts w:ascii="Times New Roman" w:hAnsi="Times New Roman"/>
      <w:sz w:val="28"/>
      <w:szCs w:val="24"/>
    </w:rPr>
  </w:style>
  <w:style w:type="paragraph" w:styleId="20">
    <w:name w:val="Body Text Indent"/>
    <w:basedOn w:val="1"/>
    <w:link w:val="247"/>
    <w:qFormat/>
    <w:uiPriority w:val="0"/>
    <w:pPr>
      <w:ind w:firstLine="1120" w:firstLineChars="400"/>
    </w:pPr>
    <w:rPr>
      <w:rFonts w:ascii="Times New Roman" w:hAnsi="Times New Roman"/>
      <w:sz w:val="28"/>
      <w:szCs w:val="24"/>
    </w:rPr>
  </w:style>
  <w:style w:type="paragraph" w:styleId="21">
    <w:name w:val="List 2"/>
    <w:basedOn w:val="1"/>
    <w:qFormat/>
    <w:uiPriority w:val="0"/>
    <w:pPr>
      <w:ind w:left="100" w:leftChars="200" w:hanging="200" w:hangingChars="200"/>
    </w:pPr>
    <w:rPr>
      <w:rFonts w:ascii="Times New Roman" w:hAnsi="Times New Roman"/>
      <w:szCs w:val="24"/>
    </w:rPr>
  </w:style>
  <w:style w:type="paragraph" w:styleId="22">
    <w:name w:val="List Continue"/>
    <w:basedOn w:val="1"/>
    <w:qFormat/>
    <w:uiPriority w:val="0"/>
    <w:pPr>
      <w:adjustRightInd w:val="0"/>
      <w:spacing w:after="120" w:line="312" w:lineRule="atLeast"/>
      <w:ind w:left="420"/>
      <w:textAlignment w:val="baseline"/>
    </w:pPr>
    <w:rPr>
      <w:rFonts w:ascii="Times New Roman" w:hAnsi="Times New Roman"/>
      <w:kern w:val="0"/>
      <w:szCs w:val="20"/>
    </w:rPr>
  </w:style>
  <w:style w:type="paragraph" w:styleId="23">
    <w:name w:val="index 4"/>
    <w:basedOn w:val="1"/>
    <w:next w:val="1"/>
    <w:unhideWhenUsed/>
    <w:qFormat/>
    <w:uiPriority w:val="0"/>
    <w:pPr>
      <w:ind w:left="600" w:leftChars="600"/>
    </w:pPr>
    <w:rPr>
      <w:rFonts w:ascii="Times New Roman" w:hAnsi="Times New Roman"/>
      <w:szCs w:val="24"/>
    </w:rPr>
  </w:style>
  <w:style w:type="paragraph" w:styleId="24">
    <w:name w:val="toc 5"/>
    <w:basedOn w:val="1"/>
    <w:next w:val="1"/>
    <w:unhideWhenUsed/>
    <w:qFormat/>
    <w:uiPriority w:val="39"/>
    <w:pPr>
      <w:ind w:left="630"/>
      <w:jc w:val="left"/>
    </w:pPr>
    <w:rPr>
      <w:rFonts w:asciiTheme="minorHAnsi" w:eastAsiaTheme="minorHAnsi"/>
      <w:sz w:val="20"/>
      <w:szCs w:val="20"/>
    </w:rPr>
  </w:style>
  <w:style w:type="paragraph" w:styleId="25">
    <w:name w:val="toc 3"/>
    <w:basedOn w:val="1"/>
    <w:next w:val="1"/>
    <w:unhideWhenUsed/>
    <w:qFormat/>
    <w:uiPriority w:val="39"/>
    <w:pPr>
      <w:ind w:left="210"/>
      <w:jc w:val="left"/>
    </w:pPr>
    <w:rPr>
      <w:rFonts w:asciiTheme="minorHAnsi" w:eastAsiaTheme="minorHAnsi"/>
      <w:sz w:val="20"/>
      <w:szCs w:val="20"/>
    </w:rPr>
  </w:style>
  <w:style w:type="paragraph" w:styleId="26">
    <w:name w:val="Plain Text"/>
    <w:basedOn w:val="1"/>
    <w:link w:val="83"/>
    <w:qFormat/>
    <w:uiPriority w:val="0"/>
    <w:rPr>
      <w:rFonts w:ascii="宋体" w:hAnsi="Courier New"/>
      <w:szCs w:val="21"/>
    </w:rPr>
  </w:style>
  <w:style w:type="paragraph" w:styleId="27">
    <w:name w:val="toc 8"/>
    <w:basedOn w:val="1"/>
    <w:next w:val="1"/>
    <w:unhideWhenUsed/>
    <w:qFormat/>
    <w:uiPriority w:val="39"/>
    <w:pPr>
      <w:ind w:left="1260"/>
      <w:jc w:val="left"/>
    </w:pPr>
    <w:rPr>
      <w:rFonts w:asciiTheme="minorHAnsi" w:eastAsiaTheme="minorHAnsi"/>
      <w:sz w:val="20"/>
      <w:szCs w:val="20"/>
    </w:rPr>
  </w:style>
  <w:style w:type="paragraph" w:styleId="28">
    <w:name w:val="Date"/>
    <w:basedOn w:val="1"/>
    <w:next w:val="1"/>
    <w:link w:val="253"/>
    <w:qFormat/>
    <w:uiPriority w:val="0"/>
    <w:pPr>
      <w:ind w:left="100" w:leftChars="2500"/>
    </w:pPr>
    <w:rPr>
      <w:rFonts w:ascii="Times New Roman" w:hAnsi="Times New Roman"/>
      <w:szCs w:val="24"/>
    </w:rPr>
  </w:style>
  <w:style w:type="paragraph" w:styleId="29">
    <w:name w:val="Body Text Indent 2"/>
    <w:basedOn w:val="1"/>
    <w:link w:val="264"/>
    <w:qFormat/>
    <w:uiPriority w:val="0"/>
    <w:pPr>
      <w:ind w:left="206" w:hanging="206" w:hangingChars="98"/>
    </w:pPr>
    <w:rPr>
      <w:rFonts w:ascii="Times New Roman" w:hAnsi="Times New Roman"/>
      <w:szCs w:val="24"/>
    </w:rPr>
  </w:style>
  <w:style w:type="paragraph" w:styleId="30">
    <w:name w:val="endnote text"/>
    <w:basedOn w:val="1"/>
    <w:link w:val="267"/>
    <w:qFormat/>
    <w:uiPriority w:val="0"/>
    <w:pPr>
      <w:snapToGrid w:val="0"/>
      <w:jc w:val="left"/>
    </w:pPr>
    <w:rPr>
      <w:rFonts w:ascii="Times New Roman" w:hAnsi="Times New Roman"/>
      <w:szCs w:val="24"/>
    </w:rPr>
  </w:style>
  <w:style w:type="paragraph" w:styleId="31">
    <w:name w:val="List Continue 5"/>
    <w:basedOn w:val="1"/>
    <w:qFormat/>
    <w:uiPriority w:val="0"/>
    <w:pPr>
      <w:adjustRightInd w:val="0"/>
      <w:spacing w:after="120" w:line="312" w:lineRule="atLeast"/>
      <w:ind w:left="2100"/>
      <w:textAlignment w:val="baseline"/>
    </w:pPr>
    <w:rPr>
      <w:rFonts w:ascii="Times New Roman" w:hAnsi="Times New Roman"/>
      <w:kern w:val="0"/>
      <w:szCs w:val="20"/>
    </w:rPr>
  </w:style>
  <w:style w:type="paragraph" w:styleId="32">
    <w:name w:val="Balloon Text"/>
    <w:basedOn w:val="1"/>
    <w:link w:val="84"/>
    <w:unhideWhenUsed/>
    <w:qFormat/>
    <w:uiPriority w:val="99"/>
    <w:rPr>
      <w:kern w:val="0"/>
      <w:sz w:val="18"/>
      <w:szCs w:val="18"/>
    </w:rPr>
  </w:style>
  <w:style w:type="paragraph" w:styleId="33">
    <w:name w:val="footer"/>
    <w:basedOn w:val="1"/>
    <w:link w:val="85"/>
    <w:unhideWhenUsed/>
    <w:qFormat/>
    <w:uiPriority w:val="99"/>
    <w:pPr>
      <w:tabs>
        <w:tab w:val="center" w:pos="4153"/>
        <w:tab w:val="right" w:pos="8306"/>
      </w:tabs>
      <w:snapToGrid w:val="0"/>
      <w:jc w:val="left"/>
    </w:pPr>
    <w:rPr>
      <w:kern w:val="0"/>
      <w:sz w:val="18"/>
      <w:szCs w:val="18"/>
    </w:rPr>
  </w:style>
  <w:style w:type="paragraph" w:styleId="34">
    <w:name w:val="header"/>
    <w:basedOn w:val="1"/>
    <w:link w:val="8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5">
    <w:name w:val="toc 1"/>
    <w:basedOn w:val="1"/>
    <w:next w:val="1"/>
    <w:unhideWhenUsed/>
    <w:qFormat/>
    <w:uiPriority w:val="39"/>
    <w:pPr>
      <w:spacing w:before="360"/>
      <w:jc w:val="left"/>
    </w:pPr>
    <w:rPr>
      <w:rFonts w:asciiTheme="majorHAnsi" w:eastAsiaTheme="majorHAnsi"/>
      <w:b/>
      <w:bCs/>
      <w:caps/>
      <w:sz w:val="24"/>
      <w:szCs w:val="24"/>
    </w:rPr>
  </w:style>
  <w:style w:type="paragraph" w:styleId="36">
    <w:name w:val="List Continue 4"/>
    <w:basedOn w:val="1"/>
    <w:qFormat/>
    <w:uiPriority w:val="0"/>
    <w:pPr>
      <w:adjustRightInd w:val="0"/>
      <w:spacing w:after="120" w:line="312" w:lineRule="atLeast"/>
      <w:ind w:left="1680"/>
      <w:textAlignment w:val="baseline"/>
    </w:pPr>
    <w:rPr>
      <w:rFonts w:ascii="Times New Roman" w:hAnsi="Times New Roman"/>
      <w:kern w:val="0"/>
      <w:szCs w:val="20"/>
    </w:rPr>
  </w:style>
  <w:style w:type="paragraph" w:styleId="37">
    <w:name w:val="toc 4"/>
    <w:basedOn w:val="1"/>
    <w:next w:val="1"/>
    <w:unhideWhenUsed/>
    <w:qFormat/>
    <w:uiPriority w:val="39"/>
    <w:pPr>
      <w:ind w:left="420"/>
      <w:jc w:val="left"/>
    </w:pPr>
    <w:rPr>
      <w:rFonts w:asciiTheme="minorHAnsi" w:eastAsiaTheme="minorHAnsi"/>
      <w:sz w:val="20"/>
      <w:szCs w:val="20"/>
    </w:rPr>
  </w:style>
  <w:style w:type="paragraph" w:styleId="38">
    <w:name w:val="Subtitle"/>
    <w:basedOn w:val="1"/>
    <w:next w:val="1"/>
    <w:link w:val="87"/>
    <w:qFormat/>
    <w:uiPriority w:val="11"/>
    <w:pPr>
      <w:spacing w:before="240" w:after="60" w:line="312" w:lineRule="auto"/>
      <w:jc w:val="center"/>
      <w:outlineLvl w:val="1"/>
    </w:pPr>
    <w:rPr>
      <w:rFonts w:ascii="Cambria" w:hAnsi="Cambria"/>
      <w:b/>
      <w:bCs/>
      <w:kern w:val="28"/>
      <w:sz w:val="32"/>
      <w:szCs w:val="32"/>
    </w:rPr>
  </w:style>
  <w:style w:type="paragraph" w:styleId="39">
    <w:name w:val="List"/>
    <w:basedOn w:val="1"/>
    <w:qFormat/>
    <w:uiPriority w:val="0"/>
    <w:pPr>
      <w:ind w:left="200" w:hanging="200" w:hangingChars="200"/>
    </w:pPr>
    <w:rPr>
      <w:rFonts w:ascii="Times New Roman" w:hAnsi="Times New Roman"/>
      <w:szCs w:val="24"/>
    </w:rPr>
  </w:style>
  <w:style w:type="paragraph" w:styleId="40">
    <w:name w:val="footnote text"/>
    <w:basedOn w:val="1"/>
    <w:link w:val="88"/>
    <w:unhideWhenUsed/>
    <w:qFormat/>
    <w:uiPriority w:val="0"/>
    <w:pPr>
      <w:snapToGrid w:val="0"/>
      <w:jc w:val="left"/>
    </w:pPr>
    <w:rPr>
      <w:kern w:val="0"/>
      <w:sz w:val="18"/>
      <w:szCs w:val="18"/>
    </w:rPr>
  </w:style>
  <w:style w:type="paragraph" w:styleId="41">
    <w:name w:val="toc 6"/>
    <w:basedOn w:val="1"/>
    <w:next w:val="1"/>
    <w:unhideWhenUsed/>
    <w:qFormat/>
    <w:uiPriority w:val="39"/>
    <w:pPr>
      <w:ind w:left="840"/>
      <w:jc w:val="left"/>
    </w:pPr>
    <w:rPr>
      <w:rFonts w:asciiTheme="minorHAnsi" w:eastAsiaTheme="minorHAnsi"/>
      <w:sz w:val="20"/>
      <w:szCs w:val="20"/>
    </w:rPr>
  </w:style>
  <w:style w:type="paragraph" w:styleId="42">
    <w:name w:val="List 5"/>
    <w:basedOn w:val="1"/>
    <w:qFormat/>
    <w:uiPriority w:val="0"/>
    <w:pPr>
      <w:ind w:left="100" w:leftChars="800" w:hanging="200" w:hangingChars="200"/>
    </w:pPr>
    <w:rPr>
      <w:rFonts w:ascii="Times New Roman" w:hAnsi="Times New Roman"/>
      <w:szCs w:val="24"/>
    </w:rPr>
  </w:style>
  <w:style w:type="paragraph" w:styleId="43">
    <w:name w:val="Body Text Indent 3"/>
    <w:basedOn w:val="1"/>
    <w:link w:val="257"/>
    <w:qFormat/>
    <w:uiPriority w:val="0"/>
    <w:pPr>
      <w:spacing w:line="420" w:lineRule="exact"/>
      <w:ind w:firstLine="420" w:firstLineChars="200"/>
    </w:pPr>
    <w:rPr>
      <w:rFonts w:ascii="Times New Roman" w:hAnsi="Times New Roman"/>
      <w:szCs w:val="24"/>
    </w:rPr>
  </w:style>
  <w:style w:type="paragraph" w:styleId="44">
    <w:name w:val="toc 2"/>
    <w:basedOn w:val="1"/>
    <w:next w:val="1"/>
    <w:unhideWhenUsed/>
    <w:qFormat/>
    <w:uiPriority w:val="39"/>
    <w:pPr>
      <w:spacing w:before="240"/>
      <w:jc w:val="left"/>
    </w:pPr>
    <w:rPr>
      <w:rFonts w:asciiTheme="minorHAnsi" w:eastAsiaTheme="minorHAnsi"/>
      <w:b/>
      <w:bCs/>
      <w:sz w:val="20"/>
      <w:szCs w:val="20"/>
    </w:rPr>
  </w:style>
  <w:style w:type="paragraph" w:styleId="45">
    <w:name w:val="toc 9"/>
    <w:basedOn w:val="1"/>
    <w:next w:val="1"/>
    <w:unhideWhenUsed/>
    <w:qFormat/>
    <w:uiPriority w:val="39"/>
    <w:pPr>
      <w:ind w:left="1470"/>
      <w:jc w:val="left"/>
    </w:pPr>
    <w:rPr>
      <w:rFonts w:asciiTheme="minorHAnsi" w:eastAsiaTheme="minorHAnsi"/>
      <w:sz w:val="20"/>
      <w:szCs w:val="20"/>
    </w:rPr>
  </w:style>
  <w:style w:type="paragraph" w:styleId="46">
    <w:name w:val="Body Text 2"/>
    <w:basedOn w:val="1"/>
    <w:link w:val="265"/>
    <w:qFormat/>
    <w:uiPriority w:val="0"/>
    <w:pPr>
      <w:spacing w:after="120" w:line="480" w:lineRule="auto"/>
    </w:pPr>
    <w:rPr>
      <w:rFonts w:ascii="Times New Roman" w:hAnsi="Times New Roman"/>
      <w:szCs w:val="24"/>
    </w:rPr>
  </w:style>
  <w:style w:type="paragraph" w:styleId="47">
    <w:name w:val="List 4"/>
    <w:basedOn w:val="1"/>
    <w:qFormat/>
    <w:uiPriority w:val="0"/>
    <w:pPr>
      <w:adjustRightInd w:val="0"/>
      <w:spacing w:line="312" w:lineRule="atLeast"/>
      <w:ind w:left="1680" w:hanging="420"/>
      <w:textAlignment w:val="baseline"/>
    </w:pPr>
    <w:rPr>
      <w:rFonts w:ascii="Times New Roman" w:hAnsi="Times New Roman"/>
      <w:kern w:val="0"/>
      <w:szCs w:val="20"/>
    </w:rPr>
  </w:style>
  <w:style w:type="paragraph" w:styleId="48">
    <w:name w:val="List Continue 2"/>
    <w:basedOn w:val="1"/>
    <w:qFormat/>
    <w:uiPriority w:val="0"/>
    <w:pPr>
      <w:adjustRightInd w:val="0"/>
      <w:spacing w:after="120" w:line="312" w:lineRule="atLeast"/>
      <w:ind w:left="840"/>
      <w:textAlignment w:val="baseline"/>
    </w:pPr>
    <w:rPr>
      <w:rFonts w:ascii="Times New Roman" w:hAnsi="Times New Roman"/>
      <w:kern w:val="0"/>
      <w:szCs w:val="20"/>
    </w:rPr>
  </w:style>
  <w:style w:type="paragraph" w:styleId="49">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50">
    <w:name w:val="index 1"/>
    <w:basedOn w:val="1"/>
    <w:next w:val="1"/>
    <w:qFormat/>
    <w:uiPriority w:val="0"/>
    <w:rPr>
      <w:rFonts w:ascii="Times New Roman" w:hAnsi="Times New Roman"/>
      <w:szCs w:val="24"/>
    </w:rPr>
  </w:style>
  <w:style w:type="paragraph" w:styleId="51">
    <w:name w:val="Title"/>
    <w:basedOn w:val="1"/>
    <w:link w:val="256"/>
    <w:qFormat/>
    <w:uiPriority w:val="0"/>
    <w:pPr>
      <w:widowControl/>
      <w:spacing w:before="240" w:after="60"/>
      <w:jc w:val="center"/>
      <w:outlineLvl w:val="0"/>
    </w:pPr>
    <w:rPr>
      <w:rFonts w:ascii="Arial" w:hAnsi="Arial" w:cs="Arial"/>
      <w:b/>
      <w:bCs/>
      <w:kern w:val="0"/>
      <w:sz w:val="44"/>
      <w:szCs w:val="32"/>
    </w:rPr>
  </w:style>
  <w:style w:type="paragraph" w:styleId="52">
    <w:name w:val="annotation subject"/>
    <w:basedOn w:val="17"/>
    <w:next w:val="17"/>
    <w:link w:val="268"/>
    <w:qFormat/>
    <w:uiPriority w:val="0"/>
    <w:rPr>
      <w:b/>
      <w:bCs/>
    </w:rPr>
  </w:style>
  <w:style w:type="paragraph" w:styleId="53">
    <w:name w:val="Body Text First Indent"/>
    <w:basedOn w:val="19"/>
    <w:link w:val="82"/>
    <w:qFormat/>
    <w:uiPriority w:val="0"/>
    <w:pPr>
      <w:spacing w:after="120"/>
      <w:ind w:firstLine="420" w:firstLineChars="100"/>
    </w:pPr>
    <w:rPr>
      <w:sz w:val="21"/>
    </w:rPr>
  </w:style>
  <w:style w:type="paragraph" w:styleId="54">
    <w:name w:val="Body Text First Indent 2"/>
    <w:basedOn w:val="20"/>
    <w:link w:val="248"/>
    <w:qFormat/>
    <w:uiPriority w:val="0"/>
    <w:pPr>
      <w:adjustRightInd w:val="0"/>
      <w:spacing w:after="120" w:line="312" w:lineRule="atLeast"/>
      <w:ind w:firstLine="420" w:firstLineChars="0"/>
      <w:textAlignment w:val="baseline"/>
    </w:pPr>
    <w:rPr>
      <w:kern w:val="0"/>
      <w:sz w:val="21"/>
      <w:szCs w:val="20"/>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0"/>
    <w:rPr>
      <w:b/>
      <w:bCs/>
    </w:rPr>
  </w:style>
  <w:style w:type="character" w:styleId="59">
    <w:name w:val="endnote reference"/>
    <w:unhideWhenUsed/>
    <w:qFormat/>
    <w:uiPriority w:val="0"/>
    <w:rPr>
      <w:vertAlign w:val="superscript"/>
    </w:rPr>
  </w:style>
  <w:style w:type="character" w:styleId="60">
    <w:name w:val="page number"/>
    <w:basedOn w:val="57"/>
    <w:qFormat/>
    <w:uiPriority w:val="0"/>
  </w:style>
  <w:style w:type="character" w:styleId="61">
    <w:name w:val="FollowedHyperlink"/>
    <w:basedOn w:val="57"/>
    <w:unhideWhenUsed/>
    <w:qFormat/>
    <w:uiPriority w:val="99"/>
    <w:rPr>
      <w:color w:val="333333"/>
      <w:u w:val="none"/>
    </w:rPr>
  </w:style>
  <w:style w:type="character" w:styleId="62">
    <w:name w:val="Emphasis"/>
    <w:qFormat/>
    <w:uiPriority w:val="20"/>
    <w:rPr>
      <w:i/>
      <w:iCs/>
    </w:rPr>
  </w:style>
  <w:style w:type="character" w:styleId="63">
    <w:name w:val="HTML Definition"/>
    <w:basedOn w:val="57"/>
    <w:semiHidden/>
    <w:unhideWhenUsed/>
    <w:qFormat/>
    <w:uiPriority w:val="99"/>
  </w:style>
  <w:style w:type="character" w:styleId="64">
    <w:name w:val="HTML Typewriter"/>
    <w:basedOn w:val="57"/>
    <w:semiHidden/>
    <w:unhideWhenUsed/>
    <w:qFormat/>
    <w:uiPriority w:val="99"/>
    <w:rPr>
      <w:rFonts w:hint="default" w:ascii="monospace" w:hAnsi="monospace" w:eastAsia="monospace" w:cs="monospace"/>
      <w:sz w:val="20"/>
    </w:rPr>
  </w:style>
  <w:style w:type="character" w:styleId="65">
    <w:name w:val="HTML Acronym"/>
    <w:basedOn w:val="57"/>
    <w:semiHidden/>
    <w:unhideWhenUsed/>
    <w:qFormat/>
    <w:uiPriority w:val="99"/>
  </w:style>
  <w:style w:type="character" w:styleId="66">
    <w:name w:val="HTML Variable"/>
    <w:basedOn w:val="57"/>
    <w:semiHidden/>
    <w:unhideWhenUsed/>
    <w:qFormat/>
    <w:uiPriority w:val="99"/>
  </w:style>
  <w:style w:type="character" w:styleId="67">
    <w:name w:val="Hyperlink"/>
    <w:basedOn w:val="57"/>
    <w:unhideWhenUsed/>
    <w:qFormat/>
    <w:uiPriority w:val="99"/>
    <w:rPr>
      <w:color w:val="333333"/>
      <w:u w:val="none"/>
    </w:rPr>
  </w:style>
  <w:style w:type="character" w:styleId="68">
    <w:name w:val="HTML Code"/>
    <w:basedOn w:val="57"/>
    <w:semiHidden/>
    <w:unhideWhenUsed/>
    <w:qFormat/>
    <w:uiPriority w:val="99"/>
    <w:rPr>
      <w:rFonts w:hint="default" w:ascii="monospace" w:hAnsi="monospace" w:eastAsia="monospace" w:cs="monospace"/>
      <w:sz w:val="20"/>
    </w:rPr>
  </w:style>
  <w:style w:type="character" w:styleId="69">
    <w:name w:val="annotation reference"/>
    <w:qFormat/>
    <w:uiPriority w:val="0"/>
    <w:rPr>
      <w:sz w:val="21"/>
      <w:szCs w:val="21"/>
    </w:rPr>
  </w:style>
  <w:style w:type="character" w:styleId="70">
    <w:name w:val="HTML Cite"/>
    <w:basedOn w:val="57"/>
    <w:semiHidden/>
    <w:unhideWhenUsed/>
    <w:qFormat/>
    <w:uiPriority w:val="99"/>
  </w:style>
  <w:style w:type="character" w:styleId="71">
    <w:name w:val="footnote reference"/>
    <w:qFormat/>
    <w:uiPriority w:val="0"/>
    <w:rPr>
      <w:vertAlign w:val="superscript"/>
    </w:rPr>
  </w:style>
  <w:style w:type="character" w:styleId="72">
    <w:name w:val="HTML Keyboard"/>
    <w:basedOn w:val="57"/>
    <w:semiHidden/>
    <w:unhideWhenUsed/>
    <w:qFormat/>
    <w:uiPriority w:val="99"/>
    <w:rPr>
      <w:rFonts w:ascii="monospace" w:hAnsi="monospace" w:eastAsia="monospace" w:cs="monospace"/>
      <w:sz w:val="20"/>
    </w:rPr>
  </w:style>
  <w:style w:type="character" w:styleId="73">
    <w:name w:val="HTML Sample"/>
    <w:basedOn w:val="57"/>
    <w:semiHidden/>
    <w:unhideWhenUsed/>
    <w:qFormat/>
    <w:uiPriority w:val="99"/>
    <w:rPr>
      <w:rFonts w:hint="default" w:ascii="monospace" w:hAnsi="monospace" w:eastAsia="monospace" w:cs="monospace"/>
    </w:rPr>
  </w:style>
  <w:style w:type="paragraph" w:customStyle="1" w:styleId="7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75">
    <w:name w:val="标题 1 字符"/>
    <w:link w:val="2"/>
    <w:qFormat/>
    <w:uiPriority w:val="9"/>
    <w:rPr>
      <w:b/>
      <w:bCs/>
      <w:kern w:val="44"/>
      <w:sz w:val="44"/>
      <w:szCs w:val="44"/>
    </w:rPr>
  </w:style>
  <w:style w:type="character" w:customStyle="1" w:styleId="76">
    <w:name w:val="标题 2 字符"/>
    <w:link w:val="3"/>
    <w:qFormat/>
    <w:uiPriority w:val="9"/>
    <w:rPr>
      <w:rFonts w:ascii="Cambria" w:hAnsi="Cambria" w:eastAsia="宋体" w:cs="Times New Roman"/>
      <w:b/>
      <w:bCs/>
      <w:sz w:val="32"/>
      <w:szCs w:val="32"/>
    </w:rPr>
  </w:style>
  <w:style w:type="character" w:customStyle="1" w:styleId="77">
    <w:name w:val="标题 3 字符"/>
    <w:link w:val="4"/>
    <w:qFormat/>
    <w:uiPriority w:val="9"/>
    <w:rPr>
      <w:b/>
      <w:bCs/>
      <w:sz w:val="32"/>
      <w:szCs w:val="32"/>
    </w:rPr>
  </w:style>
  <w:style w:type="character" w:customStyle="1" w:styleId="78">
    <w:name w:val="标题 4 字符"/>
    <w:link w:val="5"/>
    <w:qFormat/>
    <w:uiPriority w:val="9"/>
    <w:rPr>
      <w:rFonts w:ascii="Cambria" w:hAnsi="Cambria" w:eastAsia="黑体"/>
      <w:bCs/>
      <w:kern w:val="2"/>
      <w:sz w:val="24"/>
      <w:szCs w:val="28"/>
    </w:rPr>
  </w:style>
  <w:style w:type="character" w:customStyle="1" w:styleId="79">
    <w:name w:val="标题 5 字符"/>
    <w:link w:val="6"/>
    <w:qFormat/>
    <w:uiPriority w:val="9"/>
    <w:rPr>
      <w:bCs/>
      <w:kern w:val="2"/>
      <w:sz w:val="21"/>
      <w:szCs w:val="28"/>
    </w:rPr>
  </w:style>
  <w:style w:type="character" w:customStyle="1" w:styleId="80">
    <w:name w:val="标题 6 字符"/>
    <w:link w:val="7"/>
    <w:qFormat/>
    <w:uiPriority w:val="9"/>
    <w:rPr>
      <w:rFonts w:ascii="Cambria" w:hAnsi="Cambria"/>
      <w:bCs/>
      <w:kern w:val="2"/>
      <w:sz w:val="21"/>
      <w:szCs w:val="24"/>
    </w:rPr>
  </w:style>
  <w:style w:type="character" w:customStyle="1" w:styleId="81">
    <w:name w:val="正文文本 字符"/>
    <w:link w:val="19"/>
    <w:qFormat/>
    <w:uiPriority w:val="0"/>
    <w:rPr>
      <w:rFonts w:ascii="Times New Roman" w:hAnsi="Times New Roman"/>
      <w:kern w:val="2"/>
      <w:sz w:val="28"/>
      <w:szCs w:val="24"/>
    </w:rPr>
  </w:style>
  <w:style w:type="character" w:customStyle="1" w:styleId="82">
    <w:name w:val="正文文本首行缩进 字符"/>
    <w:link w:val="53"/>
    <w:qFormat/>
    <w:uiPriority w:val="0"/>
    <w:rPr>
      <w:rFonts w:ascii="Times New Roman" w:hAnsi="Times New Roman"/>
      <w:kern w:val="2"/>
      <w:sz w:val="21"/>
      <w:szCs w:val="24"/>
    </w:rPr>
  </w:style>
  <w:style w:type="character" w:customStyle="1" w:styleId="83">
    <w:name w:val="纯文本 字符"/>
    <w:link w:val="26"/>
    <w:qFormat/>
    <w:locked/>
    <w:uiPriority w:val="0"/>
    <w:rPr>
      <w:rFonts w:ascii="宋体" w:hAnsi="Courier New" w:cs="Courier New"/>
      <w:kern w:val="2"/>
      <w:sz w:val="21"/>
      <w:szCs w:val="21"/>
    </w:rPr>
  </w:style>
  <w:style w:type="character" w:customStyle="1" w:styleId="84">
    <w:name w:val="批注框文本 字符"/>
    <w:link w:val="32"/>
    <w:qFormat/>
    <w:uiPriority w:val="99"/>
    <w:rPr>
      <w:sz w:val="18"/>
      <w:szCs w:val="18"/>
    </w:rPr>
  </w:style>
  <w:style w:type="character" w:customStyle="1" w:styleId="85">
    <w:name w:val="页脚 字符1"/>
    <w:link w:val="33"/>
    <w:qFormat/>
    <w:uiPriority w:val="99"/>
    <w:rPr>
      <w:sz w:val="18"/>
      <w:szCs w:val="18"/>
    </w:rPr>
  </w:style>
  <w:style w:type="character" w:customStyle="1" w:styleId="86">
    <w:name w:val="页眉 字符"/>
    <w:link w:val="34"/>
    <w:qFormat/>
    <w:uiPriority w:val="99"/>
    <w:rPr>
      <w:sz w:val="18"/>
      <w:szCs w:val="18"/>
    </w:rPr>
  </w:style>
  <w:style w:type="character" w:customStyle="1" w:styleId="87">
    <w:name w:val="副标题 字符"/>
    <w:link w:val="38"/>
    <w:qFormat/>
    <w:uiPriority w:val="11"/>
    <w:rPr>
      <w:rFonts w:ascii="Cambria" w:hAnsi="Cambria" w:eastAsia="宋体" w:cs="Times New Roman"/>
      <w:b/>
      <w:bCs/>
      <w:kern w:val="28"/>
      <w:sz w:val="32"/>
      <w:szCs w:val="32"/>
    </w:rPr>
  </w:style>
  <w:style w:type="character" w:customStyle="1" w:styleId="88">
    <w:name w:val="脚注文本 字符1"/>
    <w:link w:val="40"/>
    <w:qFormat/>
    <w:uiPriority w:val="0"/>
    <w:rPr>
      <w:sz w:val="18"/>
      <w:szCs w:val="18"/>
    </w:rPr>
  </w:style>
  <w:style w:type="character" w:customStyle="1" w:styleId="89">
    <w:name w:val="Char Char4"/>
    <w:semiHidden/>
    <w:qFormat/>
    <w:locked/>
    <w:uiPriority w:val="0"/>
    <w:rPr>
      <w:sz w:val="18"/>
      <w:szCs w:val="18"/>
      <w:lang w:bidi="ar-SA"/>
    </w:rPr>
  </w:style>
  <w:style w:type="character" w:customStyle="1" w:styleId="90">
    <w:name w:val="纯文本 Char1"/>
    <w:qFormat/>
    <w:locked/>
    <w:uiPriority w:val="0"/>
    <w:rPr>
      <w:rFonts w:ascii="宋体" w:hAnsi="Courier New" w:eastAsia="宋体" w:cs="宋体"/>
      <w:szCs w:val="21"/>
    </w:rPr>
  </w:style>
  <w:style w:type="character" w:customStyle="1" w:styleId="91">
    <w:name w:val="Char Char11"/>
    <w:link w:val="92"/>
    <w:qFormat/>
    <w:uiPriority w:val="0"/>
    <w:rPr>
      <w:rFonts w:ascii="宋体" w:hAnsi="宋体" w:eastAsia="宋体" w:cs="宋体"/>
      <w:kern w:val="2"/>
      <w:sz w:val="24"/>
      <w:szCs w:val="24"/>
      <w:lang w:val="en-US" w:eastAsia="zh-CN" w:bidi="ar-SA"/>
    </w:rPr>
  </w:style>
  <w:style w:type="paragraph" w:customStyle="1" w:styleId="92">
    <w:name w:val="Char"/>
    <w:basedOn w:val="1"/>
    <w:link w:val="91"/>
    <w:qFormat/>
    <w:uiPriority w:val="0"/>
    <w:pPr>
      <w:spacing w:line="360" w:lineRule="auto"/>
      <w:ind w:firstLine="200" w:firstLineChars="200"/>
    </w:pPr>
    <w:rPr>
      <w:rFonts w:ascii="宋体" w:hAnsi="宋体" w:cs="宋体"/>
      <w:sz w:val="24"/>
      <w:szCs w:val="24"/>
    </w:rPr>
  </w:style>
  <w:style w:type="character" w:customStyle="1" w:styleId="93">
    <w:name w:val="Char2 Char Char"/>
    <w:qFormat/>
    <w:uiPriority w:val="0"/>
    <w:rPr>
      <w:rFonts w:eastAsia="宋体"/>
      <w:sz w:val="21"/>
      <w:lang w:val="en-US" w:eastAsia="zh-CN" w:bidi="ar-SA"/>
    </w:rPr>
  </w:style>
  <w:style w:type="character" w:customStyle="1" w:styleId="94">
    <w:name w:val="Char Char14"/>
    <w:qFormat/>
    <w:locked/>
    <w:uiPriority w:val="0"/>
    <w:rPr>
      <w:rFonts w:ascii="Calibri" w:hAnsi="Calibri" w:eastAsia="宋体" w:cs="Calibri"/>
      <w:kern w:val="2"/>
      <w:sz w:val="18"/>
      <w:szCs w:val="18"/>
      <w:lang w:val="en-US" w:eastAsia="zh-CN" w:bidi="ar-SA"/>
    </w:rPr>
  </w:style>
  <w:style w:type="paragraph" w:customStyle="1" w:styleId="95">
    <w:name w:val="CM108"/>
    <w:basedOn w:val="74"/>
    <w:next w:val="74"/>
    <w:qFormat/>
    <w:uiPriority w:val="99"/>
    <w:rPr>
      <w:rFonts w:cs="Times New Roman"/>
      <w:color w:val="auto"/>
    </w:rPr>
  </w:style>
  <w:style w:type="paragraph" w:customStyle="1" w:styleId="96">
    <w:name w:val="CM78"/>
    <w:basedOn w:val="74"/>
    <w:next w:val="74"/>
    <w:qFormat/>
    <w:uiPriority w:val="99"/>
    <w:rPr>
      <w:rFonts w:cs="Times New Roman"/>
      <w:color w:val="auto"/>
    </w:rPr>
  </w:style>
  <w:style w:type="paragraph" w:customStyle="1" w:styleId="97">
    <w:name w:val="CM71"/>
    <w:basedOn w:val="74"/>
    <w:next w:val="74"/>
    <w:qFormat/>
    <w:uiPriority w:val="99"/>
    <w:rPr>
      <w:rFonts w:cs="Times New Roman"/>
      <w:color w:val="auto"/>
    </w:rPr>
  </w:style>
  <w:style w:type="paragraph" w:customStyle="1" w:styleId="98">
    <w:name w:val="CM8"/>
    <w:basedOn w:val="74"/>
    <w:next w:val="74"/>
    <w:qFormat/>
    <w:uiPriority w:val="99"/>
    <w:pPr>
      <w:spacing w:line="318" w:lineRule="atLeast"/>
    </w:pPr>
    <w:rPr>
      <w:rFonts w:cs="Times New Roman"/>
      <w:color w:val="auto"/>
    </w:rPr>
  </w:style>
  <w:style w:type="paragraph" w:customStyle="1" w:styleId="99">
    <w:name w:val="CM87"/>
    <w:basedOn w:val="74"/>
    <w:next w:val="74"/>
    <w:qFormat/>
    <w:uiPriority w:val="99"/>
    <w:pPr>
      <w:spacing w:line="440" w:lineRule="atLeast"/>
    </w:pPr>
    <w:rPr>
      <w:rFonts w:cs="Times New Roman"/>
      <w:color w:val="auto"/>
    </w:rPr>
  </w:style>
  <w:style w:type="paragraph" w:customStyle="1" w:styleId="100">
    <w:name w:val="CM28"/>
    <w:basedOn w:val="74"/>
    <w:next w:val="74"/>
    <w:qFormat/>
    <w:uiPriority w:val="99"/>
    <w:pPr>
      <w:spacing w:line="398" w:lineRule="atLeast"/>
    </w:pPr>
    <w:rPr>
      <w:rFonts w:cs="Times New Roman"/>
      <w:color w:val="auto"/>
    </w:rPr>
  </w:style>
  <w:style w:type="paragraph" w:customStyle="1" w:styleId="101">
    <w:name w:val="CM10"/>
    <w:basedOn w:val="74"/>
    <w:next w:val="74"/>
    <w:qFormat/>
    <w:uiPriority w:val="99"/>
    <w:rPr>
      <w:rFonts w:cs="Times New Roman"/>
      <w:color w:val="auto"/>
    </w:rPr>
  </w:style>
  <w:style w:type="paragraph" w:customStyle="1" w:styleId="102">
    <w:name w:val="CM103"/>
    <w:basedOn w:val="74"/>
    <w:next w:val="74"/>
    <w:qFormat/>
    <w:uiPriority w:val="99"/>
    <w:rPr>
      <w:rFonts w:cs="Times New Roman"/>
      <w:color w:val="auto"/>
    </w:rPr>
  </w:style>
  <w:style w:type="paragraph" w:customStyle="1" w:styleId="103">
    <w:name w:val="CM4"/>
    <w:basedOn w:val="74"/>
    <w:next w:val="74"/>
    <w:qFormat/>
    <w:uiPriority w:val="99"/>
    <w:rPr>
      <w:rFonts w:cs="Times New Roman"/>
      <w:color w:val="auto"/>
    </w:rPr>
  </w:style>
  <w:style w:type="paragraph" w:customStyle="1" w:styleId="104">
    <w:name w:val="CM6"/>
    <w:basedOn w:val="74"/>
    <w:next w:val="74"/>
    <w:qFormat/>
    <w:uiPriority w:val="99"/>
    <w:pPr>
      <w:spacing w:line="318" w:lineRule="atLeast"/>
    </w:pPr>
    <w:rPr>
      <w:rFonts w:cs="Times New Roman"/>
      <w:color w:val="auto"/>
    </w:rPr>
  </w:style>
  <w:style w:type="paragraph" w:customStyle="1" w:styleId="105">
    <w:name w:val="CM112"/>
    <w:basedOn w:val="74"/>
    <w:next w:val="74"/>
    <w:qFormat/>
    <w:uiPriority w:val="99"/>
    <w:rPr>
      <w:rFonts w:cs="Times New Roman"/>
      <w:color w:val="auto"/>
    </w:rPr>
  </w:style>
  <w:style w:type="paragraph" w:customStyle="1" w:styleId="106">
    <w:name w:val="CM34"/>
    <w:basedOn w:val="74"/>
    <w:next w:val="74"/>
    <w:qFormat/>
    <w:uiPriority w:val="99"/>
    <w:rPr>
      <w:rFonts w:cs="Times New Roman"/>
      <w:color w:val="auto"/>
    </w:rPr>
  </w:style>
  <w:style w:type="paragraph" w:customStyle="1" w:styleId="107">
    <w:name w:val="CM48"/>
    <w:basedOn w:val="74"/>
    <w:next w:val="74"/>
    <w:qFormat/>
    <w:uiPriority w:val="99"/>
    <w:pPr>
      <w:spacing w:line="440" w:lineRule="atLeast"/>
    </w:pPr>
    <w:rPr>
      <w:rFonts w:cs="Times New Roman"/>
      <w:color w:val="auto"/>
    </w:rPr>
  </w:style>
  <w:style w:type="paragraph" w:customStyle="1" w:styleId="108">
    <w:name w:val="CM110"/>
    <w:basedOn w:val="74"/>
    <w:next w:val="74"/>
    <w:qFormat/>
    <w:uiPriority w:val="99"/>
    <w:rPr>
      <w:rFonts w:cs="Times New Roman"/>
      <w:color w:val="auto"/>
    </w:rPr>
  </w:style>
  <w:style w:type="paragraph" w:customStyle="1" w:styleId="109">
    <w:name w:val="CM12"/>
    <w:basedOn w:val="74"/>
    <w:next w:val="74"/>
    <w:qFormat/>
    <w:uiPriority w:val="99"/>
    <w:pPr>
      <w:spacing w:line="313" w:lineRule="atLeast"/>
    </w:pPr>
    <w:rPr>
      <w:rFonts w:cs="Times New Roman"/>
      <w:color w:val="auto"/>
    </w:rPr>
  </w:style>
  <w:style w:type="paragraph" w:customStyle="1" w:styleId="110">
    <w:name w:val="CM94"/>
    <w:basedOn w:val="74"/>
    <w:next w:val="74"/>
    <w:qFormat/>
    <w:uiPriority w:val="99"/>
    <w:pPr>
      <w:spacing w:line="440" w:lineRule="atLeast"/>
    </w:pPr>
    <w:rPr>
      <w:rFonts w:cs="Times New Roman"/>
      <w:color w:val="auto"/>
    </w:rPr>
  </w:style>
  <w:style w:type="paragraph" w:customStyle="1" w:styleId="111">
    <w:name w:val="CM57"/>
    <w:basedOn w:val="74"/>
    <w:next w:val="74"/>
    <w:qFormat/>
    <w:uiPriority w:val="99"/>
    <w:pPr>
      <w:spacing w:line="400" w:lineRule="atLeast"/>
    </w:pPr>
    <w:rPr>
      <w:rFonts w:cs="Times New Roman"/>
      <w:color w:val="auto"/>
    </w:rPr>
  </w:style>
  <w:style w:type="paragraph" w:customStyle="1" w:styleId="112">
    <w:name w:val="CM22"/>
    <w:basedOn w:val="74"/>
    <w:next w:val="74"/>
    <w:qFormat/>
    <w:uiPriority w:val="99"/>
    <w:rPr>
      <w:rFonts w:cs="Times New Roman"/>
      <w:color w:val="auto"/>
    </w:rPr>
  </w:style>
  <w:style w:type="paragraph" w:customStyle="1" w:styleId="113">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4">
    <w:name w:val="CM25"/>
    <w:basedOn w:val="74"/>
    <w:next w:val="74"/>
    <w:qFormat/>
    <w:uiPriority w:val="99"/>
    <w:pPr>
      <w:spacing w:line="400" w:lineRule="atLeast"/>
    </w:pPr>
    <w:rPr>
      <w:rFonts w:cs="Times New Roman"/>
      <w:color w:val="auto"/>
    </w:rPr>
  </w:style>
  <w:style w:type="paragraph" w:customStyle="1" w:styleId="115">
    <w:name w:val="CM44"/>
    <w:basedOn w:val="74"/>
    <w:next w:val="74"/>
    <w:qFormat/>
    <w:uiPriority w:val="99"/>
    <w:rPr>
      <w:rFonts w:cs="Times New Roman"/>
      <w:color w:val="auto"/>
    </w:rPr>
  </w:style>
  <w:style w:type="paragraph" w:customStyle="1" w:styleId="116">
    <w:name w:val="样式3"/>
    <w:basedOn w:val="1"/>
    <w:qFormat/>
    <w:uiPriority w:val="0"/>
    <w:pPr>
      <w:keepNext/>
      <w:keepLines/>
      <w:spacing w:line="400" w:lineRule="exact"/>
      <w:outlineLvl w:val="0"/>
    </w:pPr>
    <w:rPr>
      <w:rFonts w:ascii="Times New Roman" w:hAnsi="Times New Roman"/>
      <w:b/>
      <w:bCs/>
      <w:kern w:val="44"/>
      <w:sz w:val="28"/>
      <w:szCs w:val="44"/>
    </w:rPr>
  </w:style>
  <w:style w:type="paragraph" w:customStyle="1" w:styleId="117">
    <w:name w:val="CM105"/>
    <w:basedOn w:val="74"/>
    <w:next w:val="74"/>
    <w:qFormat/>
    <w:uiPriority w:val="99"/>
    <w:rPr>
      <w:rFonts w:cs="Times New Roman"/>
      <w:color w:val="auto"/>
    </w:rPr>
  </w:style>
  <w:style w:type="paragraph" w:customStyle="1" w:styleId="118">
    <w:name w:val="CM90"/>
    <w:basedOn w:val="74"/>
    <w:next w:val="74"/>
    <w:qFormat/>
    <w:uiPriority w:val="99"/>
    <w:pPr>
      <w:spacing w:line="440" w:lineRule="atLeast"/>
    </w:pPr>
    <w:rPr>
      <w:rFonts w:cs="Times New Roman"/>
      <w:color w:val="auto"/>
    </w:rPr>
  </w:style>
  <w:style w:type="paragraph" w:customStyle="1" w:styleId="119">
    <w:name w:val="CM70"/>
    <w:basedOn w:val="74"/>
    <w:next w:val="74"/>
    <w:qFormat/>
    <w:uiPriority w:val="99"/>
    <w:pPr>
      <w:spacing w:line="400" w:lineRule="atLeast"/>
    </w:pPr>
    <w:rPr>
      <w:rFonts w:cs="Times New Roman"/>
      <w:color w:val="auto"/>
    </w:rPr>
  </w:style>
  <w:style w:type="paragraph" w:customStyle="1" w:styleId="120">
    <w:name w:val="CM74"/>
    <w:basedOn w:val="74"/>
    <w:next w:val="74"/>
    <w:qFormat/>
    <w:uiPriority w:val="99"/>
    <w:pPr>
      <w:spacing w:line="400" w:lineRule="atLeast"/>
    </w:pPr>
    <w:rPr>
      <w:rFonts w:cs="Times New Roman"/>
      <w:color w:val="auto"/>
    </w:rPr>
  </w:style>
  <w:style w:type="paragraph" w:customStyle="1" w:styleId="121">
    <w:name w:val="CM104"/>
    <w:basedOn w:val="74"/>
    <w:next w:val="74"/>
    <w:qFormat/>
    <w:uiPriority w:val="99"/>
    <w:rPr>
      <w:rFonts w:cs="Times New Roman"/>
      <w:color w:val="auto"/>
    </w:rPr>
  </w:style>
  <w:style w:type="paragraph" w:customStyle="1" w:styleId="122">
    <w:name w:val="CM2"/>
    <w:basedOn w:val="74"/>
    <w:next w:val="74"/>
    <w:qFormat/>
    <w:uiPriority w:val="99"/>
    <w:pPr>
      <w:spacing w:line="500" w:lineRule="atLeast"/>
    </w:pPr>
    <w:rPr>
      <w:rFonts w:cs="Times New Roman"/>
      <w:color w:val="auto"/>
    </w:rPr>
  </w:style>
  <w:style w:type="paragraph" w:customStyle="1" w:styleId="123">
    <w:name w:val="CM55"/>
    <w:basedOn w:val="74"/>
    <w:next w:val="74"/>
    <w:qFormat/>
    <w:uiPriority w:val="99"/>
    <w:pPr>
      <w:spacing w:line="400" w:lineRule="atLeast"/>
    </w:pPr>
    <w:rPr>
      <w:rFonts w:cs="Times New Roman"/>
      <w:color w:val="auto"/>
    </w:rPr>
  </w:style>
  <w:style w:type="paragraph" w:customStyle="1" w:styleId="124">
    <w:name w:val="CM109"/>
    <w:basedOn w:val="74"/>
    <w:next w:val="74"/>
    <w:qFormat/>
    <w:uiPriority w:val="99"/>
    <w:rPr>
      <w:rFonts w:cs="Times New Roman"/>
      <w:color w:val="auto"/>
    </w:rPr>
  </w:style>
  <w:style w:type="paragraph" w:customStyle="1" w:styleId="125">
    <w:name w:val="CM99"/>
    <w:basedOn w:val="74"/>
    <w:next w:val="74"/>
    <w:qFormat/>
    <w:uiPriority w:val="99"/>
    <w:rPr>
      <w:rFonts w:cs="Times New Roman"/>
      <w:color w:val="auto"/>
    </w:rPr>
  </w:style>
  <w:style w:type="paragraph" w:customStyle="1" w:styleId="126">
    <w:name w:val="_Style 131"/>
    <w:next w:val="1"/>
    <w:unhideWhenUsed/>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27">
    <w:name w:val="CM24"/>
    <w:basedOn w:val="74"/>
    <w:next w:val="74"/>
    <w:qFormat/>
    <w:uiPriority w:val="99"/>
    <w:pPr>
      <w:spacing w:line="400" w:lineRule="atLeast"/>
    </w:pPr>
    <w:rPr>
      <w:rFonts w:cs="Times New Roman"/>
      <w:color w:val="auto"/>
    </w:rPr>
  </w:style>
  <w:style w:type="paragraph" w:customStyle="1" w:styleId="128">
    <w:name w:val="CM32"/>
    <w:basedOn w:val="74"/>
    <w:next w:val="74"/>
    <w:qFormat/>
    <w:uiPriority w:val="99"/>
    <w:pPr>
      <w:spacing w:line="400" w:lineRule="atLeast"/>
    </w:pPr>
    <w:rPr>
      <w:rFonts w:cs="Times New Roman"/>
      <w:color w:val="auto"/>
    </w:rPr>
  </w:style>
  <w:style w:type="paragraph" w:customStyle="1" w:styleId="129">
    <w:name w:val="CM5"/>
    <w:basedOn w:val="74"/>
    <w:next w:val="74"/>
    <w:qFormat/>
    <w:uiPriority w:val="99"/>
    <w:rPr>
      <w:rFonts w:cs="Times New Roman"/>
      <w:color w:val="auto"/>
    </w:rPr>
  </w:style>
  <w:style w:type="paragraph" w:customStyle="1" w:styleId="130">
    <w:name w:val="CM19"/>
    <w:basedOn w:val="74"/>
    <w:next w:val="74"/>
    <w:qFormat/>
    <w:uiPriority w:val="99"/>
    <w:pPr>
      <w:spacing w:line="440" w:lineRule="atLeast"/>
    </w:pPr>
    <w:rPr>
      <w:rFonts w:cs="Times New Roman"/>
      <w:color w:val="auto"/>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center"/>
    </w:pPr>
    <w:rPr>
      <w:rFonts w:ascii="Courier New" w:hAnsi="Courier New"/>
      <w:b/>
      <w:kern w:val="0"/>
      <w:sz w:val="44"/>
      <w:szCs w:val="20"/>
    </w:rPr>
  </w:style>
  <w:style w:type="paragraph" w:customStyle="1" w:styleId="132">
    <w:name w:val="CM18"/>
    <w:basedOn w:val="74"/>
    <w:next w:val="74"/>
    <w:qFormat/>
    <w:uiPriority w:val="99"/>
    <w:pPr>
      <w:spacing w:line="440" w:lineRule="atLeast"/>
    </w:pPr>
    <w:rPr>
      <w:rFonts w:cs="Times New Roman"/>
      <w:color w:val="auto"/>
    </w:rPr>
  </w:style>
  <w:style w:type="paragraph" w:customStyle="1" w:styleId="133">
    <w:name w:val="CM3"/>
    <w:basedOn w:val="74"/>
    <w:next w:val="74"/>
    <w:qFormat/>
    <w:uiPriority w:val="99"/>
    <w:pPr>
      <w:spacing w:line="500" w:lineRule="atLeast"/>
    </w:pPr>
    <w:rPr>
      <w:rFonts w:cs="Times New Roman"/>
      <w:color w:val="auto"/>
    </w:rPr>
  </w:style>
  <w:style w:type="paragraph" w:customStyle="1" w:styleId="134">
    <w:name w:val="CM98"/>
    <w:basedOn w:val="74"/>
    <w:next w:val="74"/>
    <w:qFormat/>
    <w:uiPriority w:val="99"/>
    <w:rPr>
      <w:rFonts w:cs="Times New Roman"/>
      <w:color w:val="auto"/>
    </w:rPr>
  </w:style>
  <w:style w:type="paragraph" w:customStyle="1" w:styleId="135">
    <w:name w:val="CM40"/>
    <w:basedOn w:val="74"/>
    <w:next w:val="74"/>
    <w:qFormat/>
    <w:uiPriority w:val="99"/>
    <w:pPr>
      <w:spacing w:line="400" w:lineRule="atLeast"/>
    </w:pPr>
    <w:rPr>
      <w:rFonts w:cs="Times New Roman"/>
      <w:color w:val="auto"/>
    </w:rPr>
  </w:style>
  <w:style w:type="paragraph" w:customStyle="1" w:styleId="136">
    <w:name w:val="CM92"/>
    <w:basedOn w:val="74"/>
    <w:next w:val="74"/>
    <w:qFormat/>
    <w:uiPriority w:val="99"/>
    <w:pPr>
      <w:spacing w:line="443" w:lineRule="atLeast"/>
    </w:pPr>
    <w:rPr>
      <w:rFonts w:cs="Times New Roman"/>
      <w:color w:val="auto"/>
    </w:rPr>
  </w:style>
  <w:style w:type="paragraph" w:customStyle="1" w:styleId="137">
    <w:name w:val="CM13"/>
    <w:basedOn w:val="74"/>
    <w:next w:val="74"/>
    <w:qFormat/>
    <w:uiPriority w:val="99"/>
    <w:rPr>
      <w:rFonts w:cs="Times New Roman"/>
      <w:color w:val="auto"/>
    </w:rPr>
  </w:style>
  <w:style w:type="paragraph" w:customStyle="1" w:styleId="138">
    <w:name w:val="CM29"/>
    <w:basedOn w:val="74"/>
    <w:next w:val="74"/>
    <w:qFormat/>
    <w:uiPriority w:val="99"/>
    <w:pPr>
      <w:spacing w:line="400" w:lineRule="atLeast"/>
    </w:pPr>
    <w:rPr>
      <w:rFonts w:cs="Times New Roman"/>
      <w:color w:val="auto"/>
    </w:rPr>
  </w:style>
  <w:style w:type="paragraph" w:customStyle="1" w:styleId="139">
    <w:name w:val="Char Char Char Char Char Char Char"/>
    <w:basedOn w:val="15"/>
    <w:qFormat/>
    <w:uiPriority w:val="0"/>
    <w:rPr>
      <w:rFonts w:ascii="Tahoma" w:hAnsi="Tahoma"/>
      <w:sz w:val="24"/>
    </w:rPr>
  </w:style>
  <w:style w:type="paragraph" w:customStyle="1" w:styleId="140">
    <w:name w:val="CM45"/>
    <w:basedOn w:val="74"/>
    <w:next w:val="74"/>
    <w:qFormat/>
    <w:uiPriority w:val="99"/>
    <w:rPr>
      <w:rFonts w:cs="Times New Roman"/>
      <w:color w:val="auto"/>
    </w:rPr>
  </w:style>
  <w:style w:type="paragraph" w:customStyle="1" w:styleId="141">
    <w:name w:val="CM114"/>
    <w:basedOn w:val="74"/>
    <w:next w:val="74"/>
    <w:qFormat/>
    <w:uiPriority w:val="99"/>
    <w:rPr>
      <w:rFonts w:cs="Times New Roman"/>
      <w:color w:val="auto"/>
    </w:rPr>
  </w:style>
  <w:style w:type="paragraph" w:customStyle="1" w:styleId="142">
    <w:name w:val="CM9"/>
    <w:basedOn w:val="74"/>
    <w:next w:val="74"/>
    <w:qFormat/>
    <w:uiPriority w:val="99"/>
    <w:rPr>
      <w:rFonts w:cs="Times New Roman"/>
      <w:color w:val="auto"/>
    </w:rPr>
  </w:style>
  <w:style w:type="paragraph" w:customStyle="1" w:styleId="143">
    <w:name w:val="Char Char Char 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44">
    <w:name w:val="CM47"/>
    <w:basedOn w:val="74"/>
    <w:next w:val="74"/>
    <w:qFormat/>
    <w:uiPriority w:val="99"/>
    <w:pPr>
      <w:spacing w:line="540" w:lineRule="atLeast"/>
    </w:pPr>
    <w:rPr>
      <w:rFonts w:cs="Times New Roman"/>
      <w:color w:val="auto"/>
    </w:rPr>
  </w:style>
  <w:style w:type="paragraph" w:customStyle="1" w:styleId="145">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 w:val="0"/>
      <w:bCs w:val="0"/>
      <w:sz w:val="24"/>
      <w:szCs w:val="20"/>
    </w:rPr>
  </w:style>
  <w:style w:type="paragraph" w:customStyle="1" w:styleId="146">
    <w:name w:val="Char Char"/>
    <w:basedOn w:val="1"/>
    <w:qFormat/>
    <w:uiPriority w:val="0"/>
    <w:rPr>
      <w:rFonts w:ascii="Tahoma" w:hAnsi="Tahoma"/>
      <w:sz w:val="24"/>
      <w:szCs w:val="20"/>
    </w:rPr>
  </w:style>
  <w:style w:type="paragraph" w:customStyle="1" w:styleId="147">
    <w:name w:val="Char Char1 Char Char 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48">
    <w:name w:val="CM1"/>
    <w:basedOn w:val="74"/>
    <w:next w:val="74"/>
    <w:qFormat/>
    <w:uiPriority w:val="99"/>
    <w:rPr>
      <w:rFonts w:cs="Times New Roman"/>
      <w:color w:val="auto"/>
    </w:rPr>
  </w:style>
  <w:style w:type="paragraph" w:customStyle="1" w:styleId="149">
    <w:name w:val="CM7"/>
    <w:basedOn w:val="74"/>
    <w:next w:val="74"/>
    <w:qFormat/>
    <w:uiPriority w:val="99"/>
    <w:pPr>
      <w:spacing w:line="318" w:lineRule="atLeast"/>
    </w:pPr>
    <w:rPr>
      <w:rFonts w:cs="Times New Roman"/>
      <w:color w:val="auto"/>
    </w:rPr>
  </w:style>
  <w:style w:type="paragraph" w:customStyle="1" w:styleId="150">
    <w:name w:val="CM17"/>
    <w:basedOn w:val="74"/>
    <w:next w:val="74"/>
    <w:qFormat/>
    <w:uiPriority w:val="99"/>
    <w:pPr>
      <w:spacing w:line="440" w:lineRule="atLeast"/>
    </w:pPr>
    <w:rPr>
      <w:rFonts w:cs="Times New Roman"/>
      <w:color w:val="auto"/>
    </w:rPr>
  </w:style>
  <w:style w:type="paragraph" w:customStyle="1" w:styleId="151">
    <w:name w:val="CM96"/>
    <w:basedOn w:val="74"/>
    <w:next w:val="74"/>
    <w:qFormat/>
    <w:uiPriority w:val="99"/>
    <w:rPr>
      <w:rFonts w:cs="Times New Roman"/>
      <w:color w:val="auto"/>
    </w:rPr>
  </w:style>
  <w:style w:type="paragraph" w:customStyle="1" w:styleId="152">
    <w:name w:val="Char Char Char Char"/>
    <w:basedOn w:val="1"/>
    <w:qFormat/>
    <w:uiPriority w:val="0"/>
    <w:pPr>
      <w:spacing w:line="360" w:lineRule="auto"/>
      <w:ind w:firstLine="200" w:firstLineChars="200"/>
    </w:pPr>
    <w:rPr>
      <w:rFonts w:ascii="宋体" w:hAnsi="宋体" w:cs="宋体"/>
      <w:sz w:val="24"/>
      <w:szCs w:val="24"/>
    </w:rPr>
  </w:style>
  <w:style w:type="paragraph" w:customStyle="1" w:styleId="153">
    <w:name w:val="CM97"/>
    <w:basedOn w:val="74"/>
    <w:next w:val="74"/>
    <w:qFormat/>
    <w:uiPriority w:val="99"/>
    <w:rPr>
      <w:rFonts w:cs="Times New Roman"/>
      <w:color w:val="auto"/>
    </w:rPr>
  </w:style>
  <w:style w:type="paragraph" w:customStyle="1" w:styleId="154">
    <w:name w:val="CM11"/>
    <w:basedOn w:val="74"/>
    <w:next w:val="74"/>
    <w:qFormat/>
    <w:uiPriority w:val="99"/>
    <w:pPr>
      <w:spacing w:line="313" w:lineRule="atLeast"/>
    </w:pPr>
    <w:rPr>
      <w:rFonts w:cs="Times New Roman"/>
      <w:color w:val="auto"/>
    </w:rPr>
  </w:style>
  <w:style w:type="paragraph" w:customStyle="1" w:styleId="155">
    <w:name w:val="CM35"/>
    <w:basedOn w:val="74"/>
    <w:next w:val="74"/>
    <w:qFormat/>
    <w:uiPriority w:val="99"/>
    <w:pPr>
      <w:spacing w:line="400" w:lineRule="atLeast"/>
    </w:pPr>
    <w:rPr>
      <w:rFonts w:cs="Times New Roman"/>
      <w:color w:val="auto"/>
    </w:rPr>
  </w:style>
  <w:style w:type="paragraph" w:customStyle="1" w:styleId="156">
    <w:name w:val="CM102"/>
    <w:basedOn w:val="74"/>
    <w:next w:val="74"/>
    <w:qFormat/>
    <w:uiPriority w:val="99"/>
    <w:rPr>
      <w:rFonts w:cs="Times New Roman"/>
      <w:color w:val="auto"/>
    </w:rPr>
  </w:style>
  <w:style w:type="paragraph" w:customStyle="1" w:styleId="157">
    <w:name w:val="CM54"/>
    <w:basedOn w:val="74"/>
    <w:next w:val="74"/>
    <w:qFormat/>
    <w:uiPriority w:val="99"/>
    <w:rPr>
      <w:rFonts w:cs="Times New Roman"/>
      <w:color w:val="auto"/>
    </w:rPr>
  </w:style>
  <w:style w:type="paragraph" w:customStyle="1" w:styleId="158">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59">
    <w:name w:val="CM84"/>
    <w:basedOn w:val="74"/>
    <w:next w:val="74"/>
    <w:qFormat/>
    <w:uiPriority w:val="99"/>
    <w:pPr>
      <w:spacing w:line="400" w:lineRule="atLeast"/>
    </w:pPr>
    <w:rPr>
      <w:rFonts w:cs="Times New Roman"/>
      <w:color w:val="auto"/>
    </w:rPr>
  </w:style>
  <w:style w:type="paragraph" w:customStyle="1" w:styleId="160">
    <w:name w:val="CM60"/>
    <w:basedOn w:val="74"/>
    <w:next w:val="74"/>
    <w:qFormat/>
    <w:uiPriority w:val="99"/>
    <w:pPr>
      <w:spacing w:line="400" w:lineRule="atLeast"/>
    </w:pPr>
    <w:rPr>
      <w:rFonts w:cs="Times New Roman"/>
      <w:color w:val="auto"/>
    </w:rPr>
  </w:style>
  <w:style w:type="paragraph" w:customStyle="1" w:styleId="161">
    <w:name w:val="CM46"/>
    <w:basedOn w:val="74"/>
    <w:next w:val="74"/>
    <w:qFormat/>
    <w:uiPriority w:val="99"/>
    <w:pPr>
      <w:spacing w:line="440" w:lineRule="atLeast"/>
    </w:pPr>
    <w:rPr>
      <w:rFonts w:cs="Times New Roman"/>
      <w:color w:val="auto"/>
    </w:rPr>
  </w:style>
  <w:style w:type="paragraph" w:customStyle="1" w:styleId="162">
    <w:name w:val="CM62"/>
    <w:basedOn w:val="74"/>
    <w:next w:val="74"/>
    <w:qFormat/>
    <w:uiPriority w:val="99"/>
    <w:rPr>
      <w:rFonts w:cs="Times New Roman"/>
      <w:color w:val="auto"/>
    </w:rPr>
  </w:style>
  <w:style w:type="paragraph" w:customStyle="1" w:styleId="163">
    <w:name w:val="1 Char"/>
    <w:basedOn w:val="1"/>
    <w:qFormat/>
    <w:uiPriority w:val="0"/>
    <w:pPr>
      <w:spacing w:line="360" w:lineRule="auto"/>
      <w:ind w:firstLine="200" w:firstLineChars="200"/>
    </w:pPr>
    <w:rPr>
      <w:rFonts w:ascii="宋体" w:hAnsi="宋体" w:cs="宋体"/>
      <w:sz w:val="24"/>
      <w:szCs w:val="24"/>
    </w:rPr>
  </w:style>
  <w:style w:type="paragraph" w:customStyle="1" w:styleId="164">
    <w:name w:val="CM107"/>
    <w:basedOn w:val="74"/>
    <w:next w:val="74"/>
    <w:qFormat/>
    <w:uiPriority w:val="99"/>
    <w:rPr>
      <w:rFonts w:cs="Times New Roman"/>
      <w:color w:val="auto"/>
    </w:rPr>
  </w:style>
  <w:style w:type="paragraph" w:customStyle="1" w:styleId="165">
    <w:name w:val="CM115"/>
    <w:basedOn w:val="74"/>
    <w:next w:val="74"/>
    <w:qFormat/>
    <w:uiPriority w:val="99"/>
    <w:rPr>
      <w:rFonts w:cs="Times New Roman"/>
      <w:color w:val="auto"/>
    </w:rPr>
  </w:style>
  <w:style w:type="paragraph" w:customStyle="1" w:styleId="166">
    <w:name w:val="Char1"/>
    <w:basedOn w:val="1"/>
    <w:qFormat/>
    <w:uiPriority w:val="0"/>
    <w:pPr>
      <w:spacing w:line="360" w:lineRule="auto"/>
      <w:ind w:firstLine="200" w:firstLineChars="200"/>
    </w:pPr>
    <w:rPr>
      <w:rFonts w:ascii="宋体" w:hAnsi="宋体" w:cs="宋体"/>
      <w:sz w:val="24"/>
      <w:szCs w:val="24"/>
    </w:rPr>
  </w:style>
  <w:style w:type="paragraph" w:customStyle="1" w:styleId="167">
    <w:name w:val="CM88"/>
    <w:basedOn w:val="74"/>
    <w:next w:val="74"/>
    <w:qFormat/>
    <w:uiPriority w:val="99"/>
    <w:pPr>
      <w:spacing w:line="440" w:lineRule="atLeast"/>
    </w:pPr>
    <w:rPr>
      <w:rFonts w:cs="Times New Roman"/>
      <w:color w:val="auto"/>
    </w:rPr>
  </w:style>
  <w:style w:type="paragraph" w:styleId="168">
    <w:name w:val="List Paragraph"/>
    <w:basedOn w:val="1"/>
    <w:qFormat/>
    <w:uiPriority w:val="1"/>
    <w:pPr>
      <w:ind w:firstLine="420" w:firstLineChars="200"/>
    </w:pPr>
  </w:style>
  <w:style w:type="paragraph" w:customStyle="1" w:styleId="169">
    <w:name w:val="CM52"/>
    <w:basedOn w:val="74"/>
    <w:next w:val="74"/>
    <w:qFormat/>
    <w:uiPriority w:val="99"/>
    <w:pPr>
      <w:spacing w:line="400" w:lineRule="atLeast"/>
    </w:pPr>
    <w:rPr>
      <w:rFonts w:cs="Times New Roman"/>
      <w:color w:val="auto"/>
    </w:rPr>
  </w:style>
  <w:style w:type="paragraph" w:customStyle="1" w:styleId="170">
    <w:name w:val="CM41"/>
    <w:basedOn w:val="74"/>
    <w:next w:val="74"/>
    <w:qFormat/>
    <w:uiPriority w:val="99"/>
    <w:pPr>
      <w:spacing w:line="400" w:lineRule="atLeast"/>
    </w:pPr>
    <w:rPr>
      <w:rFonts w:cs="Times New Roman"/>
      <w:color w:val="auto"/>
    </w:rPr>
  </w:style>
  <w:style w:type="paragraph" w:customStyle="1" w:styleId="171">
    <w:name w:val="CM43"/>
    <w:basedOn w:val="74"/>
    <w:next w:val="74"/>
    <w:qFormat/>
    <w:uiPriority w:val="99"/>
    <w:pPr>
      <w:spacing w:line="440" w:lineRule="atLeast"/>
    </w:pPr>
    <w:rPr>
      <w:rFonts w:cs="Times New Roman"/>
      <w:color w:val="auto"/>
    </w:rPr>
  </w:style>
  <w:style w:type="paragraph" w:customStyle="1" w:styleId="172">
    <w:name w:val="CM101"/>
    <w:basedOn w:val="74"/>
    <w:next w:val="74"/>
    <w:qFormat/>
    <w:uiPriority w:val="99"/>
    <w:rPr>
      <w:rFonts w:cs="Times New Roman"/>
      <w:color w:val="auto"/>
    </w:rPr>
  </w:style>
  <w:style w:type="paragraph" w:customStyle="1" w:styleId="173">
    <w:name w:val="CM26"/>
    <w:basedOn w:val="74"/>
    <w:next w:val="74"/>
    <w:qFormat/>
    <w:uiPriority w:val="99"/>
    <w:pPr>
      <w:spacing w:line="400" w:lineRule="atLeast"/>
    </w:pPr>
    <w:rPr>
      <w:rFonts w:cs="Times New Roman"/>
      <w:color w:val="auto"/>
    </w:rPr>
  </w:style>
  <w:style w:type="paragraph" w:customStyle="1" w:styleId="174">
    <w:name w:val="CM100"/>
    <w:basedOn w:val="74"/>
    <w:next w:val="74"/>
    <w:qFormat/>
    <w:uiPriority w:val="99"/>
    <w:rPr>
      <w:rFonts w:cs="Times New Roman"/>
      <w:color w:val="auto"/>
    </w:rPr>
  </w:style>
  <w:style w:type="paragraph" w:customStyle="1" w:styleId="175">
    <w:name w:val="Char Char Char Char Char Char Char1"/>
    <w:basedOn w:val="15"/>
    <w:qFormat/>
    <w:uiPriority w:val="0"/>
    <w:rPr>
      <w:rFonts w:ascii="Tahoma" w:hAnsi="Tahoma"/>
      <w:sz w:val="24"/>
    </w:rPr>
  </w:style>
  <w:style w:type="paragraph" w:customStyle="1" w:styleId="176">
    <w:name w:val="CM83"/>
    <w:basedOn w:val="74"/>
    <w:next w:val="74"/>
    <w:qFormat/>
    <w:uiPriority w:val="99"/>
    <w:pPr>
      <w:spacing w:line="400" w:lineRule="atLeast"/>
    </w:pPr>
    <w:rPr>
      <w:rFonts w:cs="Times New Roman"/>
      <w:color w:val="auto"/>
    </w:rPr>
  </w:style>
  <w:style w:type="paragraph" w:customStyle="1" w:styleId="177">
    <w:name w:val="CM64"/>
    <w:basedOn w:val="74"/>
    <w:next w:val="74"/>
    <w:qFormat/>
    <w:uiPriority w:val="99"/>
    <w:pPr>
      <w:spacing w:line="398" w:lineRule="atLeast"/>
    </w:pPr>
    <w:rPr>
      <w:rFonts w:cs="Times New Roman"/>
      <w:color w:val="auto"/>
    </w:rPr>
  </w:style>
  <w:style w:type="paragraph" w:customStyle="1" w:styleId="178">
    <w:name w:val="CM49"/>
    <w:basedOn w:val="74"/>
    <w:next w:val="74"/>
    <w:qFormat/>
    <w:uiPriority w:val="99"/>
    <w:pPr>
      <w:spacing w:line="1020" w:lineRule="atLeast"/>
    </w:pPr>
    <w:rPr>
      <w:rFonts w:cs="Times New Roman"/>
      <w:color w:val="auto"/>
    </w:rPr>
  </w:style>
  <w:style w:type="paragraph" w:customStyle="1" w:styleId="179">
    <w:name w:val="CM95"/>
    <w:basedOn w:val="74"/>
    <w:next w:val="74"/>
    <w:qFormat/>
    <w:uiPriority w:val="99"/>
    <w:pPr>
      <w:spacing w:line="440" w:lineRule="atLeast"/>
    </w:pPr>
    <w:rPr>
      <w:rFonts w:cs="Times New Roman"/>
      <w:color w:val="auto"/>
    </w:rPr>
  </w:style>
  <w:style w:type="paragraph" w:customStyle="1" w:styleId="180">
    <w:name w:val="CM20"/>
    <w:basedOn w:val="74"/>
    <w:next w:val="74"/>
    <w:qFormat/>
    <w:uiPriority w:val="99"/>
    <w:pPr>
      <w:spacing w:line="400" w:lineRule="atLeast"/>
    </w:pPr>
    <w:rPr>
      <w:rFonts w:cs="Times New Roman"/>
      <w:color w:val="auto"/>
    </w:rPr>
  </w:style>
  <w:style w:type="paragraph" w:customStyle="1" w:styleId="181">
    <w:name w:val="Char Char Char Char Char Char Char Char Char Char"/>
    <w:basedOn w:val="1"/>
    <w:qFormat/>
    <w:uiPriority w:val="0"/>
    <w:pPr>
      <w:spacing w:line="360" w:lineRule="auto"/>
      <w:ind w:firstLine="200" w:firstLineChars="200"/>
    </w:pPr>
    <w:rPr>
      <w:rFonts w:ascii="宋体" w:hAnsi="宋体" w:cs="宋体"/>
      <w:sz w:val="24"/>
      <w:szCs w:val="24"/>
    </w:rPr>
  </w:style>
  <w:style w:type="paragraph" w:customStyle="1" w:styleId="182">
    <w:name w:val="xl25"/>
    <w:basedOn w:val="1"/>
    <w:qFormat/>
    <w:uiPriority w:val="0"/>
    <w:pPr>
      <w:widowControl/>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83">
    <w:name w:val="列出段落1"/>
    <w:basedOn w:val="1"/>
    <w:qFormat/>
    <w:uiPriority w:val="34"/>
    <w:pPr>
      <w:ind w:firstLine="420" w:firstLineChars="200"/>
    </w:pPr>
  </w:style>
  <w:style w:type="character" w:customStyle="1" w:styleId="184">
    <w:name w:val="正文文本 (2) + Sylfaen"/>
    <w:qFormat/>
    <w:uiPriority w:val="0"/>
    <w:rPr>
      <w:rFonts w:ascii="Sylfaen" w:hAnsi="Sylfaen" w:eastAsia="Sylfaen" w:cs="Sylfaen"/>
      <w:color w:val="000000"/>
      <w:spacing w:val="0"/>
      <w:w w:val="100"/>
      <w:position w:val="0"/>
      <w:sz w:val="22"/>
      <w:szCs w:val="22"/>
      <w:u w:val="none"/>
      <w:lang w:val="en-US" w:eastAsia="en-US" w:bidi="en-US"/>
    </w:rPr>
  </w:style>
  <w:style w:type="character" w:customStyle="1" w:styleId="185">
    <w:name w:val="正文文本 (2)_"/>
    <w:link w:val="186"/>
    <w:qFormat/>
    <w:uiPriority w:val="0"/>
    <w:rPr>
      <w:rFonts w:ascii="宋体" w:hAnsi="宋体" w:cs="宋体"/>
      <w:sz w:val="22"/>
      <w:szCs w:val="22"/>
      <w:shd w:val="clear" w:color="auto" w:fill="FFFFFF"/>
    </w:rPr>
  </w:style>
  <w:style w:type="paragraph" w:customStyle="1" w:styleId="186">
    <w:name w:val="正文文本 (2)"/>
    <w:basedOn w:val="1"/>
    <w:link w:val="185"/>
    <w:qFormat/>
    <w:uiPriority w:val="0"/>
    <w:pPr>
      <w:shd w:val="clear" w:color="auto" w:fill="FFFFFF"/>
      <w:spacing w:before="300" w:line="439" w:lineRule="exact"/>
      <w:jc w:val="distribute"/>
    </w:pPr>
    <w:rPr>
      <w:rFonts w:ascii="宋体" w:hAnsi="宋体" w:cs="宋体"/>
      <w:kern w:val="0"/>
      <w:sz w:val="22"/>
    </w:rPr>
  </w:style>
  <w:style w:type="character" w:customStyle="1" w:styleId="187">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188">
    <w:name w:val="正文文本 (2) + Lucida Sans Unicode"/>
    <w:qFormat/>
    <w:uiPriority w:val="0"/>
    <w:rPr>
      <w:rFonts w:ascii="Lucida Sans Unicode" w:hAnsi="Lucida Sans Unicode" w:eastAsia="Lucida Sans Unicode" w:cs="Lucida Sans Unicode"/>
      <w:b/>
      <w:bCs/>
      <w:color w:val="000000"/>
      <w:spacing w:val="0"/>
      <w:w w:val="100"/>
      <w:position w:val="0"/>
      <w:sz w:val="20"/>
      <w:szCs w:val="20"/>
      <w:u w:val="none"/>
      <w:shd w:val="clear" w:color="auto" w:fill="FFFFFF"/>
      <w:lang w:val="en-US" w:eastAsia="en-US" w:bidi="en-US"/>
    </w:rPr>
  </w:style>
  <w:style w:type="character" w:customStyle="1" w:styleId="189">
    <w:name w:val="正文文本 (2) + 11.5 pt"/>
    <w:qFormat/>
    <w:uiPriority w:val="0"/>
    <w:rPr>
      <w:rFonts w:ascii="宋体" w:hAnsi="宋体" w:eastAsia="宋体" w:cs="宋体"/>
      <w:b/>
      <w:bCs/>
      <w:color w:val="000000"/>
      <w:spacing w:val="0"/>
      <w:w w:val="100"/>
      <w:position w:val="0"/>
      <w:sz w:val="23"/>
      <w:szCs w:val="23"/>
      <w:u w:val="none"/>
      <w:shd w:val="clear" w:color="auto" w:fill="FFFFFF"/>
      <w:lang w:val="zh-TW" w:eastAsia="zh-TW" w:bidi="zh-TW"/>
    </w:rPr>
  </w:style>
  <w:style w:type="character" w:customStyle="1" w:styleId="190">
    <w:name w:val="正文文本 (7) + 间距 0 pt Exact"/>
    <w:qFormat/>
    <w:uiPriority w:val="0"/>
    <w:rPr>
      <w:rFonts w:ascii="宋体" w:hAnsi="宋体" w:eastAsia="宋体" w:cs="宋体"/>
      <w:color w:val="000000"/>
      <w:spacing w:val="0"/>
      <w:w w:val="100"/>
      <w:position w:val="0"/>
      <w:sz w:val="22"/>
      <w:szCs w:val="22"/>
      <w:u w:val="none"/>
      <w:lang w:val="zh-TW" w:eastAsia="zh-TW" w:bidi="zh-TW"/>
    </w:rPr>
  </w:style>
  <w:style w:type="character" w:customStyle="1" w:styleId="191">
    <w:name w:val="正文文本 (7)_"/>
    <w:link w:val="192"/>
    <w:qFormat/>
    <w:uiPriority w:val="0"/>
    <w:rPr>
      <w:rFonts w:ascii="宋体" w:hAnsi="宋体" w:cs="宋体"/>
      <w:spacing w:val="10"/>
      <w:sz w:val="22"/>
      <w:szCs w:val="22"/>
      <w:shd w:val="clear" w:color="auto" w:fill="FFFFFF"/>
    </w:rPr>
  </w:style>
  <w:style w:type="paragraph" w:customStyle="1" w:styleId="192">
    <w:name w:val="正文文本 (7)"/>
    <w:basedOn w:val="1"/>
    <w:link w:val="191"/>
    <w:qFormat/>
    <w:uiPriority w:val="0"/>
    <w:pPr>
      <w:shd w:val="clear" w:color="auto" w:fill="FFFFFF"/>
      <w:spacing w:before="120" w:after="300" w:line="0" w:lineRule="atLeast"/>
      <w:jc w:val="center"/>
    </w:pPr>
    <w:rPr>
      <w:rFonts w:ascii="宋体" w:hAnsi="宋体" w:cs="宋体"/>
      <w:spacing w:val="10"/>
      <w:kern w:val="0"/>
      <w:sz w:val="22"/>
    </w:rPr>
  </w:style>
  <w:style w:type="character" w:customStyle="1" w:styleId="193">
    <w:name w:val="正文文本 (14)_"/>
    <w:link w:val="194"/>
    <w:qFormat/>
    <w:uiPriority w:val="0"/>
    <w:rPr>
      <w:rFonts w:ascii="宋体" w:hAnsi="宋体" w:cs="宋体"/>
      <w:sz w:val="18"/>
      <w:szCs w:val="18"/>
      <w:shd w:val="clear" w:color="auto" w:fill="FFFFFF"/>
    </w:rPr>
  </w:style>
  <w:style w:type="paragraph" w:customStyle="1" w:styleId="194">
    <w:name w:val="正文文本 (14)"/>
    <w:basedOn w:val="1"/>
    <w:link w:val="193"/>
    <w:qFormat/>
    <w:uiPriority w:val="0"/>
    <w:pPr>
      <w:shd w:val="clear" w:color="auto" w:fill="FFFFFF"/>
      <w:spacing w:before="300" w:line="300" w:lineRule="exact"/>
      <w:jc w:val="distribute"/>
    </w:pPr>
    <w:rPr>
      <w:rFonts w:ascii="宋体" w:hAnsi="宋体" w:cs="宋体"/>
      <w:kern w:val="0"/>
      <w:sz w:val="18"/>
      <w:szCs w:val="18"/>
    </w:rPr>
  </w:style>
  <w:style w:type="character" w:customStyle="1" w:styleId="195">
    <w:name w:val="正文文本 (2) + 间距 4 pt"/>
    <w:qFormat/>
    <w:uiPriority w:val="0"/>
    <w:rPr>
      <w:rFonts w:ascii="宋体" w:hAnsi="宋体" w:eastAsia="宋体" w:cs="宋体"/>
      <w:color w:val="000000"/>
      <w:spacing w:val="80"/>
      <w:w w:val="100"/>
      <w:position w:val="0"/>
      <w:sz w:val="22"/>
      <w:szCs w:val="22"/>
      <w:u w:val="none"/>
      <w:shd w:val="clear" w:color="auto" w:fill="FFFFFF"/>
      <w:lang w:val="zh-TW" w:eastAsia="zh-TW" w:bidi="zh-TW"/>
    </w:rPr>
  </w:style>
  <w:style w:type="character" w:customStyle="1" w:styleId="196">
    <w:name w:val="页脚 字符"/>
    <w:qFormat/>
    <w:uiPriority w:val="0"/>
    <w:rPr>
      <w:kern w:val="2"/>
      <w:sz w:val="18"/>
      <w:szCs w:val="18"/>
    </w:rPr>
  </w:style>
  <w:style w:type="character" w:customStyle="1" w:styleId="197">
    <w:name w:val="脚注文本 字符"/>
    <w:qFormat/>
    <w:uiPriority w:val="0"/>
    <w:rPr>
      <w:kern w:val="2"/>
      <w:sz w:val="18"/>
      <w:szCs w:val="18"/>
    </w:rPr>
  </w:style>
  <w:style w:type="paragraph" w:customStyle="1" w:styleId="198">
    <w:name w:val="Table Paragraph"/>
    <w:basedOn w:val="1"/>
    <w:qFormat/>
    <w:uiPriority w:val="99"/>
    <w:pPr>
      <w:autoSpaceDE w:val="0"/>
      <w:autoSpaceDN w:val="0"/>
      <w:jc w:val="left"/>
    </w:pPr>
    <w:rPr>
      <w:rFonts w:ascii="宋体" w:hAnsi="宋体" w:cs="宋体"/>
      <w:kern w:val="0"/>
      <w:sz w:val="22"/>
      <w:lang w:val="zh-CN" w:bidi="zh-CN"/>
    </w:rPr>
  </w:style>
  <w:style w:type="paragraph" w:customStyle="1" w:styleId="199">
    <w:name w:val="修订1"/>
    <w:hidden/>
    <w:qFormat/>
    <w:uiPriority w:val="99"/>
    <w:rPr>
      <w:rFonts w:ascii="Calibri" w:hAnsi="Calibri" w:eastAsia="宋体" w:cs="Times New Roman"/>
      <w:kern w:val="2"/>
      <w:sz w:val="21"/>
      <w:szCs w:val="22"/>
      <w:lang w:val="en-US" w:eastAsia="zh-CN" w:bidi="ar-SA"/>
    </w:rPr>
  </w:style>
  <w:style w:type="paragraph" w:customStyle="1" w:styleId="200">
    <w:name w:val="三级"/>
    <w:basedOn w:val="4"/>
    <w:link w:val="201"/>
    <w:qFormat/>
    <w:uiPriority w:val="0"/>
    <w:pPr>
      <w:keepNext w:val="0"/>
      <w:keepLines w:val="0"/>
      <w:spacing w:before="120" w:after="120" w:line="415" w:lineRule="auto"/>
      <w:ind w:firstLine="241" w:firstLineChars="100"/>
      <w:jc w:val="center"/>
    </w:pPr>
    <w:rPr>
      <w:rFonts w:ascii="黑体" w:hAnsi="黑体" w:eastAsia="黑体"/>
      <w:b w:val="0"/>
    </w:rPr>
  </w:style>
  <w:style w:type="character" w:customStyle="1" w:styleId="201">
    <w:name w:val="三级 Char"/>
    <w:basedOn w:val="77"/>
    <w:link w:val="200"/>
    <w:qFormat/>
    <w:uiPriority w:val="0"/>
    <w:rPr>
      <w:rFonts w:ascii="黑体" w:hAnsi="黑体" w:eastAsia="黑体"/>
      <w:b w:val="0"/>
      <w:sz w:val="32"/>
      <w:szCs w:val="32"/>
    </w:rPr>
  </w:style>
  <w:style w:type="paragraph" w:customStyle="1" w:styleId="20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3">
    <w:name w:val="xl3192"/>
    <w:basedOn w:val="1"/>
    <w:qFormat/>
    <w:uiPriority w:val="0"/>
    <w:pPr>
      <w:widowControl/>
      <w:spacing w:before="100" w:beforeAutospacing="1" w:after="100" w:afterAutospacing="1"/>
      <w:jc w:val="left"/>
    </w:pPr>
    <w:rPr>
      <w:rFonts w:ascii="黑体" w:hAnsi="黑体" w:eastAsia="黑体" w:cs="宋体"/>
      <w:b/>
      <w:bCs/>
      <w:kern w:val="0"/>
      <w:sz w:val="28"/>
      <w:szCs w:val="28"/>
    </w:rPr>
  </w:style>
  <w:style w:type="paragraph" w:customStyle="1" w:styleId="204">
    <w:name w:val="xl3193"/>
    <w:basedOn w:val="1"/>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205">
    <w:name w:val="xl3194"/>
    <w:basedOn w:val="1"/>
    <w:qFormat/>
    <w:uiPriority w:val="0"/>
    <w:pPr>
      <w:widowControl/>
      <w:spacing w:before="100" w:beforeAutospacing="1" w:after="100" w:afterAutospacing="1"/>
      <w:jc w:val="right"/>
    </w:pPr>
    <w:rPr>
      <w:rFonts w:ascii="黑体" w:hAnsi="黑体" w:eastAsia="黑体" w:cs="宋体"/>
      <w:b/>
      <w:bCs/>
      <w:kern w:val="0"/>
      <w:sz w:val="28"/>
      <w:szCs w:val="28"/>
    </w:rPr>
  </w:style>
  <w:style w:type="paragraph" w:customStyle="1" w:styleId="206">
    <w:name w:val="xl3195"/>
    <w:basedOn w:val="1"/>
    <w:qFormat/>
    <w:uiPriority w:val="0"/>
    <w:pPr>
      <w:widowControl/>
      <w:spacing w:before="100" w:beforeAutospacing="1" w:after="100" w:afterAutospacing="1"/>
      <w:ind w:firstLine="1200" w:firstLineChars="1200"/>
      <w:jc w:val="left"/>
    </w:pPr>
    <w:rPr>
      <w:rFonts w:ascii="黑体" w:hAnsi="黑体" w:eastAsia="黑体" w:cs="宋体"/>
      <w:b/>
      <w:bCs/>
      <w:kern w:val="0"/>
      <w:sz w:val="28"/>
      <w:szCs w:val="28"/>
    </w:rPr>
  </w:style>
  <w:style w:type="paragraph" w:customStyle="1" w:styleId="207">
    <w:name w:val="xl319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8">
    <w:name w:val="xl31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9">
    <w:name w:val="xl319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10">
    <w:name w:val="xl31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1">
    <w:name w:val="xl32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12">
    <w:name w:val="xl32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3">
    <w:name w:val="xl32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4">
    <w:name w:val="xl32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5">
    <w:name w:val="xl320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16">
    <w:name w:val="xl3205"/>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17">
    <w:name w:val="xl32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18">
    <w:name w:val="xl32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19">
    <w:name w:val="xl32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20">
    <w:name w:val="xl3209"/>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221">
    <w:name w:val="xl321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22">
    <w:name w:val="xl3211"/>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223">
    <w:name w:val="xl3212"/>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center"/>
    </w:pPr>
    <w:rPr>
      <w:rFonts w:ascii="宋体" w:hAnsi="宋体" w:cs="宋体"/>
      <w:kern w:val="0"/>
      <w:sz w:val="20"/>
      <w:szCs w:val="20"/>
    </w:rPr>
  </w:style>
  <w:style w:type="paragraph" w:customStyle="1" w:styleId="224">
    <w:name w:val="xl3213"/>
    <w:basedOn w:val="1"/>
    <w:qFormat/>
    <w:uiPriority w:val="0"/>
    <w:pPr>
      <w:widowControl/>
      <w:pBdr>
        <w:top w:val="single" w:color="auto" w:sz="4" w:space="0"/>
        <w:left w:val="single" w:color="auto" w:sz="4" w:space="0"/>
        <w:bottom w:val="single" w:color="auto" w:sz="4" w:space="0"/>
        <w:right w:val="single" w:color="auto" w:sz="4" w:space="0"/>
      </w:pBdr>
      <w:shd w:val="clear" w:color="000000" w:fill="F2F2F2"/>
      <w:spacing w:before="100" w:beforeAutospacing="1" w:after="100" w:afterAutospacing="1"/>
      <w:jc w:val="right"/>
    </w:pPr>
    <w:rPr>
      <w:rFonts w:ascii="宋体" w:hAnsi="宋体" w:cs="宋体"/>
      <w:kern w:val="0"/>
      <w:sz w:val="20"/>
      <w:szCs w:val="20"/>
    </w:rPr>
  </w:style>
  <w:style w:type="paragraph" w:customStyle="1" w:styleId="225">
    <w:name w:val="xl3214"/>
    <w:basedOn w:val="1"/>
    <w:qFormat/>
    <w:uiPriority w:val="0"/>
    <w:pPr>
      <w:widowControl/>
      <w:pBdr>
        <w:bottom w:val="single" w:color="auto" w:sz="4" w:space="0"/>
      </w:pBdr>
      <w:spacing w:before="100" w:beforeAutospacing="1" w:after="100" w:afterAutospacing="1"/>
      <w:jc w:val="left"/>
    </w:pPr>
    <w:rPr>
      <w:rFonts w:ascii="宋体" w:hAnsi="宋体" w:cs="宋体"/>
      <w:kern w:val="0"/>
      <w:sz w:val="20"/>
      <w:szCs w:val="20"/>
    </w:rPr>
  </w:style>
  <w:style w:type="paragraph" w:customStyle="1" w:styleId="226">
    <w:name w:val="xl321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27">
    <w:name w:val="xl321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228">
    <w:name w:val="xl32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9">
    <w:name w:val="xl321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0"/>
      <w:szCs w:val="20"/>
    </w:rPr>
  </w:style>
  <w:style w:type="paragraph" w:customStyle="1" w:styleId="230">
    <w:name w:val="xl321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kern w:val="0"/>
      <w:sz w:val="20"/>
      <w:szCs w:val="20"/>
    </w:rPr>
  </w:style>
  <w:style w:type="paragraph" w:customStyle="1" w:styleId="231">
    <w:name w:val="xl3220"/>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32">
    <w:name w:val="xl322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3">
    <w:name w:val="xl32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4">
    <w:name w:val="xl32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5">
    <w:name w:val="xl32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6">
    <w:name w:val="xl32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37">
    <w:name w:val="xl3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38">
    <w:name w:val="xl322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9">
    <w:name w:val="xl322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40">
    <w:name w:val="xl32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1">
    <w:name w:val="xl32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42">
    <w:name w:val="xl32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3">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44">
    <w:name w:val="网格型1"/>
    <w:basedOn w:val="5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网格型2"/>
    <w:basedOn w:val="5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6">
    <w:name w:val="正文文本 3 字符"/>
    <w:basedOn w:val="57"/>
    <w:link w:val="18"/>
    <w:qFormat/>
    <w:uiPriority w:val="0"/>
    <w:rPr>
      <w:rFonts w:ascii="宋体"/>
      <w:kern w:val="2"/>
      <w:sz w:val="24"/>
    </w:rPr>
  </w:style>
  <w:style w:type="character" w:customStyle="1" w:styleId="247">
    <w:name w:val="正文文本缩进 字符"/>
    <w:basedOn w:val="57"/>
    <w:link w:val="20"/>
    <w:qFormat/>
    <w:uiPriority w:val="0"/>
    <w:rPr>
      <w:kern w:val="2"/>
      <w:sz w:val="28"/>
      <w:szCs w:val="24"/>
    </w:rPr>
  </w:style>
  <w:style w:type="character" w:customStyle="1" w:styleId="248">
    <w:name w:val="正文文本首行缩进 2 字符"/>
    <w:basedOn w:val="247"/>
    <w:link w:val="54"/>
    <w:qFormat/>
    <w:uiPriority w:val="0"/>
    <w:rPr>
      <w:kern w:val="2"/>
      <w:sz w:val="21"/>
      <w:szCs w:val="24"/>
    </w:rPr>
  </w:style>
  <w:style w:type="table" w:customStyle="1" w:styleId="249">
    <w:name w:val="网格型3"/>
    <w:basedOn w:val="5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0">
    <w:name w:val="标题 7 字符"/>
    <w:link w:val="8"/>
    <w:qFormat/>
    <w:uiPriority w:val="0"/>
    <w:rPr>
      <w:bCs/>
      <w:sz w:val="24"/>
      <w:szCs w:val="24"/>
    </w:rPr>
  </w:style>
  <w:style w:type="character" w:customStyle="1" w:styleId="251">
    <w:name w:val="标题 8 字符"/>
    <w:link w:val="9"/>
    <w:qFormat/>
    <w:uiPriority w:val="0"/>
    <w:rPr>
      <w:rFonts w:ascii="Arial" w:hAnsi="Arial" w:eastAsia="黑体"/>
      <w:b/>
      <w:sz w:val="24"/>
      <w:szCs w:val="24"/>
    </w:rPr>
  </w:style>
  <w:style w:type="character" w:customStyle="1" w:styleId="252">
    <w:name w:val="标题 9 字符"/>
    <w:link w:val="10"/>
    <w:qFormat/>
    <w:uiPriority w:val="0"/>
    <w:rPr>
      <w:rFonts w:ascii="Arial" w:hAnsi="Arial" w:eastAsia="黑体"/>
      <w:b/>
      <w:sz w:val="21"/>
      <w:szCs w:val="21"/>
    </w:rPr>
  </w:style>
  <w:style w:type="character" w:customStyle="1" w:styleId="253">
    <w:name w:val="日期 字符"/>
    <w:link w:val="28"/>
    <w:qFormat/>
    <w:uiPriority w:val="0"/>
    <w:rPr>
      <w:kern w:val="2"/>
      <w:sz w:val="21"/>
      <w:szCs w:val="24"/>
    </w:rPr>
  </w:style>
  <w:style w:type="paragraph" w:customStyle="1" w:styleId="254">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255">
    <w:name w:val="批注文字 字符"/>
    <w:link w:val="17"/>
    <w:qFormat/>
    <w:uiPriority w:val="0"/>
    <w:rPr>
      <w:rFonts w:ascii="Calibri" w:hAnsi="Calibri"/>
      <w:kern w:val="2"/>
      <w:sz w:val="21"/>
      <w:szCs w:val="22"/>
    </w:rPr>
  </w:style>
  <w:style w:type="character" w:customStyle="1" w:styleId="256">
    <w:name w:val="标题 字符"/>
    <w:link w:val="51"/>
    <w:qFormat/>
    <w:uiPriority w:val="0"/>
    <w:rPr>
      <w:rFonts w:ascii="Arial" w:hAnsi="Arial" w:cs="Arial"/>
      <w:b/>
      <w:bCs/>
      <w:sz w:val="44"/>
      <w:szCs w:val="32"/>
    </w:rPr>
  </w:style>
  <w:style w:type="character" w:customStyle="1" w:styleId="257">
    <w:name w:val="正文文本缩进 3 字符"/>
    <w:link w:val="43"/>
    <w:qFormat/>
    <w:uiPriority w:val="0"/>
    <w:rPr>
      <w:kern w:val="2"/>
      <w:sz w:val="21"/>
      <w:szCs w:val="24"/>
    </w:rPr>
  </w:style>
  <w:style w:type="paragraph" w:customStyle="1" w:styleId="258">
    <w:name w:val="1"/>
    <w:basedOn w:val="1"/>
    <w:qFormat/>
    <w:uiPriority w:val="0"/>
    <w:rPr>
      <w:rFonts w:ascii="Times New Roman" w:hAnsi="Times New Roman"/>
      <w:szCs w:val="24"/>
    </w:rPr>
  </w:style>
  <w:style w:type="character" w:customStyle="1" w:styleId="259">
    <w:name w:val="font161"/>
    <w:qFormat/>
    <w:uiPriority w:val="0"/>
    <w:rPr>
      <w:b/>
      <w:bCs/>
      <w:sz w:val="32"/>
      <w:szCs w:val="32"/>
    </w:rPr>
  </w:style>
  <w:style w:type="paragraph" w:customStyle="1" w:styleId="260">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261">
    <w:name w:val="表格"/>
    <w:basedOn w:val="1"/>
    <w:qFormat/>
    <w:uiPriority w:val="0"/>
    <w:pPr>
      <w:jc w:val="center"/>
      <w:textAlignment w:val="center"/>
    </w:pPr>
    <w:rPr>
      <w:rFonts w:ascii="华文细黑" w:hAnsi="华文细黑"/>
      <w:kern w:val="0"/>
      <w:szCs w:val="20"/>
    </w:rPr>
  </w:style>
  <w:style w:type="paragraph" w:customStyle="1" w:styleId="262">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character" w:customStyle="1" w:styleId="263">
    <w:name w:val="文档结构图 字符"/>
    <w:link w:val="15"/>
    <w:qFormat/>
    <w:uiPriority w:val="0"/>
    <w:rPr>
      <w:rFonts w:ascii="Calibri" w:hAnsi="Calibri"/>
      <w:kern w:val="2"/>
      <w:sz w:val="21"/>
      <w:szCs w:val="22"/>
      <w:shd w:val="clear" w:color="auto" w:fill="000080"/>
    </w:rPr>
  </w:style>
  <w:style w:type="character" w:customStyle="1" w:styleId="264">
    <w:name w:val="正文文本缩进 2 字符"/>
    <w:link w:val="29"/>
    <w:qFormat/>
    <w:uiPriority w:val="0"/>
    <w:rPr>
      <w:kern w:val="2"/>
      <w:sz w:val="21"/>
      <w:szCs w:val="24"/>
    </w:rPr>
  </w:style>
  <w:style w:type="character" w:customStyle="1" w:styleId="265">
    <w:name w:val="正文文本 2 字符"/>
    <w:link w:val="46"/>
    <w:qFormat/>
    <w:uiPriority w:val="0"/>
    <w:rPr>
      <w:kern w:val="2"/>
      <w:sz w:val="21"/>
      <w:szCs w:val="24"/>
    </w:rPr>
  </w:style>
  <w:style w:type="paragraph" w:customStyle="1" w:styleId="266">
    <w:name w:val="表格文字居中"/>
    <w:basedOn w:val="1"/>
    <w:next w:val="1"/>
    <w:qFormat/>
    <w:uiPriority w:val="0"/>
    <w:pPr>
      <w:tabs>
        <w:tab w:val="left" w:pos="720"/>
        <w:tab w:val="left" w:pos="900"/>
      </w:tabs>
      <w:adjustRightInd w:val="0"/>
      <w:snapToGrid w:val="0"/>
      <w:spacing w:beforeLines="20" w:afterLines="20" w:line="360" w:lineRule="auto"/>
      <w:jc w:val="center"/>
    </w:pPr>
    <w:rPr>
      <w:rFonts w:ascii="宋体" w:hAnsi="Arial"/>
      <w:kern w:val="0"/>
      <w:sz w:val="18"/>
      <w:szCs w:val="20"/>
    </w:rPr>
  </w:style>
  <w:style w:type="character" w:customStyle="1" w:styleId="267">
    <w:name w:val="尾注文本 字符"/>
    <w:link w:val="30"/>
    <w:qFormat/>
    <w:uiPriority w:val="0"/>
    <w:rPr>
      <w:kern w:val="2"/>
      <w:sz w:val="21"/>
      <w:szCs w:val="24"/>
    </w:rPr>
  </w:style>
  <w:style w:type="character" w:customStyle="1" w:styleId="268">
    <w:name w:val="批注主题 字符"/>
    <w:link w:val="52"/>
    <w:qFormat/>
    <w:uiPriority w:val="0"/>
    <w:rPr>
      <w:rFonts w:ascii="Calibri" w:hAnsi="Calibri"/>
      <w:b/>
      <w:bCs/>
      <w:kern w:val="2"/>
      <w:sz w:val="21"/>
      <w:szCs w:val="22"/>
    </w:rPr>
  </w:style>
  <w:style w:type="paragraph" w:styleId="269">
    <w:name w:val="No Spacing"/>
    <w:qFormat/>
    <w:uiPriority w:val="0"/>
    <w:pPr>
      <w:widowControl w:val="0"/>
      <w:jc w:val="both"/>
    </w:pPr>
    <w:rPr>
      <w:rFonts w:ascii="Calibri" w:hAnsi="Calibri" w:eastAsia="宋体" w:cs="Times New Roman"/>
      <w:kern w:val="2"/>
      <w:sz w:val="21"/>
      <w:szCs w:val="22"/>
      <w:lang w:val="en-US" w:eastAsia="zh-CN" w:bidi="ar-SA"/>
    </w:rPr>
  </w:style>
  <w:style w:type="paragraph" w:styleId="270">
    <w:name w:val="Quote"/>
    <w:basedOn w:val="1"/>
    <w:next w:val="1"/>
    <w:link w:val="271"/>
    <w:qFormat/>
    <w:uiPriority w:val="0"/>
    <w:rPr>
      <w:i/>
      <w:iCs/>
      <w:color w:val="000000"/>
    </w:rPr>
  </w:style>
  <w:style w:type="character" w:customStyle="1" w:styleId="271">
    <w:name w:val="引用 字符"/>
    <w:basedOn w:val="57"/>
    <w:link w:val="270"/>
    <w:qFormat/>
    <w:uiPriority w:val="0"/>
    <w:rPr>
      <w:rFonts w:ascii="Calibri" w:hAnsi="Calibri"/>
      <w:i/>
      <w:iCs/>
      <w:color w:val="000000"/>
      <w:kern w:val="2"/>
      <w:sz w:val="21"/>
      <w:szCs w:val="22"/>
    </w:rPr>
  </w:style>
  <w:style w:type="paragraph" w:styleId="272">
    <w:name w:val="Intense Quote"/>
    <w:basedOn w:val="1"/>
    <w:next w:val="1"/>
    <w:link w:val="273"/>
    <w:qFormat/>
    <w:uiPriority w:val="0"/>
    <w:pPr>
      <w:pBdr>
        <w:bottom w:val="single" w:color="4F81BD" w:sz="4" w:space="4"/>
      </w:pBdr>
      <w:spacing w:before="200" w:after="280"/>
      <w:ind w:left="936" w:right="936"/>
    </w:pPr>
    <w:rPr>
      <w:b/>
      <w:bCs/>
      <w:i/>
      <w:iCs/>
      <w:color w:val="4F81BD"/>
    </w:rPr>
  </w:style>
  <w:style w:type="character" w:customStyle="1" w:styleId="273">
    <w:name w:val="明显引用 字符"/>
    <w:basedOn w:val="57"/>
    <w:link w:val="272"/>
    <w:qFormat/>
    <w:uiPriority w:val="0"/>
    <w:rPr>
      <w:rFonts w:ascii="Calibri" w:hAnsi="Calibri"/>
      <w:b/>
      <w:bCs/>
      <w:i/>
      <w:iCs/>
      <w:color w:val="4F81BD"/>
      <w:kern w:val="2"/>
      <w:sz w:val="21"/>
      <w:szCs w:val="22"/>
    </w:rPr>
  </w:style>
  <w:style w:type="paragraph" w:customStyle="1" w:styleId="274">
    <w:name w:val="flNote"/>
    <w:basedOn w:val="1"/>
    <w:qFormat/>
    <w:uiPriority w:val="0"/>
    <w:pPr>
      <w:adjustRightInd w:val="0"/>
      <w:spacing w:before="320" w:after="160" w:line="360" w:lineRule="atLeast"/>
      <w:jc w:val="center"/>
    </w:pPr>
    <w:rPr>
      <w:rFonts w:ascii="Arial" w:hAnsi="Times New Roman" w:eastAsia="黑体"/>
      <w:kern w:val="0"/>
      <w:sz w:val="30"/>
      <w:szCs w:val="20"/>
    </w:rPr>
  </w:style>
  <w:style w:type="character" w:customStyle="1" w:styleId="275">
    <w:name w:val="标题4 Char Char"/>
    <w:link w:val="276"/>
    <w:qFormat/>
    <w:locked/>
    <w:uiPriority w:val="0"/>
    <w:rPr>
      <w:rFonts w:ascii="Arial" w:hAnsi="Arial" w:cs="Arial"/>
      <w:b/>
      <w:bCs/>
      <w:sz w:val="24"/>
      <w:szCs w:val="32"/>
    </w:rPr>
  </w:style>
  <w:style w:type="paragraph" w:customStyle="1" w:styleId="276">
    <w:name w:val="标题4"/>
    <w:basedOn w:val="3"/>
    <w:next w:val="23"/>
    <w:link w:val="275"/>
    <w:qFormat/>
    <w:uiPriority w:val="0"/>
    <w:pPr>
      <w:spacing w:line="412" w:lineRule="auto"/>
    </w:pPr>
    <w:rPr>
      <w:rFonts w:ascii="Arial" w:hAnsi="Arial" w:cs="Arial"/>
      <w:sz w:val="24"/>
    </w:rPr>
  </w:style>
  <w:style w:type="character" w:customStyle="1" w:styleId="277">
    <w:name w:val="标题5 Char Char"/>
    <w:link w:val="278"/>
    <w:qFormat/>
    <w:locked/>
    <w:uiPriority w:val="0"/>
    <w:rPr>
      <w:rFonts w:ascii="Arial" w:hAnsi="Arial" w:cs="Arial"/>
      <w:b/>
      <w:bCs/>
      <w:sz w:val="24"/>
      <w:szCs w:val="32"/>
    </w:rPr>
  </w:style>
  <w:style w:type="paragraph" w:customStyle="1" w:styleId="278">
    <w:name w:val="标题5"/>
    <w:basedOn w:val="4"/>
    <w:link w:val="277"/>
    <w:qFormat/>
    <w:uiPriority w:val="0"/>
    <w:pPr>
      <w:spacing w:line="412" w:lineRule="auto"/>
    </w:pPr>
    <w:rPr>
      <w:rFonts w:ascii="Arial" w:hAnsi="Arial" w:cs="Arial"/>
      <w:sz w:val="24"/>
    </w:rPr>
  </w:style>
  <w:style w:type="paragraph" w:customStyle="1" w:styleId="279">
    <w:name w:val="空半行"/>
    <w:basedOn w:val="1"/>
    <w:qFormat/>
    <w:uiPriority w:val="0"/>
    <w:pPr>
      <w:adjustRightInd w:val="0"/>
      <w:spacing w:line="120" w:lineRule="exact"/>
    </w:pPr>
    <w:rPr>
      <w:rFonts w:ascii="Times New Roman" w:hAnsi="Times New Roman" w:eastAsia="仿宋_GB2312"/>
      <w:color w:val="FFFFFF"/>
      <w:kern w:val="0"/>
      <w:sz w:val="30"/>
      <w:szCs w:val="20"/>
    </w:rPr>
  </w:style>
  <w:style w:type="character" w:customStyle="1" w:styleId="280">
    <w:name w:val="不明显强调1"/>
    <w:qFormat/>
    <w:uiPriority w:val="0"/>
    <w:rPr>
      <w:i/>
      <w:iCs/>
      <w:color w:val="808080"/>
    </w:rPr>
  </w:style>
  <w:style w:type="character" w:customStyle="1" w:styleId="281">
    <w:name w:val="明显强调1"/>
    <w:qFormat/>
    <w:uiPriority w:val="0"/>
    <w:rPr>
      <w:b/>
      <w:bCs/>
      <w:i/>
      <w:iCs/>
      <w:color w:val="4F81BD"/>
    </w:rPr>
  </w:style>
  <w:style w:type="character" w:customStyle="1" w:styleId="282">
    <w:name w:val="不明显参考1"/>
    <w:qFormat/>
    <w:uiPriority w:val="0"/>
    <w:rPr>
      <w:smallCaps/>
      <w:color w:val="C0504D"/>
      <w:u w:val="single"/>
    </w:rPr>
  </w:style>
  <w:style w:type="character" w:customStyle="1" w:styleId="283">
    <w:name w:val="明显参考1"/>
    <w:qFormat/>
    <w:uiPriority w:val="0"/>
    <w:rPr>
      <w:b/>
      <w:bCs/>
      <w:smallCaps/>
      <w:color w:val="C0504D"/>
      <w:spacing w:val="5"/>
      <w:u w:val="single"/>
    </w:rPr>
  </w:style>
  <w:style w:type="character" w:customStyle="1" w:styleId="284">
    <w:name w:val="书籍标题1"/>
    <w:qFormat/>
    <w:uiPriority w:val="0"/>
    <w:rPr>
      <w:b/>
      <w:bCs/>
      <w:smallCaps/>
      <w:spacing w:val="5"/>
    </w:rPr>
  </w:style>
  <w:style w:type="character" w:customStyle="1" w:styleId="285">
    <w:name w:val="textcontents"/>
    <w:qFormat/>
    <w:uiPriority w:val="0"/>
    <w:rPr>
      <w:rFonts w:hint="default" w:ascii="Times New Roman" w:hAnsi="Times New Roman" w:cs="Times New Roman"/>
    </w:rPr>
  </w:style>
  <w:style w:type="character" w:customStyle="1" w:styleId="286">
    <w:name w:val="日期 Char1"/>
    <w:qFormat/>
    <w:uiPriority w:val="0"/>
    <w:rPr>
      <w:kern w:val="2"/>
      <w:sz w:val="21"/>
      <w:szCs w:val="22"/>
    </w:rPr>
  </w:style>
  <w:style w:type="character" w:customStyle="1" w:styleId="287">
    <w:name w:val="正文文本 Char1"/>
    <w:qFormat/>
    <w:uiPriority w:val="0"/>
    <w:rPr>
      <w:kern w:val="2"/>
      <w:sz w:val="21"/>
      <w:szCs w:val="22"/>
    </w:rPr>
  </w:style>
  <w:style w:type="character" w:customStyle="1" w:styleId="288">
    <w:name w:val="批注主题 Char1"/>
    <w:qFormat/>
    <w:uiPriority w:val="0"/>
    <w:rPr>
      <w:b/>
      <w:bCs/>
      <w:kern w:val="2"/>
      <w:sz w:val="21"/>
      <w:szCs w:val="22"/>
    </w:rPr>
  </w:style>
  <w:style w:type="character" w:customStyle="1" w:styleId="289">
    <w:name w:val="批注文字 Char Char"/>
    <w:qFormat/>
    <w:uiPriority w:val="0"/>
    <w:rPr>
      <w:rFonts w:hint="eastAsia" w:ascii="宋体" w:hAnsi="Times New Roman" w:eastAsia="宋体" w:cs="Times New Roman"/>
      <w:sz w:val="28"/>
      <w:szCs w:val="20"/>
    </w:rPr>
  </w:style>
  <w:style w:type="character" w:customStyle="1" w:styleId="290">
    <w:name w:val="批注框文本 Char1"/>
    <w:qFormat/>
    <w:uiPriority w:val="0"/>
    <w:rPr>
      <w:kern w:val="2"/>
      <w:sz w:val="18"/>
      <w:szCs w:val="18"/>
    </w:rPr>
  </w:style>
  <w:style w:type="character" w:customStyle="1" w:styleId="291">
    <w:name w:val="文档结构图 Char1"/>
    <w:qFormat/>
    <w:uiPriority w:val="0"/>
    <w:rPr>
      <w:rFonts w:hint="eastAsia" w:ascii="宋体" w:hAnsi="宋体" w:eastAsia="宋体"/>
      <w:kern w:val="2"/>
      <w:sz w:val="18"/>
      <w:szCs w:val="18"/>
    </w:rPr>
  </w:style>
  <w:style w:type="character" w:customStyle="1" w:styleId="292">
    <w:name w:val="批注文字 Char1"/>
    <w:qFormat/>
    <w:uiPriority w:val="0"/>
    <w:rPr>
      <w:kern w:val="2"/>
      <w:sz w:val="21"/>
      <w:szCs w:val="22"/>
    </w:rPr>
  </w:style>
  <w:style w:type="character" w:customStyle="1" w:styleId="293">
    <w:name w:val="副标题 Char1"/>
    <w:qFormat/>
    <w:uiPriority w:val="0"/>
    <w:rPr>
      <w:rFonts w:hint="default" w:ascii="Cambria" w:hAnsi="Cambria" w:cs="Times New Roman"/>
      <w:b/>
      <w:bCs/>
      <w:kern w:val="28"/>
      <w:sz w:val="32"/>
      <w:szCs w:val="32"/>
    </w:rPr>
  </w:style>
  <w:style w:type="character" w:customStyle="1" w:styleId="294">
    <w:name w:val="标题 Char1"/>
    <w:qFormat/>
    <w:uiPriority w:val="0"/>
    <w:rPr>
      <w:rFonts w:hint="default" w:ascii="Cambria" w:hAnsi="Cambria" w:cs="Times New Roman"/>
      <w:b/>
      <w:bCs/>
      <w:kern w:val="2"/>
      <w:sz w:val="32"/>
      <w:szCs w:val="32"/>
    </w:rPr>
  </w:style>
  <w:style w:type="character" w:customStyle="1" w:styleId="295">
    <w:name w:val="明显引用 Char1"/>
    <w:qFormat/>
    <w:uiPriority w:val="30"/>
    <w:rPr>
      <w:b/>
      <w:bCs/>
      <w:i/>
      <w:iCs/>
      <w:color w:val="4F81BD"/>
      <w:kern w:val="2"/>
      <w:sz w:val="21"/>
      <w:szCs w:val="22"/>
    </w:rPr>
  </w:style>
  <w:style w:type="character" w:customStyle="1" w:styleId="296">
    <w:name w:val="页眉 Char1"/>
    <w:semiHidden/>
    <w:qFormat/>
    <w:uiPriority w:val="99"/>
    <w:rPr>
      <w:kern w:val="2"/>
      <w:sz w:val="18"/>
      <w:szCs w:val="18"/>
    </w:rPr>
  </w:style>
  <w:style w:type="character" w:customStyle="1" w:styleId="297">
    <w:name w:val="文档结构图 Char2"/>
    <w:qFormat/>
    <w:uiPriority w:val="0"/>
    <w:rPr>
      <w:rFonts w:hint="eastAsia" w:ascii="宋体" w:hAnsi="宋体" w:eastAsia="宋体"/>
      <w:kern w:val="2"/>
      <w:sz w:val="18"/>
      <w:szCs w:val="18"/>
    </w:rPr>
  </w:style>
  <w:style w:type="character" w:customStyle="1" w:styleId="298">
    <w:name w:val="正文文本 Char2"/>
    <w:qFormat/>
    <w:uiPriority w:val="0"/>
    <w:rPr>
      <w:kern w:val="2"/>
      <w:sz w:val="21"/>
      <w:szCs w:val="22"/>
    </w:rPr>
  </w:style>
  <w:style w:type="character" w:customStyle="1" w:styleId="299">
    <w:name w:val="引用 Char1"/>
    <w:qFormat/>
    <w:uiPriority w:val="29"/>
    <w:rPr>
      <w:i/>
      <w:iCs/>
      <w:color w:val="000000"/>
      <w:kern w:val="2"/>
      <w:sz w:val="21"/>
      <w:szCs w:val="22"/>
    </w:rPr>
  </w:style>
  <w:style w:type="character" w:customStyle="1" w:styleId="300">
    <w:name w:val="页脚 Char1"/>
    <w:semiHidden/>
    <w:qFormat/>
    <w:uiPriority w:val="99"/>
    <w:rPr>
      <w:kern w:val="2"/>
      <w:sz w:val="18"/>
      <w:szCs w:val="18"/>
    </w:rPr>
  </w:style>
  <w:style w:type="character" w:customStyle="1" w:styleId="301">
    <w:name w:val="批注主题 Char2"/>
    <w:qFormat/>
    <w:uiPriority w:val="0"/>
    <w:rPr>
      <w:b/>
      <w:bCs/>
      <w:kern w:val="2"/>
      <w:sz w:val="21"/>
      <w:szCs w:val="22"/>
    </w:rPr>
  </w:style>
  <w:style w:type="character" w:customStyle="1" w:styleId="302">
    <w:name w:val="日期 Char2"/>
    <w:qFormat/>
    <w:uiPriority w:val="0"/>
    <w:rPr>
      <w:kern w:val="2"/>
      <w:sz w:val="21"/>
      <w:szCs w:val="22"/>
    </w:rPr>
  </w:style>
  <w:style w:type="character" w:customStyle="1" w:styleId="303">
    <w:name w:val="批注框文本 Char2"/>
    <w:qFormat/>
    <w:uiPriority w:val="0"/>
    <w:rPr>
      <w:kern w:val="2"/>
      <w:sz w:val="18"/>
      <w:szCs w:val="18"/>
    </w:rPr>
  </w:style>
  <w:style w:type="paragraph" w:customStyle="1" w:styleId="304">
    <w:name w:val="Char Char1"/>
    <w:basedOn w:val="1"/>
    <w:qFormat/>
    <w:uiPriority w:val="0"/>
    <w:rPr>
      <w:rFonts w:ascii="Tahoma" w:hAnsi="Tahoma"/>
      <w:sz w:val="24"/>
      <w:szCs w:val="20"/>
    </w:rPr>
  </w:style>
  <w:style w:type="paragraph" w:customStyle="1" w:styleId="305">
    <w:name w:val="样式 标题 1 + 居中"/>
    <w:basedOn w:val="2"/>
    <w:qFormat/>
    <w:uiPriority w:val="0"/>
    <w:pPr>
      <w:spacing w:line="360" w:lineRule="auto"/>
      <w:jc w:val="center"/>
    </w:pPr>
    <w:rPr>
      <w:rFonts w:ascii="Times New Roman" w:hAnsi="Times New Roman" w:cs="宋体"/>
      <w:szCs w:val="20"/>
    </w:rPr>
  </w:style>
  <w:style w:type="paragraph" w:customStyle="1" w:styleId="306">
    <w:name w:val="样式 标题 1 + 居中1"/>
    <w:basedOn w:val="2"/>
    <w:qFormat/>
    <w:uiPriority w:val="0"/>
    <w:pPr>
      <w:spacing w:line="240" w:lineRule="auto"/>
      <w:jc w:val="center"/>
    </w:pPr>
    <w:rPr>
      <w:rFonts w:ascii="Times New Roman" w:hAnsi="Times New Roman" w:cs="宋体"/>
      <w:szCs w:val="20"/>
    </w:rPr>
  </w:style>
  <w:style w:type="paragraph" w:customStyle="1" w:styleId="307">
    <w:name w:val="样式 标题 3 + 字符缩放: 99%"/>
    <w:basedOn w:val="4"/>
    <w:qFormat/>
    <w:uiPriority w:val="0"/>
    <w:pPr>
      <w:spacing w:line="240" w:lineRule="auto"/>
    </w:pPr>
    <w:rPr>
      <w:rFonts w:ascii="Times New Roman" w:hAnsi="Times New Roman"/>
      <w:w w:val="99"/>
      <w:sz w:val="24"/>
    </w:rPr>
  </w:style>
  <w:style w:type="paragraph" w:customStyle="1" w:styleId="308">
    <w:name w:val="样式 标题 2 + 字符缩放: 99%"/>
    <w:basedOn w:val="3"/>
    <w:qFormat/>
    <w:uiPriority w:val="0"/>
    <w:pPr>
      <w:spacing w:line="240" w:lineRule="auto"/>
    </w:pPr>
    <w:rPr>
      <w:rFonts w:ascii="Arial" w:hAnsi="Arial"/>
      <w:w w:val="99"/>
    </w:rPr>
  </w:style>
  <w:style w:type="paragraph" w:customStyle="1" w:styleId="309">
    <w:name w:val="样式 标题 2 + 字符缩放: 99%1"/>
    <w:basedOn w:val="3"/>
    <w:qFormat/>
    <w:uiPriority w:val="0"/>
    <w:pPr>
      <w:spacing w:line="240" w:lineRule="auto"/>
    </w:pPr>
    <w:rPr>
      <w:rFonts w:ascii="Arial" w:hAnsi="Arial"/>
      <w:w w:val="99"/>
    </w:rPr>
  </w:style>
  <w:style w:type="paragraph" w:customStyle="1" w:styleId="310">
    <w:name w:val="样式 标题 2 + 字符缩放: 105%"/>
    <w:basedOn w:val="3"/>
    <w:qFormat/>
    <w:uiPriority w:val="0"/>
    <w:pPr>
      <w:spacing w:line="240" w:lineRule="auto"/>
    </w:pPr>
    <w:rPr>
      <w:rFonts w:ascii="Arial" w:hAnsi="Arial"/>
      <w:w w:val="105"/>
    </w:rPr>
  </w:style>
  <w:style w:type="paragraph" w:customStyle="1" w:styleId="311">
    <w:name w:val="样式 标题 1 + 仿宋_GB2312"/>
    <w:basedOn w:val="2"/>
    <w:qFormat/>
    <w:uiPriority w:val="0"/>
    <w:rPr>
      <w:rFonts w:ascii="仿宋_GB2312" w:hAnsi="仿宋_GB2312" w:eastAsia="仿宋_GB2312"/>
    </w:rPr>
  </w:style>
  <w:style w:type="paragraph" w:customStyle="1" w:styleId="312">
    <w:name w:val="样式1"/>
    <w:basedOn w:val="3"/>
    <w:qFormat/>
    <w:uiPriority w:val="0"/>
    <w:pPr>
      <w:keepNext w:val="0"/>
      <w:keepLines w:val="0"/>
      <w:widowControl/>
      <w:adjustRightInd w:val="0"/>
      <w:spacing w:before="0" w:after="0" w:line="460" w:lineRule="exact"/>
      <w:jc w:val="center"/>
      <w:textAlignment w:val="baseline"/>
    </w:pPr>
    <w:rPr>
      <w:rFonts w:ascii="Times New Roman" w:hAnsi="Times New Roman"/>
      <w:sz w:val="24"/>
      <w:szCs w:val="20"/>
    </w:rPr>
  </w:style>
  <w:style w:type="paragraph" w:customStyle="1" w:styleId="313">
    <w:name w:val="样式2"/>
    <w:basedOn w:val="2"/>
    <w:qFormat/>
    <w:uiPriority w:val="0"/>
    <w:pPr>
      <w:adjustRightInd w:val="0"/>
      <w:spacing w:before="0" w:after="0" w:line="360" w:lineRule="auto"/>
      <w:jc w:val="center"/>
      <w:textAlignment w:val="baseline"/>
    </w:pPr>
    <w:rPr>
      <w:rFonts w:ascii="Times New Roman" w:hAnsi="Times New Roman"/>
      <w:sz w:val="36"/>
      <w:szCs w:val="36"/>
    </w:rPr>
  </w:style>
  <w:style w:type="character" w:customStyle="1" w:styleId="314">
    <w:name w:val="正文文本缩进 Char1"/>
    <w:basedOn w:val="57"/>
    <w:qFormat/>
    <w:uiPriority w:val="0"/>
    <w:rPr>
      <w:rFonts w:ascii="Times New Roman" w:hAnsi="Times New Roman"/>
      <w:kern w:val="2"/>
      <w:sz w:val="28"/>
      <w:szCs w:val="24"/>
    </w:rPr>
  </w:style>
  <w:style w:type="paragraph" w:customStyle="1" w:styleId="315">
    <w:name w:val="正文1"/>
    <w:qFormat/>
    <w:uiPriority w:val="0"/>
    <w:pPr>
      <w:widowControl w:val="0"/>
      <w:autoSpaceDE w:val="0"/>
      <w:autoSpaceDN w:val="0"/>
      <w:adjustRightInd w:val="0"/>
      <w:spacing w:line="0" w:lineRule="atLeast"/>
      <w:textAlignment w:val="bottom"/>
    </w:pPr>
    <w:rPr>
      <w:rFonts w:ascii="宋体" w:hAnsi="Times New Roman" w:eastAsia="宋体" w:cs="Times New Roman"/>
      <w:spacing w:val="10"/>
      <w:sz w:val="21"/>
      <w:lang w:val="en-US" w:eastAsia="zh-CN" w:bidi="ar-SA"/>
    </w:rPr>
  </w:style>
  <w:style w:type="paragraph" w:customStyle="1" w:styleId="316">
    <w:name w:val="修订2"/>
    <w:hidden/>
    <w:unhideWhenUsed/>
    <w:qFormat/>
    <w:uiPriority w:val="99"/>
    <w:rPr>
      <w:rFonts w:ascii="Calibri" w:hAnsi="Calibri" w:eastAsia="宋体" w:cs="Times New Roman"/>
      <w:kern w:val="2"/>
      <w:sz w:val="21"/>
      <w:szCs w:val="22"/>
      <w:lang w:val="en-US" w:eastAsia="zh-CN" w:bidi="ar-SA"/>
    </w:rPr>
  </w:style>
  <w:style w:type="character" w:customStyle="1" w:styleId="317">
    <w:name w:val="font01"/>
    <w:basedOn w:val="57"/>
    <w:qFormat/>
    <w:uiPriority w:val="0"/>
    <w:rPr>
      <w:rFonts w:hint="eastAsia" w:ascii="宋体" w:hAnsi="宋体" w:eastAsia="宋体" w:cs="宋体"/>
      <w:color w:val="000000"/>
      <w:sz w:val="22"/>
      <w:szCs w:val="22"/>
      <w:u w:val="none"/>
    </w:rPr>
  </w:style>
  <w:style w:type="character" w:customStyle="1" w:styleId="318">
    <w:name w:val="font31"/>
    <w:basedOn w:val="57"/>
    <w:qFormat/>
    <w:uiPriority w:val="0"/>
    <w:rPr>
      <w:rFonts w:hint="eastAsia" w:ascii="宋体" w:hAnsi="宋体" w:eastAsia="宋体" w:cs="宋体"/>
      <w:color w:val="000000"/>
      <w:sz w:val="22"/>
      <w:szCs w:val="22"/>
      <w:u w:val="none"/>
      <w:vertAlign w:val="superscript"/>
    </w:rPr>
  </w:style>
  <w:style w:type="character" w:customStyle="1" w:styleId="319">
    <w:name w:val="font21"/>
    <w:basedOn w:val="57"/>
    <w:qFormat/>
    <w:uiPriority w:val="0"/>
    <w:rPr>
      <w:rFonts w:hint="eastAsia" w:ascii="宋体" w:hAnsi="宋体" w:eastAsia="宋体" w:cs="宋体"/>
      <w:color w:val="000000"/>
      <w:sz w:val="22"/>
      <w:szCs w:val="22"/>
      <w:u w:val="none"/>
      <w:vertAlign w:val="superscript"/>
    </w:rPr>
  </w:style>
  <w:style w:type="character" w:customStyle="1" w:styleId="320">
    <w:name w:val="font11"/>
    <w:basedOn w:val="57"/>
    <w:qFormat/>
    <w:uiPriority w:val="0"/>
    <w:rPr>
      <w:rFonts w:hint="eastAsia" w:ascii="宋体" w:hAnsi="宋体" w:eastAsia="宋体" w:cs="宋体"/>
      <w:color w:val="FF0000"/>
      <w:sz w:val="22"/>
      <w:szCs w:val="22"/>
      <w:u w:val="none"/>
    </w:rPr>
  </w:style>
  <w:style w:type="character" w:customStyle="1" w:styleId="321">
    <w:name w:val="font41"/>
    <w:basedOn w:val="57"/>
    <w:qFormat/>
    <w:uiPriority w:val="0"/>
    <w:rPr>
      <w:rFonts w:hint="eastAsia" w:ascii="宋体" w:hAnsi="宋体" w:eastAsia="宋体" w:cs="宋体"/>
      <w:color w:val="000000"/>
      <w:sz w:val="22"/>
      <w:szCs w:val="22"/>
      <w:u w:val="none"/>
      <w:vertAlign w:val="superscript"/>
    </w:rPr>
  </w:style>
  <w:style w:type="character" w:customStyle="1" w:styleId="322">
    <w:name w:val="正文文本 (10) + 间距 0 pt"/>
    <w:qFormat/>
    <w:uiPriority w:val="0"/>
    <w:rPr>
      <w:rFonts w:ascii="宋体" w:hAnsi="宋体" w:eastAsia="宋体" w:cs="宋体"/>
      <w:color w:val="000000"/>
      <w:spacing w:val="0"/>
      <w:w w:val="100"/>
      <w:position w:val="0"/>
      <w:sz w:val="26"/>
      <w:szCs w:val="26"/>
      <w:u w:val="none"/>
      <w:lang w:val="zh-TW" w:eastAsia="zh-TW" w:bidi="zh-TW"/>
    </w:rPr>
  </w:style>
  <w:style w:type="character" w:customStyle="1" w:styleId="323">
    <w:name w:val="正文文本 (10)_"/>
    <w:link w:val="324"/>
    <w:qFormat/>
    <w:uiPriority w:val="0"/>
    <w:rPr>
      <w:rFonts w:ascii="宋体" w:hAnsi="宋体" w:cs="宋体"/>
      <w:spacing w:val="30"/>
      <w:sz w:val="26"/>
      <w:szCs w:val="26"/>
      <w:shd w:val="clear" w:color="auto" w:fill="FFFFFF"/>
    </w:rPr>
  </w:style>
  <w:style w:type="paragraph" w:customStyle="1" w:styleId="324">
    <w:name w:val="正文文本 (10)"/>
    <w:basedOn w:val="1"/>
    <w:link w:val="323"/>
    <w:qFormat/>
    <w:uiPriority w:val="0"/>
    <w:pPr>
      <w:shd w:val="clear" w:color="auto" w:fill="FFFFFF"/>
      <w:spacing w:line="602" w:lineRule="exact"/>
      <w:jc w:val="distribute"/>
    </w:pPr>
    <w:rPr>
      <w:rFonts w:ascii="宋体" w:hAnsi="宋体" w:cs="宋体"/>
      <w:spacing w:val="30"/>
      <w:kern w:val="0"/>
      <w:sz w:val="26"/>
      <w:szCs w:val="26"/>
    </w:rPr>
  </w:style>
  <w:style w:type="character" w:customStyle="1" w:styleId="325">
    <w:name w:val="layui-laypage-curr"/>
    <w:basedOn w:val="57"/>
    <w:qFormat/>
    <w:uiPriority w:val="0"/>
  </w:style>
  <w:style w:type="character" w:customStyle="1" w:styleId="326">
    <w:name w:val="bsharetext"/>
    <w:basedOn w:val="57"/>
    <w:qFormat/>
    <w:uiPriority w:val="0"/>
  </w:style>
  <w:style w:type="character" w:customStyle="1" w:styleId="327">
    <w:name w:val="font61"/>
    <w:basedOn w:val="57"/>
    <w:qFormat/>
    <w:uiPriority w:val="0"/>
    <w:rPr>
      <w:rFonts w:hint="eastAsia" w:ascii="宋体" w:hAnsi="宋体" w:eastAsia="宋体"/>
      <w:color w:val="000000"/>
      <w:sz w:val="24"/>
      <w:szCs w:val="24"/>
      <w:u w:val="none"/>
      <w:vertAlign w:val="superscript"/>
    </w:rPr>
  </w:style>
  <w:style w:type="character" w:customStyle="1" w:styleId="328">
    <w:name w:val="font51"/>
    <w:basedOn w:val="57"/>
    <w:qFormat/>
    <w:uiPriority w:val="0"/>
    <w:rPr>
      <w:rFonts w:hint="eastAsia" w:ascii="宋体" w:hAnsi="宋体" w:eastAsia="宋体"/>
      <w:color w:val="000000"/>
      <w:sz w:val="24"/>
      <w:szCs w:val="24"/>
      <w:u w:val="none"/>
    </w:rPr>
  </w:style>
  <w:style w:type="character" w:customStyle="1" w:styleId="329">
    <w:name w:val="font71"/>
    <w:basedOn w:val="57"/>
    <w:qFormat/>
    <w:uiPriority w:val="0"/>
    <w:rPr>
      <w:rFonts w:hint="eastAsia" w:ascii="宋体" w:hAnsi="宋体" w:eastAsia="宋体"/>
      <w:color w:val="000000"/>
      <w:sz w:val="24"/>
      <w:szCs w:val="24"/>
      <w:u w:val="none"/>
      <w:vertAlign w:val="superscript"/>
    </w:rPr>
  </w:style>
  <w:style w:type="paragraph" w:customStyle="1" w:styleId="330">
    <w:name w:val="列出段落11"/>
    <w:basedOn w:val="1"/>
    <w:qFormat/>
    <w:uiPriority w:val="34"/>
    <w:pPr>
      <w:ind w:firstLine="420" w:firstLineChars="200"/>
    </w:pPr>
    <w:rPr>
      <w:rFonts w:ascii="等线" w:hAnsi="等线" w:eastAsia="等线"/>
      <w:szCs w:val="24"/>
    </w:rPr>
  </w:style>
  <w:style w:type="character" w:customStyle="1" w:styleId="331">
    <w:name w:val="Font Style32"/>
    <w:qFormat/>
    <w:uiPriority w:val="0"/>
    <w:rPr>
      <w:rFonts w:ascii="宋体" w:hAnsi="Times New Roman" w:eastAsia="宋体" w:cs="宋体"/>
      <w:sz w:val="22"/>
      <w:szCs w:val="22"/>
      <w:lang w:val="en-US" w:eastAsia="zh-CN" w:bidi="ar-SA"/>
    </w:rPr>
  </w:style>
  <w:style w:type="character" w:customStyle="1" w:styleId="332">
    <w:name w:val="edui-clickable2"/>
    <w:basedOn w:val="57"/>
    <w:qFormat/>
    <w:uiPriority w:val="0"/>
    <w:rPr>
      <w:color w:val="0000FF"/>
      <w:u w:val="single"/>
    </w:rPr>
  </w:style>
  <w:style w:type="character" w:customStyle="1" w:styleId="333">
    <w:name w:val="edui-unclickable"/>
    <w:basedOn w:val="57"/>
    <w:qFormat/>
    <w:uiPriority w:val="0"/>
    <w:rPr>
      <w:color w:val="808080"/>
    </w:rPr>
  </w:style>
  <w:style w:type="paragraph" w:customStyle="1" w:styleId="334">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35">
    <w:name w:val="bigfont"/>
    <w:basedOn w:val="57"/>
    <w:qFormat/>
    <w:uiPriority w:val="0"/>
    <w:rPr>
      <w:sz w:val="45"/>
      <w:szCs w:val="45"/>
    </w:rPr>
  </w:style>
  <w:style w:type="character" w:customStyle="1" w:styleId="336">
    <w:name w:val="after"/>
    <w:basedOn w:val="57"/>
    <w:qFormat/>
    <w:uiPriority w:val="0"/>
    <w:rPr>
      <w:shd w:val="clear" w:color="auto" w:fill="FFA873"/>
    </w:rPr>
  </w:style>
  <w:style w:type="character" w:customStyle="1" w:styleId="337">
    <w:name w:val="after1"/>
    <w:basedOn w:val="57"/>
    <w:qFormat/>
    <w:uiPriority w:val="0"/>
  </w:style>
  <w:style w:type="character" w:customStyle="1" w:styleId="338">
    <w:name w:val="before20"/>
    <w:basedOn w:val="57"/>
    <w:qFormat/>
    <w:uiPriority w:val="0"/>
    <w:rPr>
      <w:shd w:val="clear" w:color="auto" w:fill="ABB1BA"/>
    </w:rPr>
  </w:style>
  <w:style w:type="paragraph" w:customStyle="1" w:styleId="339">
    <w:name w:val="正文文本 (6)"/>
    <w:basedOn w:val="1"/>
    <w:qFormat/>
    <w:uiPriority w:val="0"/>
    <w:pPr>
      <w:shd w:val="clear" w:color="auto" w:fill="FFFFFF"/>
      <w:spacing w:before="120" w:after="240" w:line="0" w:lineRule="atLeast"/>
      <w:jc w:val="center"/>
    </w:pPr>
    <w:rPr>
      <w:rFonts w:ascii="@PMingLiU" w:hAnsi="@PMingLiU" w:eastAsia="@PMingLiU" w:cs="@PMingLiU"/>
      <w:kern w:val="0"/>
      <w:sz w:val="19"/>
      <w:szCs w:val="19"/>
    </w:rPr>
  </w:style>
  <w:style w:type="paragraph" w:customStyle="1" w:styleId="340">
    <w:name w:val="Char2"/>
    <w:basedOn w:val="1"/>
    <w:qFormat/>
    <w:uiPriority w:val="0"/>
    <w:pPr>
      <w:spacing w:line="360" w:lineRule="auto"/>
      <w:ind w:firstLine="200" w:firstLineChars="200"/>
    </w:pPr>
    <w:rPr>
      <w:rFonts w:ascii="@PMingLiU" w:hAnsi="@PMingLiU" w:cs="@PMingLiU"/>
      <w:sz w:val="24"/>
      <w:szCs w:val="24"/>
    </w:rPr>
  </w:style>
  <w:style w:type="paragraph" w:customStyle="1" w:styleId="341">
    <w:name w:val="Table Text"/>
    <w:basedOn w:val="1"/>
    <w:semiHidden/>
    <w:qFormat/>
    <w:uiPriority w:val="0"/>
    <w:rPr>
      <w:rFonts w:ascii="宋体" w:hAnsi="宋体" w:cs="宋体"/>
      <w:sz w:val="20"/>
      <w:szCs w:val="20"/>
      <w:lang w:eastAsia="en-US"/>
    </w:rPr>
  </w:style>
  <w:style w:type="character" w:customStyle="1" w:styleId="342">
    <w:name w:val="edui-clickable"/>
    <w:basedOn w:val="57"/>
    <w:qFormat/>
    <w:uiPriority w:val="0"/>
    <w:rPr>
      <w:color w:val="0000FF"/>
      <w:u w:val="single"/>
    </w:rPr>
  </w:style>
  <w:style w:type="paragraph" w:customStyle="1" w:styleId="343">
    <w:name w:val="MSG_EN_FONT_STYLE_NAME_TEMPLATE_ROLE_LEVEL MSG_EN_FONT_STYLE_NAME_BY_ROLE_HEADING 6"/>
    <w:basedOn w:val="1"/>
    <w:qFormat/>
    <w:uiPriority w:val="0"/>
    <w:pPr>
      <w:shd w:val="clear" w:color="auto" w:fill="FFFFFF"/>
      <w:spacing w:before="460" w:after="760" w:line="300" w:lineRule="exact"/>
      <w:jc w:val="distribute"/>
      <w:outlineLvl w:val="5"/>
    </w:pPr>
    <w:rPr>
      <w:rFonts w:ascii="@SJQY" w:hAnsi="@SJQY" w:eastAsia="@SJQY" w:cs="@SJQY"/>
      <w:sz w:val="30"/>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a79fa86e-3d03-4f61-8315-c528b761f898</errorID>
      <errorWord>(</errorWord>
      <group>L1_Format</group>
      <groupName>格式问题</groupName>
      <ability>L2_HalfPunc_CN</ability>
      <abilityName>全半角问题</abilityName>
      <candidateList>
        <item>（</item>
      </candidateList>
      <explain>文本全半角错误。</explain>
      <paraID>6AE3122F</paraID>
      <start>19</start>
      <end>20</end>
      <status>unmodified</status>
      <modifiedWord/>
      <trackRevisions>false</trackRevisions>
    </reviewItem>
    <reviewItem>
      <errorID>2ad1879e-3bdb-42b1-b453-0dd1d534c90f</errorID>
      <errorWord>)</errorWord>
      <group>L1_Format</group>
      <groupName>格式问题</groupName>
      <ability>L2_HalfPunc_CN</ability>
      <abilityName>全半角问题</abilityName>
      <candidateList>
        <item>）</item>
      </candidateList>
      <explain>文本全半角错误。</explain>
      <paraID>6AE3122F</paraID>
      <start>27</start>
      <end>28</end>
      <status>unmodified</status>
      <modifiedWord/>
      <trackRevisions>false</trackRevisions>
    </reviewItem>
    <reviewItem>
      <errorID>3737cecd-5ee5-470c-b9fd-352a024c8b64</errorID>
      <errorWord>(</errorWord>
      <group>L1_Format</group>
      <groupName>格式问题</groupName>
      <ability>L2_HalfPunc_CN</ability>
      <abilityName>全半角问题</abilityName>
      <candidateList>
        <item>（</item>
      </candidateList>
      <explain>文本全半角错误。</explain>
      <paraID>3318C280</paraID>
      <start>19</start>
      <end>20</end>
      <status>unmodified</status>
      <modifiedWord/>
      <trackRevisions>false</trackRevisions>
    </reviewItem>
    <reviewItem>
      <errorID>5bc5e7a1-13c6-40cd-9f0c-3fa2ab0dbf72</errorID>
      <errorWord>)</errorWord>
      <group>L1_Format</group>
      <groupName>格式问题</groupName>
      <ability>L2_HalfPunc_CN</ability>
      <abilityName>全半角问题</abilityName>
      <candidateList>
        <item>）</item>
      </candidateList>
      <explain>文本全半角错误。</explain>
      <paraID>3318C280</paraID>
      <start>27</start>
      <end>28</end>
      <status>unmodified</status>
      <modifiedWord/>
      <trackRevisions>false</trackRevisions>
    </reviewItem>
    <reviewItem>
      <errorID>b1a15e69-646a-4854-93f4-13016d50fbc8</errorID>
      <errorWord>(</errorWord>
      <group>L1_Format</group>
      <groupName>格式问题</groupName>
      <ability>L2_HalfPunc_CN</ability>
      <abilityName>全半角问题</abilityName>
      <candidateList>
        <item>（</item>
      </candidateList>
      <explain>文本全半角错误。</explain>
      <paraID>766DD99F</paraID>
      <start>27</start>
      <end>28</end>
      <status>unmodified</status>
      <modifiedWord/>
      <trackRevisions>false</trackRevisions>
    </reviewItem>
    <reviewItem>
      <errorID>1007843f-993c-47aa-a0a7-1fdc565a2fed</errorID>
      <errorWord>)</errorWord>
      <group>L1_Format</group>
      <groupName>格式问题</groupName>
      <ability>L2_HalfPunc_CN</ability>
      <abilityName>全半角问题</abilityName>
      <candidateList>
        <item>）</item>
      </candidateList>
      <explain>文本全半角错误。</explain>
      <paraID>766DD99F</paraID>
      <start>35</start>
      <end>36</end>
      <status>unmodified</status>
      <modifiedWord/>
      <trackRevisions>false</trackRevisions>
    </reviewItem>
    <reviewItem>
      <errorID>a64a7eab-b508-4184-bc47-369d7505e8a0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6F42A630</paraID>
      <start>18</start>
      <end>19</end>
      <status>unmodified</status>
      <modifiedWord/>
      <trackRevisions>false</trackRevisions>
    </reviewItem>
    <reviewItem>
      <errorID>4ae002db-6bc0-4683-9fe1-e3a4d65c4a6a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6AEE8256</paraID>
      <start>0</start>
      <end>2</end>
      <status>unmodified</status>
      <modifiedWord/>
      <trackRevisions>false</trackRevisions>
    </reviewItem>
    <reviewItem>
      <errorID>09e2970e-db9c-4824-94e1-f95b92d2bd92</errorID>
      <errorWord>,</errorWord>
      <group>L1_Format</group>
      <groupName>格式问题</groupName>
      <ability>L2_HalfPunc_CN</ability>
      <abilityName>全半角问题</abilityName>
      <candidateList>
        <item>，</item>
      </candidateList>
      <explain>文本全半角错误。</explain>
      <paraID>5B0B03AB</paraID>
      <start>121</start>
      <end>122</end>
      <status>unmodified</status>
      <modifiedWord/>
      <trackRevisions>false</trackRevisions>
    </reviewItem>
    <reviewItem>
      <errorID>ea5c4c29-e178-4257-b7a0-0f8318c793e7</errorID>
      <errorWord>(</errorWord>
      <group>L1_Format</group>
      <groupName>格式问题</groupName>
      <ability>L2_HalfPunc_CN</ability>
      <abilityName>全半角问题</abilityName>
      <candidateList>
        <item>（</item>
      </candidateList>
      <explain>文本全半角错误。</explain>
      <paraID>59872AC8</paraID>
      <start>12</start>
      <end>13</end>
      <status>unmodified</status>
      <modifiedWord/>
      <trackRevisions>false</trackRevisions>
    </reviewItem>
    <reviewItem>
      <errorID>01cbb90a-38fb-4aaa-b126-8b29459c8120</errorID>
      <errorWord>)</errorWord>
      <group>L1_Format</group>
      <groupName>格式问题</groupName>
      <ability>L2_HalfPunc_CN</ability>
      <abilityName>全半角问题</abilityName>
      <candidateList>
        <item>）</item>
      </candidateList>
      <explain>文本全半角错误。</explain>
      <paraID>59872AC8</paraID>
      <start>44</start>
      <end>45</end>
      <status>unmodified</status>
      <modifiedWord/>
      <trackRevisions>false</trackRevisions>
    </reviewItem>
    <reviewItem>
      <errorID>13376d59-a8f9-4f89-8f7c-7f0ad6164ce1</errorID>
      <errorWord>日至2026年</errorWord>
      <group>L1_Word</group>
      <groupName>字词问题</groupName>
      <ability>L2_Typo</ability>
      <abilityName>字词错误</abilityName>
      <candidateList>
        <item>日起至2026年</item>
      </candidateList>
      <explain/>
      <paraID>30E72368</paraID>
      <start>23</start>
      <end>30</end>
      <status>unmodified</status>
      <modifiedWord/>
      <trackRevisions>false</trackRevisions>
    </reviewItem>
    <reviewItem>
      <errorID>39c25cd4-0875-4747-a01d-d947f16ac14f</errorID>
      <errorWord>(</errorWord>
      <group>L1_Format</group>
      <groupName>格式问题</groupName>
      <ability>L2_HalfPunc_CN</ability>
      <abilityName>全半角问题</abilityName>
      <candidateList>
        <item>（</item>
      </candidateList>
      <explain>文本全半角错误。</explain>
      <paraID>39E19C08</paraID>
      <start>19</start>
      <end>20</end>
      <status>unmodified</status>
      <modifiedWord/>
      <trackRevisions>false</trackRevisions>
    </reviewItem>
    <reviewItem>
      <errorID>704559a0-5a90-4ad5-8bfe-533894db4f03</errorID>
      <errorWord>)</errorWord>
      <group>L1_Format</group>
      <groupName>格式问题</groupName>
      <ability>L2_HalfPunc_CN</ability>
      <abilityName>全半角问题</abilityName>
      <candidateList>
        <item>）</item>
      </candidateList>
      <explain>文本全半角错误。</explain>
      <paraID>39E19C08</paraID>
      <start>27</start>
      <end>28</end>
      <status>unmodified</status>
      <modifiedWord/>
      <trackRevisions>false</trackRevisions>
    </reviewItem>
    <reviewItem>
      <errorID>8378019d-a8f5-4d78-9e1c-50500a199bbf</errorID>
      <errorWord>（</errorWord>
      <group>L1_Format</group>
      <groupName>格式问题</groupName>
      <ability>L2_HalfPunc_CN</ability>
      <abilityName>全半角问题</abilityName>
      <candidateList>
        <item>(</item>
      </candidateList>
      <explain>文本全半角错误。</explain>
      <paraID>71E15A21</paraID>
      <start>5</start>
      <end>6</end>
      <status>unmodified</status>
      <modifiedWord/>
      <trackRevisions>false</trackRevisions>
    </reviewItem>
    <reviewItem>
      <errorID>ef32a5ae-4515-4f51-a7ac-37098bc3808f</errorID>
      <errorWord>）</errorWord>
      <group>L1_Format</group>
      <groupName>格式问题</groupName>
      <ability>L2_HalfPunc_CN</ability>
      <abilityName>全半角问题</abilityName>
      <candidateList>
        <item>)</item>
      </candidateList>
      <explain>文本全半角错误。</explain>
      <paraID>71E15A21</paraID>
      <start>7</start>
      <end>8</end>
      <status>unmodified</status>
      <modifiedWord/>
      <trackRevisions>false</trackRevisions>
    </reviewItem>
    <reviewItem>
      <errorID>e29405ea-c98a-4439-a1fd-a2fe101ab061</errorID>
      <errorWord>：/</errorWord>
      <group>L1_Punc</group>
      <groupName>标点问题</groupName>
      <ability>L2_Punc_CN</ability>
      <abilityName>标点符号问题</abilityName>
      <candidateList>
        <item>：</item>
      </candidateList>
      <explain/>
      <paraID>7916B43A</paraID>
      <start>2</start>
      <end>4</end>
      <status>unmodified</status>
      <modifiedWord/>
      <trackRevisions>false</trackRevisions>
    </reviewItem>
    <reviewItem>
      <errorID>6248f656-4259-478f-8dbf-dca5f20b2e94</errorID>
      <errorWord>：/</errorWord>
      <group>L1_Punc</group>
      <groupName>标点问题</groupName>
      <ability>L2_Punc_CN</ability>
      <abilityName>标点符号问题</abilityName>
      <candidateList>
        <item>：</item>
      </candidateList>
      <explain/>
      <paraID>2BB900E9</paraID>
      <start>2</start>
      <end>4</end>
      <status>unmodified</status>
      <modifiedWord/>
      <trackRevisions>false</trackRevisions>
    </reviewItem>
    <reviewItem>
      <errorID>17308909-3422-4eeb-bab2-4a72ca7ee7f6</errorID>
      <errorWord>:</errorWord>
      <group>L1_Format</group>
      <groupName>格式问题</groupName>
      <ability>L2_HalfPunc_CN</ability>
      <abilityName>全半角问题</abilityName>
      <candidateList>
        <item>：</item>
      </candidateList>
      <explain>文本全半角错误。</explain>
      <paraID>12251681</paraID>
      <start>70</start>
      <end>71</end>
      <status>unmodified</status>
      <modifiedWord/>
      <trackRevisions>false</trackRevisions>
    </reviewItem>
    <reviewItem>
      <errorID>309deeb7-4405-4873-af8f-a183bbb1a37c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6A875B2</paraID>
      <start>0</start>
      <end>3</end>
      <status>unmodified</status>
      <modifiedWord/>
      <trackRevisions>false</trackRevisions>
    </reviewItem>
    <reviewItem>
      <errorID>fea84b1e-1ca5-4fa7-a2ae-07ecc4cffa1a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7B7DC93</paraID>
      <start>0</start>
      <end>3</end>
      <status>unmodified</status>
      <modifiedWord/>
      <trackRevisions>false</trackRevisions>
    </reviewItem>
    <reviewItem>
      <errorID>0f21ca1c-6a4d-480e-bdf8-8dca45288f61</errorID>
      <errorWord>(</errorWord>
      <group>L1_Format</group>
      <groupName>格式问题</groupName>
      <ability>L2_HalfPunc_CN</ability>
      <abilityName>全半角问题</abilityName>
      <candidateList>
        <item>（</item>
      </candidateList>
      <explain>文本全半角错误。</explain>
      <paraID> 7B7DC93</paraID>
      <start>14</start>
      <end>15</end>
      <status>unmodified</status>
      <modifiedWord/>
      <trackRevisions>false</trackRevisions>
    </reviewItem>
    <reviewItem>
      <errorID>822c053c-fc3d-4257-ad24-515acb2e2f1d</errorID>
      <errorWord>)</errorWord>
      <group>L1_Format</group>
      <groupName>格式问题</groupName>
      <ability>L2_HalfPunc_CN</ability>
      <abilityName>全半角问题</abilityName>
      <candidateList>
        <item>）</item>
      </candidateList>
      <explain>文本全半角错误。</explain>
      <paraID> 7B7DC93</paraID>
      <start>16</start>
      <end>17</end>
      <status>unmodified</status>
      <modifiedWord/>
      <trackRevisions>false</trackRevisions>
    </reviewItem>
    <reviewItem>
      <errorID>7500c3b4-aa48-4c52-9df6-8411b938dc68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33959BA4</paraID>
      <start>0</start>
      <end>3</end>
      <status>unmodified</status>
      <modifiedWord/>
      <trackRevisions>false</trackRevisions>
    </reviewItem>
    <reviewItem>
      <errorID>a19f44e6-fd2c-44a1-829b-47766b001f76</errorID>
      <errorWord>--</errorWord>
      <group>L1_Punc</group>
      <groupName>标点问题</groupName>
      <ability>L2_Punc_CN</ability>
      <abilityName>标点符号问题</abilityName>
      <candidateList>
        <item>——</item>
      </candidateList>
      <explain>破折号或连接号疑似使用错误。</explain>
      <paraID> AB448E7</paraID>
      <start>116</start>
      <end>118</end>
      <status>unmodified</status>
      <modifiedWord/>
      <trackRevisions>false</trackRevisions>
    </reviewItem>
    <reviewItem>
      <errorID>8df730b1-3331-4769-812e-5059f892b230</errorID>
      <errorWord>位</errorWord>
      <group>L1_Word</group>
      <groupName>字词问题</groupName>
      <ability>L2_Typo</ability>
      <abilityName>字词错误</abilityName>
      <candidateList>
        <item>位公</item>
      </candidateList>
      <explain/>
      <paraID>446D69A2</paraID>
      <start>135</start>
      <end>136</end>
      <status>unmodified</status>
      <modifiedWord/>
      <trackRevisions>false</trackRevisions>
    </reviewItem>
    <reviewItem>
      <errorID>7e5e08e2-f85a-4e6d-b9f6-be084ed3860e</errorID>
      <errorWord>)</errorWord>
      <group>L1_Format</group>
      <groupName>格式问题</groupName>
      <ability>L2_HalfPunc_CN</ability>
      <abilityName>全半角问题</abilityName>
      <candidateList>
        <item>）</item>
      </candidateList>
      <explain>文本全半角错误。</explain>
      <paraID>51B49DC6</paraID>
      <start>23</start>
      <end>24</end>
      <status>unmodified</status>
      <modifiedWord/>
      <trackRevisions>false</trackRevisions>
    </reviewItem>
    <reviewItem>
      <errorID>fd1d20c8-8d76-40f6-8c20-b8c420cf57bc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26AD4ECE</paraID>
      <start>13</start>
      <end>16</end>
      <status>unmodified</status>
      <modifiedWord/>
      <trackRevisions>false</trackRevisions>
    </reviewItem>
    <reviewItem>
      <errorID>8c493c35-525f-4843-9af2-7eb53c49acad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26AD4ECE</paraID>
      <start>18</start>
      <end>21</end>
      <status>unmodified</status>
      <modifiedWord/>
      <trackRevisions>false</trackRevisions>
    </reviewItem>
    <reviewItem>
      <errorID>4c805cf4-653b-48c0-98ea-b535319a6f6a</errorID>
      <errorWord>,</errorWord>
      <group>L1_Format</group>
      <groupName>格式问题</groupName>
      <ability>L2_HalfPunc_CN</ability>
      <abilityName>全半角问题</abilityName>
      <candidateList>
        <item>，</item>
      </candidateList>
      <explain>文本全半角错误。</explain>
      <paraID>1583C464</paraID>
      <start>92</start>
      <end>93</end>
      <status>unmodified</status>
      <modifiedWord/>
      <trackRevisions>false</trackRevisions>
    </reviewItem>
    <reviewItem>
      <errorID>9dd62f9b-799a-4995-a189-8bda57cceb5e</errorID>
      <errorWord>(</errorWord>
      <group>L1_Format</group>
      <groupName>格式问题</groupName>
      <ability>L2_HalfPunc_CN</ability>
      <abilityName>全半角问题</abilityName>
      <candidateList>
        <item>（</item>
      </candidateList>
      <explain>文本全半角错误。</explain>
      <paraID>1E7B9EFD</paraID>
      <start>13</start>
      <end>14</end>
      <status>unmodified</status>
      <modifiedWord/>
      <trackRevisions>false</trackRevisions>
    </reviewItem>
    <reviewItem>
      <errorID>5527c16b-ca55-49db-a9ba-15e08f820811</errorID>
      <errorWord>)</errorWord>
      <group>L1_Format</group>
      <groupName>格式问题</groupName>
      <ability>L2_HalfPunc_CN</ability>
      <abilityName>全半角问题</abilityName>
      <candidateList>
        <item>）</item>
      </candidateList>
      <explain>文本全半角错误。</explain>
      <paraID>1E7B9EFD</paraID>
      <start>17</start>
      <end>18</end>
      <status>unmodified</status>
      <modifiedWord/>
      <trackRevisions>false</trackRevisions>
    </reviewItem>
    <reviewItem>
      <errorID>1e709c54-0870-4b5e-a68a-1cd84715902c</errorID>
      <errorWord>2-5万</errorWord>
      <group>L1_Knowledge</group>
      <groupName>知识性问题</groupName>
      <ability>L2_Knowledge</ability>
      <abilityName>其他知识</abilityName>
      <candidateList>
        <item>2万—5万</item>
      </candidateList>
      <explain>1. “2-5万”中的单位“万”仅出现在后一个数字上，容易引起歧义；根据《现代汉语标点符号数字用法规范手册》，数字表示范围两边需要使用统一的格式。2.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59814C7F</paraID>
      <start>0</start>
      <end>4</end>
      <status>unmodified</status>
      <modifiedWord/>
      <trackRevisions>false</trackRevisions>
    </reviewItem>
    <reviewItem>
      <errorID>77e9117a-3999-4427-bbd4-f6c1b25e737e</errorID>
      <errorWord>5-10万</errorWord>
      <group>L1_Knowledge</group>
      <groupName>知识性问题</groupName>
      <ability>L2_Knowledge</ability>
      <abilityName>其他知识</abilityName>
      <candidateList>
        <item>5万—10万</item>
      </candidateList>
      <explain>1. “5-10万”中的单位“万”仅出现在后一个数字上，容易引起歧义；根据《现代汉语标点符号数字用法规范手册》，数字表示范围两边需要使用统一的格式。2.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50607DC0</paraID>
      <start>0</start>
      <end>5</end>
      <status>unmodified</status>
      <modifiedWord/>
      <trackRevisions>false</trackRevisions>
    </reviewItem>
    <reviewItem>
      <errorID>8cd1f0a6-5177-4aca-a381-e97c835fb82a</errorID>
      <errorWord>10-50万</errorWord>
      <group>L1_Knowledge</group>
      <groupName>知识性问题</groupName>
      <ability>L2_Knowledge</ability>
      <abilityName>其他知识</abilityName>
      <candidateList>
        <item>10万—50万</item>
      </candidateList>
      <explain>1. “10-50万”中的单位“万”仅出现在后一个数字上，容易引起歧义；根据《现代汉语标点符号数字用法规范手册》，数字表示范围两边需要使用统一的格式。2.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20C511E2</paraID>
      <start>0</start>
      <end>6</end>
      <status>unmodified</status>
      <modifiedWord/>
      <trackRevisions>false</trackRevisions>
    </reviewItem>
    <reviewItem>
      <errorID>33cadfef-c1a7-477c-8704-e8925f3a464e</errorID>
      <errorWord>(</errorWord>
      <group>L1_Format</group>
      <groupName>格式问题</groupName>
      <ability>L2_HalfPunc_CN</ability>
      <abilityName>全半角问题</abilityName>
      <candidateList>
        <item>（</item>
      </candidateList>
      <explain>文本全半角错误。</explain>
      <paraID>1DC60918</paraID>
      <start>8</start>
      <end>9</end>
      <status>unmodified</status>
      <modifiedWord/>
      <trackRevisions>false</trackRevisions>
    </reviewItem>
    <reviewItem>
      <errorID>e8c58db8-a99b-4e63-bd07-f157c129dc80</errorID>
      <errorWord>)</errorWord>
      <group>L1_Format</group>
      <groupName>格式问题</groupName>
      <ability>L2_HalfPunc_CN</ability>
      <abilityName>全半角问题</abilityName>
      <candidateList>
        <item>）</item>
      </candidateList>
      <explain>文本全半角错误。</explain>
      <paraID>1DC60918</paraID>
      <start>47</start>
      <end>48</end>
      <status>unmodified</status>
      <modifiedWord/>
      <trackRevisions>false</trackRevisions>
    </reviewItem>
    <reviewItem>
      <errorID>e5359cc8-5d0b-490a-910e-1e31354e7613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1DC60918</paraID>
      <start>90</start>
      <end>91</end>
      <status>unmodified</status>
      <modifiedWord/>
      <trackRevisions>false</trackRevisions>
    </reviewItem>
    <reviewItem>
      <errorID>817371c9-0019-4785-96d0-a7451aec03f8</errorID>
      <errorWord>位</errorWord>
      <group>L1_Word</group>
      <groupName>字词问题</groupName>
      <ability>L2_Typo</ability>
      <abilityName>字词错误</abilityName>
      <candidateList>
        <item>位公</item>
      </candidateList>
      <explain/>
      <paraID>49062DC0</paraID>
      <start>113</start>
      <end>114</end>
      <status>unmodified</status>
      <modifiedWord/>
      <trackRevisions>false</trackRevisions>
    </reviewItem>
    <reviewItem>
      <errorID>1f610841-d5eb-41a6-ae4c-0f741bc1d839</errorID>
      <errorWord>(</errorWord>
      <group>L1_Format</group>
      <groupName>格式问题</groupName>
      <ability>L2_HalfPunc_CN</ability>
      <abilityName>全半角问题</abilityName>
      <candidateList>
        <item>（</item>
      </candidateList>
      <explain>文本全半角错误。</explain>
      <paraID>45004FA2</paraID>
      <start>8</start>
      <end>9</end>
      <status>unmodified</status>
      <modifiedWord/>
      <trackRevisions>false</trackRevisions>
    </reviewItem>
    <reviewItem>
      <errorID>6fd47d1b-2f40-479a-9bed-2c4f35bc4d33</errorID>
      <errorWord>)</errorWord>
      <group>L1_Format</group>
      <groupName>格式问题</groupName>
      <ability>L2_HalfPunc_CN</ability>
      <abilityName>全半角问题</abilityName>
      <candidateList>
        <item>）</item>
      </candidateList>
      <explain>文本全半角错误。</explain>
      <paraID>45004FA2</paraID>
      <start>47</start>
      <end>48</end>
      <status>unmodified</status>
      <modifiedWord/>
      <trackRevisions>false</trackRevisions>
    </reviewItem>
    <reviewItem>
      <errorID>d743ef29-aa2e-48a8-a91e-c2828798172a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45004FA2</paraID>
      <start>90</start>
      <end>91</end>
      <status>unmodified</status>
      <modifiedWord/>
      <trackRevisions>false</trackRevisions>
    </reviewItem>
    <reviewItem>
      <errorID>e4d460a7-eb65-4a0e-821d-c266a5447598</errorID>
      <errorWord>位</errorWord>
      <group>L1_Word</group>
      <groupName>字词问题</groupName>
      <ability>L2_Typo</ability>
      <abilityName>字词错误</abilityName>
      <candidateList>
        <item>位公</item>
      </candidateList>
      <explain/>
      <paraID> 620D766</paraID>
      <start>113</start>
      <end>114</end>
      <status>unmodified</status>
      <modifiedWord/>
      <trackRevisions>false</trackRevisions>
    </reviewItem>
    <reviewItem>
      <errorID>54fc5a46-a965-4b3d-a45f-e37e54b1d631</errorID>
      <errorWord>（</errorWord>
      <group>L1_Format</group>
      <groupName>格式问题</groupName>
      <ability>L2_HalfPunc_CN</ability>
      <abilityName>全半角问题</abilityName>
      <candidateList>
        <item>(</item>
      </candidateList>
      <explain>文本全半角错误。</explain>
      <paraID>4701CB58</paraID>
      <start>5</start>
      <end>6</end>
      <status>unmodified</status>
      <modifiedWord/>
      <trackRevisions>false</trackRevisions>
    </reviewItem>
    <reviewItem>
      <errorID>a266e5a6-388d-4be1-9eaa-eb5d04b8c59e</errorID>
      <errorWord>）</errorWord>
      <group>L1_Format</group>
      <groupName>格式问题</groupName>
      <ability>L2_HalfPunc_CN</ability>
      <abilityName>全半角问题</abilityName>
      <candidateList>
        <item>)</item>
      </candidateList>
      <explain>文本全半角错误。</explain>
      <paraID>4701CB58</paraID>
      <start>7</start>
      <end>8</end>
      <status>unmodified</status>
      <modifiedWord/>
      <trackRevisions>false</trackRevisions>
    </reviewItem>
    <reviewItem>
      <errorID>cb409fd7-ff92-4f45-9d60-95d6c5730394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164E70B</paraID>
      <start>4</start>
      <end>5</end>
      <status>unmodified</status>
      <modifiedWord/>
      <trackRevisions>false</trackRevisions>
    </reviewItem>
    <reviewItem>
      <errorID>fc31401b-f3c3-4f46-ad3c-bb9adf6c0108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170032CB</paraID>
      <start>4</start>
      <end>5</end>
      <status>unmodified</status>
      <modifiedWord/>
      <trackRevisions>false</trackRevisions>
    </reviewItem>
    <reviewItem>
      <errorID>37fee5d4-2f19-4a5e-a4c0-d53ac899f8ce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57F3B04D</paraID>
      <start>4</start>
      <end>5</end>
      <status>unmodified</status>
      <modifiedWord/>
      <trackRevisions>false</trackRevisions>
    </reviewItem>
    <reviewItem>
      <errorID>4565805c-3676-4af7-9dba-d8631de44059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3ABF6B7D</paraID>
      <start>4</start>
      <end>5</end>
      <status>unmodified</status>
      <modifiedWord/>
      <trackRevisions>false</trackRevisions>
    </reviewItem>
    <reviewItem>
      <errorID>388f5733-c116-4da6-b6be-c5a46a51d687</errorID>
      <errorWord>（</errorWord>
      <group>L1_Format</group>
      <groupName>格式问题</groupName>
      <ability>L2_HalfPunc_CN</ability>
      <abilityName>全半角问题</abilityName>
      <candidateList>
        <item>(</item>
      </candidateList>
      <explain>文本全半角错误。</explain>
      <paraID>6E08A0A2</paraID>
      <start>5</start>
      <end>6</end>
      <status>unmodified</status>
      <modifiedWord/>
      <trackRevisions>false</trackRevisions>
    </reviewItem>
    <reviewItem>
      <errorID>8534ad04-e9b9-437e-89e2-2ed84f09e4da</errorID>
      <errorWord>）</errorWord>
      <group>L1_Format</group>
      <groupName>格式问题</groupName>
      <ability>L2_HalfPunc_CN</ability>
      <abilityName>全半角问题</abilityName>
      <candidateList>
        <item>)</item>
      </candidateList>
      <explain>文本全半角错误。</explain>
      <paraID>6E08A0A2</paraID>
      <start>7</start>
      <end>8</end>
      <status>unmodified</status>
      <modifiedWord/>
      <trackRevisions>false</trackRevisions>
    </reviewItem>
    <reviewItem>
      <errorID>25038b43-1981-4cd9-bdfe-18d070173427</errorID>
      <errorWord>（</errorWord>
      <group>L1_Format</group>
      <groupName>格式问题</groupName>
      <ability>L2_HalfPunc_CN</ability>
      <abilityName>全半角问题</abilityName>
      <candidateList>
        <item>(</item>
      </candidateList>
      <explain>文本全半角错误。</explain>
      <paraID>69F1F0D7</paraID>
      <start>5</start>
      <end>6</end>
      <status>unmodified</status>
      <modifiedWord/>
      <trackRevisions>false</trackRevisions>
    </reviewItem>
    <reviewItem>
      <errorID>eb57dded-1e6a-430d-bbb7-b38a214c08f8</errorID>
      <errorWord>）</errorWord>
      <group>L1_Format</group>
      <groupName>格式问题</groupName>
      <ability>L2_HalfPunc_CN</ability>
      <abilityName>全半角问题</abilityName>
      <candidateList>
        <item>)</item>
      </candidateList>
      <explain>文本全半角错误。</explain>
      <paraID>69F1F0D7</paraID>
      <start>7</start>
      <end>8</end>
      <status>unmodified</status>
      <modifiedWord/>
      <trackRevisions>false</trackRevisions>
    </reviewItem>
    <reviewItem>
      <errorID>1c9b40c7-8ad8-47ab-acf9-6281b68b797a</errorID>
      <errorWord>（</errorWord>
      <group>L1_Format</group>
      <groupName>格式问题</groupName>
      <ability>L2_HalfPunc_CN</ability>
      <abilityName>全半角问题</abilityName>
      <candidateList>
        <item>(</item>
      </candidateList>
      <explain>文本全半角错误。</explain>
      <paraID>294FE82C</paraID>
      <start>5</start>
      <end>6</end>
      <status>unmodified</status>
      <modifiedWord/>
      <trackRevisions>false</trackRevisions>
    </reviewItem>
    <reviewItem>
      <errorID>9394452f-00c2-4b41-965e-b930d5aba7af</errorID>
      <errorWord>）</errorWord>
      <group>L1_Format</group>
      <groupName>格式问题</groupName>
      <ability>L2_HalfPunc_CN</ability>
      <abilityName>全半角问题</abilityName>
      <candidateList>
        <item>)</item>
      </candidateList>
      <explain>文本全半角错误。</explain>
      <paraID>294FE82C</paraID>
      <start>7</start>
      <end>8</end>
      <status>unmodified</status>
      <modifiedWord/>
      <trackRevisions>false</trackRevisions>
    </reviewItem>
    <reviewItem>
      <errorID>aa6cd3d4-9c33-4d27-825a-e5d14a6dc8fc</errorID>
      <errorWord>（</errorWord>
      <group>L1_Format</group>
      <groupName>格式问题</groupName>
      <ability>L2_HalfPunc_CN</ability>
      <abilityName>全半角问题</abilityName>
      <candidateList>
        <item>(</item>
      </candidateList>
      <explain>文本全半角错误。</explain>
      <paraID>36FFF700</paraID>
      <start>5</start>
      <end>6</end>
      <status>unmodified</status>
      <modifiedWord/>
      <trackRevisions>false</trackRevisions>
    </reviewItem>
    <reviewItem>
      <errorID>bcba1541-4d2f-414a-bd5f-2cd3606d43aa</errorID>
      <errorWord>）</errorWord>
      <group>L1_Format</group>
      <groupName>格式问题</groupName>
      <ability>L2_HalfPunc_CN</ability>
      <abilityName>全半角问题</abilityName>
      <candidateList>
        <item>)</item>
      </candidateList>
      <explain>文本全半角错误。</explain>
      <paraID>36FFF700</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69DFCA38-2921-4B52-AF6F-624CC8FDC89D}">
  <ds:schemaRefs/>
</ds:datastoreItem>
</file>

<file path=customXml/itemProps2.xml><?xml version="1.0" encoding="utf-8"?>
<ds:datastoreItem xmlns:ds="http://schemas.openxmlformats.org/officeDocument/2006/customXml" ds:itemID="{d93f15e2-e436-43ea-af94-2ca151de3ef6}">
  <ds:schemaRefs/>
</ds:datastoreItem>
</file>

<file path=docProps/app.xml><?xml version="1.0" encoding="utf-8"?>
<Properties xmlns="http://schemas.openxmlformats.org/officeDocument/2006/extended-properties" xmlns:vt="http://schemas.openxmlformats.org/officeDocument/2006/docPropsVTypes">
  <Template>Normal</Template>
  <Pages>19</Pages>
  <Words>27378</Words>
  <Characters>29208</Characters>
  <Lines>430</Lines>
  <Paragraphs>121</Paragraphs>
  <TotalTime>11</TotalTime>
  <ScaleCrop>false</ScaleCrop>
  <LinksUpToDate>false</LinksUpToDate>
  <CharactersWithSpaces>29392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2026-03-31T02:14:00Z</dcterms:created>
  <cp:lastPrinted>2023-09-20T00:38:00Z</cp:lastPrinted>
  <dcterms:modified xsi:type="dcterms:W3CDTF">2026-07-27T05:54:27Z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AE123BF2323A4FAB9E9D05F9F74829C3_13</vt:lpwstr>
  </property>
  <property fmtid="{D5CDD505-2E9C-101B-9397-08002B2CF9AE}" pid="4" name="KSOTemplateDocerSaveRecord">
    <vt:lpwstr>eyJoZGlkIjoiYjE4YmU1MDRmN2U0YjE1YjkxZmU1OWI3NWJkZmE1MDEiLCJ1c2VySWQiOiIyMDQzMzAzMjYifQ==</vt:lpwstr>
  </property>
</Properties>
</file>