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白城市2026年普通国省干线公路养护工程（第二批）勘察设计招标文件</w:t>
      </w:r>
      <w:r>
        <w:rPr>
          <w:rFonts w:hint="eastAsia" w:ascii="宋体" w:hAnsi="宋体" w:eastAsia="宋体" w:cs="宋体"/>
          <w:b/>
          <w:sz w:val="21"/>
          <w:szCs w:val="21"/>
        </w:rPr>
        <w:t>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A0BCCA3">
            <w:pPr>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w:t>
            </w:r>
          </w:p>
          <w:p w14:paraId="3C4CED93">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4ADB6EFB">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资质条件：见附录1</w:t>
            </w:r>
          </w:p>
          <w:p w14:paraId="640FE117">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业绩要求：见附录2</w:t>
            </w:r>
          </w:p>
          <w:p w14:paraId="0A95CA4F">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信誉要求：见附录3</w:t>
            </w:r>
          </w:p>
          <w:p w14:paraId="2C9A3E30">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0252EA65">
            <w:pPr>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p w14:paraId="0AE9F15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rPr>
              <w:fldChar w:fldCharType="begin"/>
            </w:r>
            <w:r>
              <w:rPr>
                <w:rFonts w:hint="eastAsia" w:ascii="宋体" w:hAnsi="宋体" w:eastAsia="宋体" w:cs="宋体"/>
                <w:color w:val="auto"/>
                <w:kern w:val="0"/>
                <w:sz w:val="21"/>
                <w:szCs w:val="21"/>
                <w:highlight w:val="none"/>
                <w:lang w:val="zh-CN"/>
              </w:rPr>
              <w:instrText xml:space="preserve">eq \o\ac(</w:instrText>
            </w:r>
            <w:r>
              <w:rPr>
                <w:rFonts w:hint="eastAsia" w:ascii="宋体" w:hAnsi="宋体" w:eastAsia="宋体" w:cs="宋体"/>
                <w:color w:val="auto"/>
                <w:kern w:val="0"/>
                <w:position w:val="-4"/>
                <w:sz w:val="31"/>
                <w:szCs w:val="21"/>
                <w:highlight w:val="none"/>
                <w:lang w:val="zh-CN"/>
              </w:rPr>
              <w:instrText xml:space="preserve">□</w:instrText>
            </w:r>
            <w:r>
              <w:rPr>
                <w:rFonts w:hint="eastAsia" w:ascii="宋体" w:hAnsi="宋体" w:eastAsia="宋体" w:cs="宋体"/>
                <w:color w:val="auto"/>
                <w:kern w:val="0"/>
                <w:position w:val="0"/>
                <w:sz w:val="21"/>
                <w:szCs w:val="21"/>
                <w:highlight w:val="none"/>
                <w:lang w:val="zh-CN"/>
              </w:rPr>
              <w:instrText xml:space="preserve">,√)</w:instrText>
            </w:r>
            <w:r>
              <w:rPr>
                <w:rFonts w:hint="eastAsia" w:ascii="宋体" w:hAnsi="宋体" w:eastAsia="宋体" w:cs="宋体"/>
                <w:color w:val="auto"/>
                <w:kern w:val="0"/>
                <w:sz w:val="21"/>
                <w:szCs w:val="21"/>
                <w:highlight w:val="none"/>
                <w:lang w:val="zh-CN"/>
              </w:rPr>
              <w:fldChar w:fldCharType="end"/>
            </w:r>
            <w:r>
              <w:rPr>
                <w:rFonts w:hint="eastAsia" w:ascii="宋体" w:hAnsi="宋体" w:eastAsia="宋体" w:cs="宋体"/>
                <w:color w:val="auto"/>
                <w:sz w:val="21"/>
                <w:szCs w:val="21"/>
                <w:highlight w:val="none"/>
              </w:rPr>
              <w:t>接受，应满足下列要求：</w:t>
            </w:r>
            <w:r>
              <w:rPr>
                <w:rFonts w:hint="eastAsia" w:ascii="宋体" w:hAnsi="宋体" w:eastAsia="宋体" w:cs="宋体"/>
                <w:color w:val="auto"/>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2758D749">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1A37D679">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color w:val="auto"/>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3881AB82">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投标人不得存在的</w:t>
            </w:r>
          </w:p>
          <w:p w14:paraId="6399B2CA">
            <w:pPr>
              <w:pStyle w:val="10"/>
              <w:keepNext/>
              <w:keepLines w:val="0"/>
              <w:pageBreakBefore w:val="0"/>
              <w:shd w:val="clear" w:color="auto" w:fill="auto"/>
              <w:kinsoku/>
              <w:wordWrap/>
              <w:overflowPunct/>
              <w:topLinePunct w:val="0"/>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color w:val="auto"/>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color w:val="auto"/>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79632551"/>
      <w:bookmarkStart w:id="1" w:name="_Toc502741808"/>
      <w:bookmarkStart w:id="2" w:name="_Toc144974502"/>
      <w:bookmarkStart w:id="3" w:name="_Toc152042310"/>
      <w:bookmarkStart w:id="4" w:name="_Toc152045534"/>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w:t>
      </w:r>
      <w:r>
        <w:rPr>
          <w:rFonts w:hint="eastAsia" w:ascii="宋体" w:hAnsi="宋体" w:eastAsia="宋体" w:cs="宋体"/>
          <w:sz w:val="21"/>
          <w:szCs w:val="21"/>
          <w:highlight w:val="none"/>
          <w:lang w:eastAsia="zh-CN"/>
        </w:rPr>
        <w:t>自己</w:t>
      </w:r>
      <w:r>
        <w:rPr>
          <w:rFonts w:hint="eastAsia" w:ascii="宋体" w:hAnsi="宋体" w:eastAsia="宋体" w:cs="宋体"/>
          <w:sz w:val="21"/>
          <w:szCs w:val="21"/>
          <w:highlight w:val="none"/>
        </w:rPr>
        <w:t>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53A8A78A">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6" w:name="_Toc14026"/>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4D66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5" w:type="dxa"/>
            <w:tcBorders>
              <w:top w:val="single" w:color="auto" w:sz="12" w:space="0"/>
              <w:left w:val="single" w:color="auto" w:sz="12" w:space="0"/>
              <w:right w:val="single" w:color="auto" w:sz="4" w:space="0"/>
            </w:tcBorders>
            <w:vAlign w:val="center"/>
          </w:tcPr>
          <w:p w14:paraId="624CE306">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56" w:type="dxa"/>
            <w:tcBorders>
              <w:top w:val="single" w:color="auto" w:sz="12" w:space="0"/>
              <w:left w:val="single" w:color="auto" w:sz="4" w:space="0"/>
              <w:right w:val="single" w:color="auto" w:sz="12" w:space="0"/>
            </w:tcBorders>
            <w:vAlign w:val="center"/>
          </w:tcPr>
          <w:p w14:paraId="5C8E73A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04B8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shd w:val="clear" w:color="auto" w:fill="auto"/>
            <w:vAlign w:val="center"/>
          </w:tcPr>
          <w:p w14:paraId="7ECBAD4E">
            <w:pPr>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bookmarkStart w:id="8" w:name="_Toc51622568"/>
            <w:r>
              <w:rPr>
                <w:rFonts w:hint="eastAsia" w:ascii="宋体" w:hAnsi="宋体" w:eastAsia="宋体" w:cs="宋体"/>
                <w:sz w:val="21"/>
                <w:szCs w:val="21"/>
                <w:highlight w:val="none"/>
                <w:lang w:val="en-US" w:eastAsia="zh-CN"/>
              </w:rPr>
              <w:t>BC</w:t>
            </w:r>
            <w:r>
              <w:rPr>
                <w:rFonts w:hint="eastAsia" w:ascii="宋体" w:hAnsi="宋体" w:eastAsia="宋体" w:cs="宋体"/>
                <w:sz w:val="21"/>
                <w:szCs w:val="21"/>
                <w:highlight w:val="none"/>
                <w:lang w:eastAsia="zh-CN"/>
              </w:rPr>
              <w:t>26SJ0</w:t>
            </w:r>
            <w:r>
              <w:rPr>
                <w:rFonts w:hint="eastAsia" w:ascii="宋体" w:hAnsi="宋体" w:eastAsia="宋体" w:cs="宋体"/>
                <w:sz w:val="21"/>
                <w:szCs w:val="21"/>
                <w:highlight w:val="none"/>
                <w:lang w:val="en-US" w:eastAsia="zh-CN"/>
              </w:rPr>
              <w:t>1</w:t>
            </w:r>
          </w:p>
        </w:tc>
        <w:tc>
          <w:tcPr>
            <w:tcW w:w="8356" w:type="dxa"/>
            <w:tcBorders>
              <w:left w:val="single" w:color="auto" w:sz="4" w:space="0"/>
              <w:bottom w:val="single" w:color="auto" w:sz="12" w:space="0"/>
              <w:right w:val="single" w:color="auto" w:sz="12" w:space="0"/>
            </w:tcBorders>
            <w:vAlign w:val="center"/>
          </w:tcPr>
          <w:p w14:paraId="4FC2B0DD">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eastAsia="zh-CN"/>
              </w:rPr>
              <w:t>）</w:t>
            </w:r>
            <w:bookmarkStart w:id="20" w:name="_GoBack"/>
            <w:bookmarkEnd w:id="20"/>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6207BF17">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2C06C961">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tc>
      </w:tr>
    </w:tbl>
    <w:p w14:paraId="45B0AE38">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9" w:name="_Toc8620"/>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449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2599F77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1E11AF0">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6510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shd w:val="clear" w:color="auto" w:fill="auto"/>
            <w:vAlign w:val="center"/>
          </w:tcPr>
          <w:p w14:paraId="091339ED">
            <w:pPr>
              <w:keepLines w:val="0"/>
              <w:pageBreakBefore w:val="0"/>
              <w:kinsoku/>
              <w:wordWrap/>
              <w:overflowPunct/>
              <w:topLinePunct w:val="0"/>
              <w:bidi w:val="0"/>
              <w:spacing w:line="360" w:lineRule="exact"/>
              <w:jc w:val="center"/>
              <w:rPr>
                <w:rFonts w:hint="eastAsia" w:ascii="宋体" w:hAnsi="宋体" w:eastAsia="宋体" w:cs="宋体"/>
                <w:kern w:val="2"/>
                <w:sz w:val="21"/>
                <w:szCs w:val="21"/>
                <w:highlight w:val="none"/>
                <w:lang w:val="en-US" w:eastAsia="zh-CN" w:bidi="ar-SA"/>
              </w:rPr>
            </w:pPr>
            <w:bookmarkStart w:id="10" w:name="_Toc51622569"/>
            <w:r>
              <w:rPr>
                <w:rFonts w:hint="eastAsia" w:ascii="宋体" w:hAnsi="宋体" w:eastAsia="宋体" w:cs="宋体"/>
                <w:sz w:val="21"/>
                <w:szCs w:val="21"/>
                <w:highlight w:val="none"/>
                <w:lang w:val="en-US" w:eastAsia="zh-CN"/>
              </w:rPr>
              <w:t>BC</w:t>
            </w:r>
            <w:r>
              <w:rPr>
                <w:rFonts w:hint="eastAsia" w:ascii="宋体" w:hAnsi="宋体" w:eastAsia="宋体" w:cs="宋体"/>
                <w:sz w:val="21"/>
                <w:szCs w:val="21"/>
                <w:highlight w:val="none"/>
                <w:lang w:eastAsia="zh-CN"/>
              </w:rPr>
              <w:t>26SJ0</w:t>
            </w:r>
            <w:r>
              <w:rPr>
                <w:rFonts w:hint="eastAsia" w:ascii="宋体" w:hAnsi="宋体" w:eastAsia="宋体" w:cs="宋体"/>
                <w:sz w:val="21"/>
                <w:szCs w:val="21"/>
                <w:highlight w:val="none"/>
                <w:lang w:val="en-US" w:eastAsia="zh-CN"/>
              </w:rPr>
              <w:t>1</w:t>
            </w:r>
          </w:p>
        </w:tc>
        <w:tc>
          <w:tcPr>
            <w:tcW w:w="8364" w:type="dxa"/>
            <w:tcBorders>
              <w:left w:val="single" w:color="auto" w:sz="4" w:space="0"/>
              <w:bottom w:val="single" w:color="auto" w:sz="12" w:space="0"/>
              <w:right w:val="single" w:color="auto" w:sz="12" w:space="0"/>
            </w:tcBorders>
            <w:vAlign w:val="center"/>
          </w:tcPr>
          <w:p w14:paraId="03B6FD44">
            <w:pPr>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rPr>
              <w:t>近五年内（指202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年1月1日至投标截止时间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以相应的批复时间为准）</w:t>
            </w:r>
            <w:r>
              <w:rPr>
                <w:rFonts w:hint="eastAsia" w:ascii="宋体" w:hAnsi="宋体" w:eastAsia="宋体" w:cs="宋体"/>
                <w:color w:val="auto"/>
                <w:sz w:val="21"/>
                <w:szCs w:val="21"/>
                <w:highlight w:val="none"/>
                <w:lang w:val="en-US" w:eastAsia="zh-CN"/>
              </w:rPr>
              <w:t>完成过一项</w:t>
            </w:r>
            <w:r>
              <w:rPr>
                <w:rFonts w:hint="eastAsia" w:ascii="宋体" w:hAnsi="宋体" w:eastAsia="宋体" w:cs="宋体"/>
                <w:color w:val="auto"/>
                <w:sz w:val="21"/>
                <w:szCs w:val="21"/>
                <w:highlight w:val="none"/>
              </w:rPr>
              <w:t>二级（含二级）以上公路</w:t>
            </w:r>
            <w:r>
              <w:rPr>
                <w:rFonts w:hint="eastAsia" w:ascii="宋体" w:hAnsi="宋体" w:eastAsia="宋体" w:cs="宋体"/>
                <w:color w:val="auto"/>
                <w:sz w:val="21"/>
                <w:szCs w:val="21"/>
                <w:highlight w:val="none"/>
                <w:lang w:val="en-US" w:eastAsia="zh-CN"/>
              </w:rPr>
              <w:t>大桥（指长度100米以上桥梁的新、改扩建或拆除重建）设计业绩且同时完成过一项二级</w:t>
            </w:r>
            <w:r>
              <w:rPr>
                <w:rFonts w:hint="eastAsia" w:ascii="宋体" w:hAnsi="宋体" w:eastAsia="宋体" w:cs="宋体"/>
                <w:color w:val="auto"/>
                <w:sz w:val="21"/>
                <w:szCs w:val="21"/>
                <w:highlight w:val="none"/>
              </w:rPr>
              <w:t>（含二级）</w:t>
            </w:r>
            <w:r>
              <w:rPr>
                <w:rFonts w:hint="eastAsia" w:ascii="宋体" w:hAnsi="宋体" w:eastAsia="宋体" w:cs="宋体"/>
                <w:color w:val="auto"/>
                <w:sz w:val="21"/>
                <w:szCs w:val="21"/>
                <w:highlight w:val="none"/>
                <w:lang w:val="en-US" w:eastAsia="zh-CN"/>
              </w:rPr>
              <w:t>以上公路路面改造工程设计业绩</w:t>
            </w:r>
            <w:r>
              <w:rPr>
                <w:rFonts w:hint="eastAsia" w:ascii="宋体" w:hAnsi="宋体" w:eastAsia="宋体" w:cs="宋体"/>
                <w:sz w:val="21"/>
                <w:szCs w:val="21"/>
                <w:highlight w:val="none"/>
                <w:lang w:eastAsia="zh-CN"/>
              </w:rPr>
              <w:t>。</w:t>
            </w:r>
          </w:p>
        </w:tc>
      </w:tr>
    </w:tbl>
    <w:p w14:paraId="3740F3CC">
      <w:pPr>
        <w:keepNext w:val="0"/>
        <w:keepLines w:val="0"/>
        <w:pageBreakBefore w:val="0"/>
        <w:widowControl w:val="0"/>
        <w:kinsoku/>
        <w:wordWrap/>
        <w:overflowPunct/>
        <w:topLinePunct w:val="0"/>
        <w:autoSpaceDE/>
        <w:autoSpaceDN/>
        <w:bidi w:val="0"/>
        <w:adjustRightInd/>
        <w:snapToGrid/>
        <w:spacing w:beforeAutospacing="0" w:line="360" w:lineRule="exact"/>
        <w:jc w:val="left"/>
        <w:textAlignment w:val="auto"/>
        <w:outlineLvl w:val="9"/>
        <w:rPr>
          <w:rFonts w:hint="eastAsia" w:ascii="宋体" w:hAnsi="宋体" w:eastAsia="宋体" w:cs="宋体"/>
          <w:b/>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p w14:paraId="757586DD">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1" w:name="_Toc22693"/>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11BD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132D0E5B">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48E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73124988">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716A6E69">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2" w:name="_Toc411418983"/>
      <w:bookmarkStart w:id="13" w:name="_Toc51622570"/>
      <w:bookmarkStart w:id="14" w:name="_Toc29707"/>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319"/>
        <w:gridCol w:w="6504"/>
      </w:tblGrid>
      <w:tr w14:paraId="67FB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20" w:type="dxa"/>
            <w:vMerge w:val="restart"/>
            <w:tcBorders>
              <w:top w:val="single" w:color="auto" w:sz="12" w:space="0"/>
              <w:left w:val="single" w:color="auto" w:sz="12" w:space="0"/>
              <w:right w:val="single" w:color="auto" w:sz="4" w:space="0"/>
            </w:tcBorders>
            <w:vAlign w:val="center"/>
          </w:tcPr>
          <w:p w14:paraId="2551E3CB">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319" w:type="dxa"/>
            <w:tcBorders>
              <w:top w:val="single" w:color="auto" w:sz="12" w:space="0"/>
              <w:left w:val="single" w:color="auto" w:sz="4" w:space="0"/>
              <w:bottom w:val="single" w:color="auto" w:sz="4" w:space="0"/>
              <w:right w:val="single" w:color="auto" w:sz="4" w:space="0"/>
            </w:tcBorders>
            <w:vAlign w:val="center"/>
          </w:tcPr>
          <w:p w14:paraId="150EB6DE">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504" w:type="dxa"/>
            <w:vMerge w:val="restart"/>
            <w:tcBorders>
              <w:top w:val="single" w:color="auto" w:sz="12" w:space="0"/>
              <w:left w:val="single" w:color="auto" w:sz="4" w:space="0"/>
              <w:right w:val="single" w:color="auto" w:sz="12" w:space="0"/>
            </w:tcBorders>
            <w:vAlign w:val="center"/>
          </w:tcPr>
          <w:p w14:paraId="685E8456">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r>
      <w:tr w14:paraId="2973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vMerge w:val="continue"/>
            <w:tcBorders>
              <w:left w:val="single" w:color="auto" w:sz="12" w:space="0"/>
              <w:right w:val="single" w:color="auto" w:sz="4" w:space="0"/>
            </w:tcBorders>
            <w:vAlign w:val="center"/>
          </w:tcPr>
          <w:p w14:paraId="2B3D84A3">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c>
          <w:tcPr>
            <w:tcW w:w="1319" w:type="dxa"/>
            <w:tcBorders>
              <w:top w:val="single" w:color="auto" w:sz="4" w:space="0"/>
              <w:left w:val="single" w:color="auto" w:sz="4" w:space="0"/>
              <w:bottom w:val="single" w:color="auto" w:sz="4" w:space="0"/>
              <w:right w:val="single" w:color="auto" w:sz="4" w:space="0"/>
            </w:tcBorders>
            <w:vAlign w:val="center"/>
          </w:tcPr>
          <w:p w14:paraId="2C338C6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BC26SJ01</w:t>
            </w:r>
          </w:p>
        </w:tc>
        <w:tc>
          <w:tcPr>
            <w:tcW w:w="6504" w:type="dxa"/>
            <w:vMerge w:val="continue"/>
            <w:tcBorders>
              <w:left w:val="single" w:color="auto" w:sz="4" w:space="0"/>
              <w:bottom w:val="single" w:color="auto" w:sz="4" w:space="0"/>
              <w:right w:val="single" w:color="auto" w:sz="12" w:space="0"/>
            </w:tcBorders>
            <w:vAlign w:val="center"/>
          </w:tcPr>
          <w:p w14:paraId="140AF7E5">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r>
      <w:tr w14:paraId="4688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20" w:type="dxa"/>
            <w:tcBorders>
              <w:left w:val="single" w:color="auto" w:sz="12" w:space="0"/>
              <w:bottom w:val="single" w:color="auto" w:sz="12" w:space="0"/>
              <w:right w:val="single" w:color="auto" w:sz="4" w:space="0"/>
            </w:tcBorders>
            <w:vAlign w:val="center"/>
          </w:tcPr>
          <w:p w14:paraId="2387F866">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1319" w:type="dxa"/>
            <w:tcBorders>
              <w:top w:val="single" w:color="auto" w:sz="4" w:space="0"/>
              <w:left w:val="single" w:color="auto" w:sz="4" w:space="0"/>
              <w:bottom w:val="single" w:color="auto" w:sz="12" w:space="0"/>
              <w:right w:val="single" w:color="auto" w:sz="4" w:space="0"/>
            </w:tcBorders>
            <w:vAlign w:val="center"/>
          </w:tcPr>
          <w:p w14:paraId="3BB003B4">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6504" w:type="dxa"/>
            <w:tcBorders>
              <w:top w:val="single" w:color="auto" w:sz="4" w:space="0"/>
              <w:left w:val="single" w:color="auto" w:sz="4" w:space="0"/>
              <w:bottom w:val="single" w:color="auto" w:sz="12" w:space="0"/>
              <w:right w:val="single" w:color="auto" w:sz="12" w:space="0"/>
            </w:tcBorders>
            <w:vAlign w:val="center"/>
          </w:tcPr>
          <w:p w14:paraId="764BD557">
            <w:pPr>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D8C9773">
            <w:pPr>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489EC80D">
            <w:pPr>
              <w:keepNext w:val="0"/>
              <w:keepLines w:val="0"/>
              <w:pageBreakBefore w:val="0"/>
              <w:widowControl/>
              <w:suppressLineNumbers w:val="0"/>
              <w:kinsoku/>
              <w:wordWrap/>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（3）担任过一项二级（含二级）以上公路养护工程勘察设计的项目负责人或技术负责人</w:t>
            </w:r>
            <w:r>
              <w:rPr>
                <w:rFonts w:hint="eastAsia" w:ascii="宋体" w:hAnsi="宋体" w:eastAsia="宋体" w:cs="宋体"/>
                <w:sz w:val="21"/>
                <w:szCs w:val="21"/>
                <w:highlight w:val="none"/>
                <w:lang w:eastAsia="zh-CN"/>
              </w:rPr>
              <w:t>；</w:t>
            </w:r>
          </w:p>
          <w:p w14:paraId="589DB70A">
            <w:pPr>
              <w:keepNext w:val="0"/>
              <w:keepLines w:val="0"/>
              <w:pageBreakBefore w:val="0"/>
              <w:widowControl/>
              <w:suppressLineNumbers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作为项目负责人或技术负责人主持过1座二级</w:t>
            </w:r>
            <w:r>
              <w:rPr>
                <w:rFonts w:hint="eastAsia" w:ascii="宋体" w:hAnsi="宋体" w:eastAsia="宋体" w:cs="宋体"/>
                <w:sz w:val="21"/>
                <w:szCs w:val="21"/>
                <w:highlight w:val="none"/>
              </w:rPr>
              <w:t>（含二级）</w:t>
            </w:r>
            <w:r>
              <w:rPr>
                <w:rFonts w:hint="eastAsia" w:ascii="宋体" w:hAnsi="宋体" w:eastAsia="宋体" w:cs="宋体"/>
                <w:sz w:val="21"/>
                <w:szCs w:val="21"/>
                <w:highlight w:val="none"/>
                <w:lang w:val="en-US" w:eastAsia="zh-CN"/>
              </w:rPr>
              <w:t>以上公路大桥</w:t>
            </w:r>
            <w:r>
              <w:rPr>
                <w:rFonts w:hint="eastAsia" w:ascii="宋体" w:hAnsi="宋体" w:eastAsia="宋体" w:cs="宋体"/>
                <w:color w:val="auto"/>
                <w:sz w:val="21"/>
                <w:szCs w:val="21"/>
                <w:highlight w:val="none"/>
                <w:lang w:val="en-US" w:eastAsia="zh-CN"/>
              </w:rPr>
              <w:t>（指长度100米以上桥梁的新、改扩建或拆除重建）</w:t>
            </w:r>
            <w:r>
              <w:rPr>
                <w:rFonts w:hint="eastAsia" w:ascii="宋体" w:hAnsi="宋体" w:eastAsia="宋体" w:cs="宋体"/>
                <w:sz w:val="21"/>
                <w:szCs w:val="21"/>
                <w:highlight w:val="none"/>
                <w:lang w:val="en-US" w:eastAsia="zh-CN"/>
              </w:rPr>
              <w:t>施工图设计业绩。</w:t>
            </w:r>
          </w:p>
          <w:p w14:paraId="50F80930">
            <w:pPr>
              <w:keepLines w:val="0"/>
              <w:pageBreakBefore w:val="0"/>
              <w:kinsoku/>
              <w:wordWrap/>
              <w:overflowPunct/>
              <w:topLinePunct w:val="0"/>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80536764"/>
      <w:bookmarkStart w:id="16" w:name="_Toc520285006"/>
      <w:bookmarkStart w:id="17" w:name="_Toc505091277"/>
      <w:r>
        <w:rPr>
          <w:rFonts w:hint="eastAsia" w:ascii="宋体" w:hAnsi="宋体" w:eastAsia="宋体" w:cs="宋体"/>
          <w:b/>
          <w:sz w:val="21"/>
          <w:szCs w:val="21"/>
        </w:rPr>
        <w:t>评标办法（综合评估法）</w:t>
      </w:r>
    </w:p>
    <w:bookmarkEnd w:id="15"/>
    <w:bookmarkEnd w:id="16"/>
    <w:bookmarkEnd w:id="17"/>
    <w:p w14:paraId="3FBD28F0">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b/>
          <w:bCs/>
          <w:w w:val="105"/>
          <w:sz w:val="21"/>
          <w:szCs w:val="21"/>
          <w:highlight w:val="none"/>
        </w:rPr>
      </w:pPr>
      <w:bookmarkStart w:id="18" w:name="_Toc21572"/>
      <w:r>
        <w:rPr>
          <w:rFonts w:hint="eastAsia" w:ascii="宋体" w:hAnsi="宋体" w:eastAsia="宋体" w:cs="宋体"/>
          <w:b/>
          <w:bCs/>
          <w:w w:val="105"/>
          <w:sz w:val="21"/>
          <w:szCs w:val="21"/>
          <w:highlight w:val="none"/>
        </w:rPr>
        <w:t>评标办法前附表</w:t>
      </w:r>
      <w:bookmarkEnd w:id="18"/>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268E13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30257D85">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4691909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4EF83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0A46AC11">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44D72EE4">
            <w:pPr>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2DA49B7D">
            <w:pPr>
              <w:pStyle w:val="13"/>
              <w:keepLines w:val="0"/>
              <w:pageBreakBefore w:val="0"/>
              <w:shd w:val="clear" w:color="auto" w:fill="auto"/>
              <w:tabs>
                <w:tab w:val="left" w:pos="735"/>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1E2C0235">
            <w:pPr>
              <w:pStyle w:val="13"/>
              <w:keepLines w:val="0"/>
              <w:pageBreakBefore w:val="0"/>
              <w:shd w:val="clear" w:color="auto" w:fill="auto"/>
              <w:tabs>
                <w:tab w:val="left" w:pos="735"/>
                <w:tab w:val="left" w:pos="107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14:paraId="71965790">
            <w:pPr>
              <w:pStyle w:val="13"/>
              <w:keepLines w:val="0"/>
              <w:pageBreakBefore w:val="0"/>
              <w:shd w:val="clear" w:color="auto" w:fill="auto"/>
              <w:tabs>
                <w:tab w:val="left" w:pos="735"/>
                <w:tab w:val="left" w:pos="107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5F599C0D">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3CFCEBB1">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117AD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5C756FF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1624EB4C">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16CF96F1">
            <w:pPr>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4CB0AE15">
            <w:pPr>
              <w:pStyle w:val="13"/>
              <w:keepLines w:val="0"/>
              <w:pageBreakBefore w:val="0"/>
              <w:shd w:val="clear" w:color="auto" w:fill="auto"/>
              <w:tabs>
                <w:tab w:val="left" w:pos="735"/>
              </w:tabs>
              <w:kinsoku/>
              <w:wordWrap/>
              <w:overflowPunct/>
              <w:topLinePunct w:val="0"/>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4655075C">
            <w:pPr>
              <w:pStyle w:val="13"/>
              <w:keepLines w:val="0"/>
              <w:pageBreakBefore w:val="0"/>
              <w:shd w:val="clear" w:color="auto" w:fill="auto"/>
              <w:tabs>
                <w:tab w:val="left" w:pos="735"/>
                <w:tab w:val="left" w:pos="94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4B9C1A8B">
            <w:pPr>
              <w:pStyle w:val="13"/>
              <w:keepLines w:val="0"/>
              <w:pageBreakBefore w:val="0"/>
              <w:shd w:val="clear" w:color="auto" w:fill="auto"/>
              <w:tabs>
                <w:tab w:val="left" w:pos="566"/>
                <w:tab w:val="left" w:pos="735"/>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w:t>
            </w:r>
            <w:r>
              <w:rPr>
                <w:rFonts w:hint="eastAsia" w:eastAsia="宋体" w:cs="宋体"/>
                <w:sz w:val="21"/>
                <w:szCs w:val="21"/>
                <w:highlight w:val="none"/>
                <w:lang w:eastAsia="zh-CN"/>
              </w:rPr>
              <w:t>）</w:t>
            </w:r>
            <w:r>
              <w:rPr>
                <w:rFonts w:hint="eastAsia" w:ascii="宋体" w:hAnsi="宋体" w:eastAsia="宋体" w:cs="宋体"/>
                <w:sz w:val="21"/>
                <w:szCs w:val="21"/>
                <w:highlight w:val="none"/>
              </w:rPr>
              <w:t>、勘察设计服务期限、工程质量要求及安全目标；</w:t>
            </w:r>
          </w:p>
          <w:p w14:paraId="54D371F3">
            <w:pPr>
              <w:pStyle w:val="13"/>
              <w:keepLines w:val="0"/>
              <w:pageBreakBefore w:val="0"/>
              <w:shd w:val="clear" w:color="auto" w:fill="auto"/>
              <w:tabs>
                <w:tab w:val="left" w:pos="168"/>
                <w:tab w:val="left" w:pos="73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b.投标文件组成齐全完整，内容均按规定填写。</w:t>
            </w:r>
          </w:p>
          <w:p w14:paraId="5D892C9E">
            <w:pPr>
              <w:pStyle w:val="13"/>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1188BD7D">
            <w:pPr>
              <w:pStyle w:val="13"/>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14:paraId="1E2F688F">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7628C7AC">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56E0E97E">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1DC397E8">
            <w:pPr>
              <w:pStyle w:val="13"/>
              <w:keepLines w:val="0"/>
              <w:pageBreakBefore w:val="0"/>
              <w:shd w:val="clear" w:color="auto" w:fill="auto"/>
              <w:tabs>
                <w:tab w:val="left" w:pos="95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65882A5F">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746EEC6D">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52827BA8">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p>
          <w:p w14:paraId="604EAA1D">
            <w:pPr>
              <w:pStyle w:val="13"/>
              <w:keepLines w:val="0"/>
              <w:pageBreakBefore w:val="0"/>
              <w:shd w:val="clear" w:color="auto" w:fill="auto"/>
              <w:tabs>
                <w:tab w:val="left" w:pos="962"/>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475ABDF3">
            <w:pPr>
              <w:pStyle w:val="13"/>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）投标文件中未出现有关投标报价的内容。</w:t>
            </w:r>
          </w:p>
          <w:p w14:paraId="58A038F1">
            <w:pPr>
              <w:pStyle w:val="13"/>
              <w:keepLines w:val="0"/>
              <w:pageBreakBefore w:val="0"/>
              <w:shd w:val="clear" w:color="auto" w:fill="auto"/>
              <w:tabs>
                <w:tab w:val="left" w:pos="93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7A5AD2B0">
            <w:pPr>
              <w:pStyle w:val="13"/>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54D2F156">
            <w:pPr>
              <w:pStyle w:val="13"/>
              <w:keepLines w:val="0"/>
              <w:pageBreakBefore w:val="0"/>
              <w:shd w:val="clear" w:color="auto" w:fill="auto"/>
              <w:tabs>
                <w:tab w:val="left" w:pos="117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45D64970">
            <w:pPr>
              <w:pStyle w:val="13"/>
              <w:keepLines w:val="0"/>
              <w:pageBreakBefore w:val="0"/>
              <w:shd w:val="clear" w:color="auto" w:fill="auto"/>
              <w:tabs>
                <w:tab w:val="left" w:pos="56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a.投标人应接受招标文件规定的风险划分原则，未提出新的风险划分办法；</w:t>
            </w:r>
          </w:p>
          <w:p w14:paraId="7A129E61">
            <w:pPr>
              <w:pStyle w:val="13"/>
              <w:keepLines w:val="0"/>
              <w:pageBreakBefore w:val="0"/>
              <w:shd w:val="clear" w:color="auto" w:fill="auto"/>
              <w:tabs>
                <w:tab w:val="left" w:pos="71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b.投标人未增加发包人的责任范围，或减少投标人义务；</w:t>
            </w:r>
          </w:p>
          <w:p w14:paraId="74F04BC4">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C361439">
            <w:pPr>
              <w:pStyle w:val="13"/>
              <w:keepLines w:val="0"/>
              <w:pageBreakBefore w:val="0"/>
              <w:shd w:val="clear" w:color="auto" w:fill="auto"/>
              <w:tabs>
                <w:tab w:val="left" w:pos="703"/>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d.投标人对合同纠纷、事故处理办法未提出异议；</w:t>
            </w:r>
          </w:p>
          <w:p w14:paraId="00A5C43D">
            <w:pPr>
              <w:pStyle w:val="13"/>
              <w:keepLines w:val="0"/>
              <w:pageBreakBefore w:val="0"/>
              <w:shd w:val="clear" w:color="auto" w:fill="auto"/>
              <w:tabs>
                <w:tab w:val="left" w:pos="68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e.投标人在投标活动中无欺诈行为；</w:t>
            </w:r>
          </w:p>
          <w:p w14:paraId="4C5A49D3">
            <w:pPr>
              <w:pStyle w:val="13"/>
              <w:keepLines w:val="0"/>
              <w:pageBreakBefore w:val="0"/>
              <w:shd w:val="clear" w:color="auto" w:fill="auto"/>
              <w:tabs>
                <w:tab w:val="left" w:pos="67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.投标人未对合同条款有重要保留。</w:t>
            </w:r>
          </w:p>
          <w:p w14:paraId="45DD0569">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sz w:val="21"/>
                <w:szCs w:val="21"/>
                <w:highlight w:val="none"/>
              </w:rPr>
            </w:pPr>
          </w:p>
          <w:p w14:paraId="0EDBFD90">
            <w:pPr>
              <w:pStyle w:val="13"/>
              <w:keepLines w:val="0"/>
              <w:pageBreakBefore w:val="0"/>
              <w:shd w:val="clear" w:color="auto" w:fill="auto"/>
              <w:kinsoku/>
              <w:wordWrap/>
              <w:overflowPunct/>
              <w:topLinePunct w:val="0"/>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4FBA3BDD">
            <w:pPr>
              <w:keepLines w:val="0"/>
              <w:pageBreakBefore w:val="0"/>
              <w:tabs>
                <w:tab w:val="left" w:pos="735"/>
              </w:tabs>
              <w:kinsoku/>
              <w:wordWrap/>
              <w:overflowPunct/>
              <w:topLinePunct w:val="0"/>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（1）投标文件按照招标文件规定的格式、内容填写，字迹清晰可辨，内容齐全完整：</w:t>
            </w:r>
          </w:p>
          <w:p w14:paraId="0E85FDCC">
            <w:pPr>
              <w:pStyle w:val="13"/>
              <w:keepLines w:val="0"/>
              <w:pageBreakBefore w:val="0"/>
              <w:shd w:val="clear" w:color="auto" w:fill="auto"/>
              <w:tabs>
                <w:tab w:val="left" w:pos="569"/>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a.投标函按招标文件规定填报了项目名称、标段号、补遗书编号（如有</w:t>
            </w:r>
            <w:r>
              <w:rPr>
                <w:rStyle w:val="15"/>
                <w:rFonts w:hint="eastAsia"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、投标价（包括大写金额和小写金额</w:t>
            </w:r>
            <w:r>
              <w:rPr>
                <w:rStyle w:val="15"/>
                <w:rFonts w:hint="eastAsia" w:eastAsia="宋体" w:cs="宋体"/>
                <w:color w:val="auto"/>
                <w:sz w:val="21"/>
                <w:szCs w:val="21"/>
                <w:highlight w:val="none"/>
                <w:shd w:val="clear" w:color="auto" w:fill="auto"/>
                <w:lang w:eastAsia="zh-CN" w:bidi="en-US"/>
              </w:rPr>
              <w:t>）</w:t>
            </w:r>
            <w:r>
              <w:rPr>
                <w:rStyle w:val="15"/>
                <w:rFonts w:hint="eastAsia" w:ascii="宋体" w:hAnsi="宋体" w:eastAsia="宋体" w:cs="宋体"/>
                <w:color w:val="auto"/>
                <w:sz w:val="21"/>
                <w:szCs w:val="21"/>
                <w:highlight w:val="none"/>
                <w:shd w:val="clear" w:color="auto" w:fill="auto"/>
                <w:lang w:bidi="en-US"/>
              </w:rPr>
              <w:t>；</w:t>
            </w:r>
          </w:p>
          <w:p w14:paraId="538C66E6">
            <w:pPr>
              <w:pStyle w:val="13"/>
              <w:keepLines w:val="0"/>
              <w:pageBreakBefore w:val="0"/>
              <w:shd w:val="clear" w:color="auto" w:fill="auto"/>
              <w:tabs>
                <w:tab w:val="left" w:pos="593"/>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b.已标价报价清单说明文字与招标文件规定一致，未进行实质性修改和删减；</w:t>
            </w:r>
          </w:p>
          <w:p w14:paraId="4BA340DD">
            <w:pPr>
              <w:pStyle w:val="13"/>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57BD204E">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（2）投标文件上法定代表人或其委托代理人的签字、投标人的单位章盖章齐全，符合招标文件规定。</w:t>
            </w:r>
          </w:p>
          <w:p w14:paraId="46113C4F">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（3）投标报价未超过招标文件设定的最高投标限价。</w:t>
            </w:r>
          </w:p>
          <w:p w14:paraId="239B5BF6">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（4）投标报价的大写金额能够确定具体数值。</w:t>
            </w:r>
          </w:p>
          <w:p w14:paraId="1DDD2628">
            <w:pPr>
              <w:pStyle w:val="13"/>
              <w:keepLines w:val="0"/>
              <w:pageBreakBefore w:val="0"/>
              <w:shd w:val="clear" w:color="auto" w:fill="auto"/>
              <w:tabs>
                <w:tab w:val="left" w:pos="96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（5）同一投标人未提交两个以上不同的投标报价，但招标文件要求提交备选投标的除外。</w:t>
            </w:r>
          </w:p>
        </w:tc>
      </w:tr>
      <w:tr w14:paraId="3EDA4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59DF60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3925161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71391A3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4382A0FB">
            <w:pPr>
              <w:pStyle w:val="13"/>
              <w:keepLines w:val="0"/>
              <w:pageBreakBefore w:val="0"/>
              <w:shd w:val="clear" w:color="auto" w:fill="auto"/>
              <w:tabs>
                <w:tab w:val="left" w:pos="946"/>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（1）投标人具备有效的营业执照、勘察资质证书、设计资质证书和基本账户开户许可证明材料。</w:t>
            </w:r>
          </w:p>
          <w:p w14:paraId="3C20BDE5">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（2）投标人的资质等级符合招标文件规定。</w:t>
            </w:r>
          </w:p>
          <w:p w14:paraId="50DF4E12">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（3）投标人的类似项目业绩符合招标文件规定。</w:t>
            </w:r>
          </w:p>
          <w:p w14:paraId="2EF45A1E">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（4）投标人的信誉符合招标文件规定。</w:t>
            </w:r>
          </w:p>
          <w:p w14:paraId="4770F9E4">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（5）投标人的项目负责人资格符合招标文件规定。</w:t>
            </w:r>
          </w:p>
          <w:p w14:paraId="1358BFB8">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（6）投标人不存在第二章“投标人须知”第1.4.3项或第1.4.4项规定的任何一种情形。</w:t>
            </w:r>
          </w:p>
          <w:p w14:paraId="5A86E4FB">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329DA3DA">
            <w:pPr>
              <w:keepLines w:val="0"/>
              <w:pageBreakBefore w:val="0"/>
              <w:kinsoku/>
              <w:wordWrap/>
              <w:overflowPunct/>
              <w:topLinePunct w:val="0"/>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2D5CC0DA">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05430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3DE71BD0">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5A6B1339">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07202700">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1681F1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shd w:val="clear" w:color="auto" w:fill="auto"/>
            <w:vAlign w:val="center"/>
          </w:tcPr>
          <w:p w14:paraId="144D6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2235D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17173E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lang w:eastAsia="zh-CN"/>
              </w:rPr>
              <w:t>（</w:t>
            </w: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2423D01C">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1AD2EC4D">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1D305641">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2B6EBB3B">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20485B68">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0D13B347">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left"/>
              <w:textAlignment w:val="auto"/>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5E3491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28F3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361E6B4">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0E745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718AE512">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2558F10D">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12730650">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56691C87">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1EB27C7E">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3DA95E90">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除按第二章“投标人须知”第5.2.4项规定开标现场被宣布为不参与评标基准价计算的投标报价之外，所有投标人的评标价去掉一个最高值和一个最低值后的算术平均值即为评标价平均值</w:t>
            </w:r>
            <w:r>
              <w:rPr>
                <w:rFonts w:hint="eastAsia" w:ascii="宋体" w:hAnsi="宋体" w:eastAsia="宋体" w:cs="宋体"/>
                <w:bCs/>
                <w:color w:val="auto"/>
                <w:sz w:val="21"/>
                <w:szCs w:val="21"/>
                <w:highlight w:val="none"/>
              </w:rPr>
              <w:t>（如果参与评标价平均值计算的有效投标人少于5家时，则计算评标价平均值时不去掉最高值和最低值），评标价平均值的计算保留整数，小数点后第1位“四舍五入”。</w:t>
            </w:r>
          </w:p>
          <w:p w14:paraId="70ACA0F7">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5CD1F52C">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0D6FA8E7">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5EFF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3970B3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6B28B2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4B070BB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eastAsia="zh-CN"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1371A6BD">
            <w:pPr>
              <w:pStyle w:val="13"/>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firstLine="420" w:firstLineChars="200"/>
              <w:jc w:val="both"/>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07C434C0">
      <w:pPr>
        <w:keepLines w:val="0"/>
        <w:pageBreakBefore w:val="0"/>
        <w:kinsoku/>
        <w:wordWrap/>
        <w:overflowPunct/>
        <w:topLinePunct w:val="0"/>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71769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47526F8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54384E2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486CE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383A0D1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3614EAF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23D2E33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6AB2031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2D78B32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43CB4FA2">
            <w:pPr>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p>
        </w:tc>
      </w:tr>
      <w:tr w14:paraId="619D4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0F1B3F3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57804FE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07A5066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4FA61A6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5771F45A">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121DBB35">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对招标项目的理解和总体设计思路基本正确得3分，理解深刻、认识全面、对设计思路把握准确，酌情加分，最高加2分。</w:t>
            </w:r>
          </w:p>
        </w:tc>
      </w:tr>
      <w:tr w14:paraId="6C0A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1C91DEF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1C1ECD2F">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4981944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7C23E988">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33E6CD65">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c>
          <w:tcPr>
            <w:tcW w:w="3822" w:type="dxa"/>
            <w:shd w:val="clear" w:color="auto" w:fill="auto"/>
            <w:vAlign w:val="center"/>
          </w:tcPr>
          <w:p w14:paraId="124298A8">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对招标项目设计的特点及关键性技术问题把握基本准确，所提出的措施基本可行得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分，所提出的措施符合本项目的特点，针对性强，且具有可行性的，酌情加分，最高加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4887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77" w:type="dxa"/>
            <w:vMerge w:val="continue"/>
            <w:shd w:val="clear" w:color="auto" w:fill="auto"/>
            <w:vAlign w:val="center"/>
          </w:tcPr>
          <w:p w14:paraId="351DB6A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762882B4">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7A0619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4029A2A6">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3D693B5F">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rPr>
              <w:t>分</w:t>
            </w:r>
          </w:p>
        </w:tc>
        <w:tc>
          <w:tcPr>
            <w:tcW w:w="3822" w:type="dxa"/>
            <w:shd w:val="clear" w:color="auto" w:fill="auto"/>
            <w:vAlign w:val="center"/>
          </w:tcPr>
          <w:p w14:paraId="38CC46AB">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设计工作计划安排基本可行得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分，计划安排合理，酌情加分，最高加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8C03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099A891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004DA10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173826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43DB985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2F73B5D2">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468F8430">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设计的质量、进度、安全保证措施基本可行得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分，措施可行，所采用的措施能够提高设计质量、加快设计进度的酌情加分，最高加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501B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7" w:type="dxa"/>
            <w:vMerge w:val="continue"/>
            <w:shd w:val="clear" w:color="auto" w:fill="auto"/>
            <w:vAlign w:val="center"/>
          </w:tcPr>
          <w:p w14:paraId="0F17E82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5513B42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ED7963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3CC63BF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0AF4A5C1">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A906F12">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后续服务的安排及保证措施基本可行得3分，可行且能够快速的协助发包人解决问题，酌情加分，最高加2分。</w:t>
            </w:r>
          </w:p>
        </w:tc>
      </w:tr>
      <w:tr w14:paraId="59DA1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616149E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3F359C3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2EA0101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54CD8E16">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5F1349C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563676E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51A8195D">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0F0B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77" w:type="dxa"/>
            <w:shd w:val="clear" w:color="auto" w:fill="auto"/>
            <w:vAlign w:val="center"/>
          </w:tcPr>
          <w:p w14:paraId="411E209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5BADD5B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098CCAC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51C6D3EC">
            <w:pPr>
              <w:keepLines w:val="0"/>
              <w:pageBreakBefore w:val="0"/>
              <w:kinsoku/>
              <w:wordWrap/>
              <w:overflowPunct/>
              <w:topLinePunct w:val="0"/>
              <w:bidi w:val="0"/>
              <w:adjustRightInd w:val="0"/>
              <w:snapToGrid w:val="0"/>
              <w:spacing w:line="360" w:lineRule="exac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001308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w:t>
            </w:r>
          </w:p>
          <w:p w14:paraId="434FF5C8">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color w:val="auto"/>
                <w:sz w:val="21"/>
                <w:szCs w:val="21"/>
                <w:highlight w:val="none"/>
              </w:rPr>
              <w:t>（2）如果投标人的评标价≤评标基准价，则评标价得分=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+偏差率×100×</w:t>
            </w:r>
            <w:r>
              <w:rPr>
                <w:rFonts w:hint="eastAsia" w:ascii="宋体" w:hAnsi="宋体" w:eastAsia="宋体" w:cs="宋体"/>
                <w:color w:val="auto"/>
                <w:sz w:val="21"/>
                <w:szCs w:val="21"/>
                <w:highlight w:val="none"/>
                <w:lang w:val="en-US" w:eastAsia="zh-CN"/>
              </w:rPr>
              <w:t>0.05</w:t>
            </w:r>
            <w:r>
              <w:rPr>
                <w:rFonts w:hint="eastAsia" w:ascii="宋体" w:hAnsi="宋体" w:eastAsia="宋体" w:cs="宋体"/>
                <w:color w:val="auto"/>
                <w:sz w:val="21"/>
                <w:szCs w:val="21"/>
                <w:highlight w:val="none"/>
              </w:rPr>
              <w:t>；</w:t>
            </w:r>
          </w:p>
        </w:tc>
      </w:tr>
      <w:tr w14:paraId="61C0C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0B2F9EC9">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4F7322DF">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7EC6B613">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51D96721">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1A780FE3">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7F16E76A">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0D0BF85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10598A8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color w:val="auto"/>
                <w:sz w:val="21"/>
                <w:szCs w:val="21"/>
                <w:highlight w:val="none"/>
                <w:lang w:val="en-US" w:eastAsia="zh-CN"/>
              </w:rPr>
              <w:t>一项</w:t>
            </w:r>
            <w:r>
              <w:rPr>
                <w:rFonts w:hint="eastAsia" w:ascii="宋体" w:hAnsi="宋体" w:eastAsia="宋体" w:cs="宋体"/>
                <w:color w:val="auto"/>
                <w:sz w:val="21"/>
                <w:szCs w:val="21"/>
                <w:highlight w:val="none"/>
              </w:rPr>
              <w:t>二级（含二级）以上公路</w:t>
            </w:r>
            <w:r>
              <w:rPr>
                <w:rFonts w:hint="eastAsia" w:ascii="宋体" w:hAnsi="宋体" w:eastAsia="宋体" w:cs="宋体"/>
                <w:color w:val="auto"/>
                <w:sz w:val="21"/>
                <w:szCs w:val="21"/>
                <w:highlight w:val="none"/>
                <w:lang w:val="en-US" w:eastAsia="zh-CN"/>
              </w:rPr>
              <w:t>大桥（指长度100米以上桥梁的新、改扩建或拆除重建）设计业绩</w:t>
            </w:r>
            <w:r>
              <w:rPr>
                <w:rFonts w:hint="eastAsia" w:ascii="宋体" w:hAnsi="宋体" w:eastAsia="宋体" w:cs="宋体"/>
                <w:sz w:val="21"/>
                <w:szCs w:val="21"/>
                <w:highlight w:val="none"/>
              </w:rPr>
              <w:t>加</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分，最多加10分。</w:t>
            </w:r>
          </w:p>
          <w:p w14:paraId="317747D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2444504D">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②以联合体形式投标的，只计算联合体牵头人业绩</w:t>
            </w:r>
            <w:r>
              <w:rPr>
                <w:rFonts w:hint="eastAsia" w:ascii="宋体" w:hAnsi="宋体" w:eastAsia="宋体" w:cs="宋体"/>
                <w:sz w:val="21"/>
                <w:szCs w:val="21"/>
                <w:highlight w:val="none"/>
                <w:lang w:eastAsia="zh-CN"/>
              </w:rPr>
              <w:t>；</w:t>
            </w:r>
          </w:p>
          <w:p w14:paraId="69DAAAF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2F56A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138BB2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6E09DC7">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68DED46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4963A6F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2849982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6F5C10D6">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58120CFB">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12515F84">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445D1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69334E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C5C641D">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4059700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11159D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1AF9783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2FFDA17">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7C2AAD70">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13DE8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E8F3A9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26D9D6ED">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9264C1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B17447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16C0DB0">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EA6A7A6">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04F91B06">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4E2FC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00F98FE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75A41CE7">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EB9922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DE3731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181EE44D">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BFDD2BB">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58150507">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64AB2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588C8ED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9A47157">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330DFB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774B7E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71739F1E">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74845443">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09E18777">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69A13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75D6E7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6AAC0F66">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2042D88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8D1866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3F386792">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7554C0E5">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（1）采用《吉林省公路管理局202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年普通国省干线公路养护工程设计企业信用评价结果公告》（下称“202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年吉林省评价”）中的信用等级，如未列入202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年吉林省评价的，采用《吉林省公路管理局202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年普通国省干线公路养护工程设计企业信用评价结果公告》中的信用等级；</w:t>
            </w:r>
          </w:p>
          <w:p w14:paraId="1B39B95A">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rPr>
              <w:t>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全国公路从业单位信用评价结果”中投标人的202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企业信用评价等级</w:t>
            </w:r>
            <w:r>
              <w:rPr>
                <w:rFonts w:hint="eastAsia" w:ascii="宋体" w:hAnsi="宋体" w:eastAsia="宋体" w:cs="宋体"/>
                <w:sz w:val="21"/>
                <w:szCs w:val="21"/>
                <w:highlight w:val="none"/>
              </w:rPr>
              <w:t>（下称“202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年全国评价”）</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如未列入202</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年全国评价的，</w:t>
            </w:r>
            <w:r>
              <w:rPr>
                <w:rFonts w:hint="eastAsia" w:ascii="宋体" w:hAnsi="宋体" w:eastAsia="宋体" w:cs="宋体"/>
                <w:color w:val="auto"/>
                <w:sz w:val="21"/>
                <w:szCs w:val="21"/>
                <w:highlight w:val="none"/>
                <w:lang w:val="en-US" w:eastAsia="zh-CN"/>
              </w:rPr>
              <w:t>采用</w:t>
            </w:r>
            <w:r>
              <w:rPr>
                <w:rFonts w:hint="eastAsia" w:ascii="宋体" w:hAnsi="宋体" w:eastAsia="宋体" w:cs="宋体"/>
                <w:color w:val="auto"/>
                <w:sz w:val="21"/>
                <w:szCs w:val="21"/>
                <w:highlight w:val="none"/>
              </w:rPr>
              <w:t>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全国公路从业单位信用评价结果”中投标人的202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年度</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企业信用评价等级</w:t>
            </w:r>
            <w:r>
              <w:rPr>
                <w:rFonts w:hint="eastAsia" w:ascii="宋体" w:hAnsi="宋体" w:eastAsia="宋体" w:cs="宋体"/>
                <w:sz w:val="21"/>
                <w:szCs w:val="21"/>
                <w:highlight w:val="none"/>
              </w:rPr>
              <w:t>；</w:t>
            </w:r>
          </w:p>
          <w:p w14:paraId="02798605">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588243F4">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0DED0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47C9DDC1">
            <w:pPr>
              <w:pStyle w:val="14"/>
              <w:keepLines w:val="0"/>
              <w:pageBreakBefore w:val="0"/>
              <w:kinsoku/>
              <w:wordWrap/>
              <w:overflowPunct/>
              <w:topLinePunct w:val="0"/>
              <w:bidi w:val="0"/>
              <w:adjustRightInd w:val="0"/>
              <w:snapToGrid w:val="0"/>
              <w:spacing w:line="360" w:lineRule="exact"/>
              <w:ind w:left="0" w:leftChars="0" w:firstLine="420"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29B807BC">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lang w:eastAsia="zh-CN"/>
              </w:rPr>
              <w:t>白城市公路管理处</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eastAsia="zh-CN"/>
              </w:rPr>
              <w:t>地    址：</w:t>
            </w:r>
            <w:r>
              <w:rPr>
                <w:rFonts w:hint="eastAsia" w:ascii="宋体" w:hAnsi="宋体" w:eastAsia="宋体" w:cs="宋体"/>
                <w:color w:val="auto"/>
                <w:sz w:val="21"/>
                <w:szCs w:val="21"/>
                <w:highlight w:val="none"/>
                <w:shd w:val="clear" w:color="auto" w:fill="FFFFFF"/>
              </w:rPr>
              <w:t>白城市青年南大街7号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color w:val="auto"/>
                <w:sz w:val="21"/>
                <w:szCs w:val="21"/>
                <w:highlight w:val="none"/>
                <w:lang w:val="en-US" w:eastAsia="zh-CN"/>
              </w:rPr>
              <w:t>张宇</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w:t>
            </w:r>
            <w:r>
              <w:rPr>
                <w:rFonts w:hint="eastAsia" w:ascii="宋体" w:hAnsi="宋体" w:eastAsia="宋体" w:cs="宋体"/>
                <w:color w:val="auto"/>
                <w:sz w:val="21"/>
                <w:szCs w:val="21"/>
                <w:highlight w:val="none"/>
              </w:rPr>
              <w:t>0436-3200015</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5FDA385B">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BatangChe">
    <w:panose1 w:val="02030609000101010101"/>
    <w:charset w:val="81"/>
    <w:family w:val="modern"/>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3E2E440E">
      <w:pPr>
        <w:pStyle w:val="5"/>
        <w:snapToGrid w:val="0"/>
      </w:pPr>
      <w:r>
        <w:rPr>
          <w:rStyle w:val="8"/>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宋体" w:hAnsi="宋体"/>
          <w:lang w:eastAsia="zh-CN"/>
        </w:rPr>
        <w:t>）</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39911036">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7CFD5736">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19" w:name="_Hlk143771950"/>
      <w:r>
        <w:rPr>
          <w:rFonts w:hint="eastAsia"/>
        </w:rPr>
        <w:t>（含7人）</w:t>
      </w:r>
      <w:bookmarkEnd w:id="19"/>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15468C5"/>
    <w:rsid w:val="38404012"/>
    <w:rsid w:val="39C41070"/>
    <w:rsid w:val="3DB2627F"/>
    <w:rsid w:val="555846C7"/>
    <w:rsid w:val="58F2172B"/>
    <w:rsid w:val="5AD5267A"/>
    <w:rsid w:val="5F2137CD"/>
    <w:rsid w:val="6E8121ED"/>
    <w:rsid w:val="77141486"/>
    <w:rsid w:val="7D6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5167</Words>
  <Characters>5506</Characters>
  <Lines>42</Lines>
  <Paragraphs>12</Paragraphs>
  <TotalTime>5</TotalTime>
  <ScaleCrop>false</ScaleCrop>
  <LinksUpToDate>false</LinksUpToDate>
  <CharactersWithSpaces>5534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Administrator</cp:lastModifiedBy>
  <dcterms:modified xsi:type="dcterms:W3CDTF">2026-06-08T08:00:15Z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2052-12.1.0.23542</vt:lpwstr>
  </property>
  <property fmtid="{D5CDD505-2E9C-101B-9397-08002B2CF9AE}" pid="4" name="ICV">
    <vt:lpwstr>D3FFF19BAB014F3AB6904F72D2573AD4_12</vt:lpwstr>
  </property>
</Properties>
</file>