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27A31">
      <w:pPr>
        <w:adjustRightInd w:val="0"/>
        <w:snapToGrid w:val="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吉林省</w:t>
      </w:r>
      <w:r>
        <w:rPr>
          <w:rFonts w:hint="eastAsia" w:ascii="宋体" w:hAnsi="宋体" w:eastAsia="宋体" w:cs="宋体"/>
          <w:sz w:val="28"/>
          <w:szCs w:val="28"/>
          <w:lang w:eastAsia="zh-CN"/>
        </w:rPr>
        <w:t>2026年度高速公路养护工程施工监理</w:t>
      </w:r>
    </w:p>
    <w:p w14:paraId="191DCBCC">
      <w:pPr>
        <w:adjustRightInd w:val="0"/>
        <w:snapToGrid w:val="0"/>
        <w:jc w:val="center"/>
        <w:rPr>
          <w:rFonts w:hint="eastAsia" w:ascii="宋体" w:hAnsi="宋体" w:eastAsia="宋体" w:cs="宋体"/>
          <w:b w:val="0"/>
          <w:bCs w:val="0"/>
          <w:snapToGrid w:val="0"/>
          <w:color w:val="000000"/>
          <w:spacing w:val="8"/>
          <w:kern w:val="0"/>
          <w:sz w:val="28"/>
          <w:szCs w:val="28"/>
          <w:lang w:eastAsia="zh-CN"/>
        </w:rPr>
      </w:pPr>
      <w:r>
        <w:rPr>
          <w:rFonts w:hint="eastAsia" w:ascii="宋体" w:hAnsi="宋体" w:eastAsia="宋体" w:cs="宋体"/>
          <w:sz w:val="28"/>
          <w:szCs w:val="28"/>
        </w:rPr>
        <w:t>招标公告</w:t>
      </w:r>
      <w:r>
        <w:rPr>
          <w:rFonts w:hint="eastAsia" w:ascii="宋体" w:hAnsi="宋体" w:eastAsia="宋体" w:cs="宋体"/>
          <w:b w:val="0"/>
          <w:bCs w:val="0"/>
          <w:snapToGrid w:val="0"/>
          <w:color w:val="000000"/>
          <w:spacing w:val="8"/>
          <w:kern w:val="0"/>
          <w:sz w:val="28"/>
          <w:szCs w:val="28"/>
          <w:lang w:eastAsia="zh-CN"/>
        </w:rPr>
        <w:t>关键内容信息公开</w:t>
      </w:r>
    </w:p>
    <w:p w14:paraId="74844672">
      <w:pPr>
        <w:adjustRightInd w:val="0"/>
        <w:snapToGrid w:val="0"/>
        <w:spacing w:line="400" w:lineRule="atLeast"/>
        <w:rPr>
          <w:rFonts w:ascii="黑体" w:hAnsi="黑体" w:eastAsia="黑体"/>
          <w:sz w:val="24"/>
        </w:rPr>
      </w:pPr>
      <w:bookmarkStart w:id="0" w:name="_Toc455238559"/>
      <w:bookmarkStart w:id="1" w:name="_Toc452639674"/>
      <w:bookmarkStart w:id="2" w:name="_Toc452639770"/>
      <w:r>
        <w:rPr>
          <w:rFonts w:ascii="黑体" w:hAnsi="黑体" w:eastAsia="黑体"/>
          <w:sz w:val="24"/>
        </w:rPr>
        <w:t>1</w:t>
      </w:r>
      <w:r>
        <w:rPr>
          <w:rFonts w:hint="eastAsia" w:ascii="黑体" w:hAnsi="黑体" w:eastAsia="黑体"/>
          <w:sz w:val="24"/>
        </w:rPr>
        <w:t>．</w:t>
      </w:r>
      <w:r>
        <w:rPr>
          <w:rFonts w:ascii="黑体" w:hAnsi="黑体" w:eastAsia="黑体"/>
          <w:sz w:val="24"/>
        </w:rPr>
        <w:t>招标条件</w:t>
      </w:r>
    </w:p>
    <w:p w14:paraId="3B4E5C76">
      <w:pPr>
        <w:adjustRightInd w:val="0"/>
        <w:snapToGrid w:val="0"/>
        <w:spacing w:line="400" w:lineRule="atLeast"/>
        <w:ind w:firstLine="420" w:firstLineChars="200"/>
        <w:rPr>
          <w:rFonts w:ascii="宋体" w:hAnsi="宋体"/>
          <w:szCs w:val="21"/>
          <w:highlight w:val="none"/>
        </w:rPr>
      </w:pPr>
      <w:bookmarkStart w:id="3" w:name="_Toc436994094"/>
      <w:r>
        <w:rPr>
          <w:rFonts w:hint="eastAsia" w:ascii="宋体" w:hAnsi="宋体"/>
          <w:szCs w:val="21"/>
        </w:rPr>
        <w:t>吉林省202</w:t>
      </w:r>
      <w:r>
        <w:rPr>
          <w:rFonts w:hint="eastAsia" w:ascii="宋体" w:hAnsi="宋体"/>
          <w:szCs w:val="21"/>
          <w:lang w:val="en-US" w:eastAsia="zh-CN"/>
        </w:rPr>
        <w:t>6</w:t>
      </w:r>
      <w:r>
        <w:rPr>
          <w:rFonts w:hint="eastAsia" w:ascii="宋体" w:hAnsi="宋体"/>
          <w:szCs w:val="21"/>
        </w:rPr>
        <w:t>年度高速公路养护工程已列入养护计划，项目业主（招标人）为吉林省高速公路集团有限</w:t>
      </w:r>
      <w:r>
        <w:rPr>
          <w:rFonts w:hint="eastAsia" w:ascii="宋体" w:hAnsi="宋体"/>
          <w:szCs w:val="21"/>
          <w:highlight w:val="none"/>
        </w:rPr>
        <w:t>公司，现对该养护工程的施工监理进行公开招标。</w:t>
      </w:r>
    </w:p>
    <w:p w14:paraId="4974D773">
      <w:pPr>
        <w:adjustRightInd w:val="0"/>
        <w:snapToGrid w:val="0"/>
        <w:spacing w:line="400" w:lineRule="atLeast"/>
        <w:rPr>
          <w:rFonts w:ascii="黑体" w:hAnsi="黑体" w:eastAsia="黑体"/>
          <w:sz w:val="24"/>
          <w:highlight w:val="none"/>
        </w:rPr>
      </w:pPr>
      <w:r>
        <w:rPr>
          <w:rFonts w:ascii="黑体" w:hAnsi="黑体" w:eastAsia="黑体"/>
          <w:sz w:val="24"/>
          <w:highlight w:val="none"/>
        </w:rPr>
        <w:t>2</w:t>
      </w:r>
      <w:r>
        <w:rPr>
          <w:rFonts w:hint="eastAsia" w:ascii="黑体" w:hAnsi="黑体" w:eastAsia="黑体"/>
          <w:sz w:val="24"/>
          <w:highlight w:val="none"/>
        </w:rPr>
        <w:t>．</w:t>
      </w:r>
      <w:r>
        <w:rPr>
          <w:rFonts w:ascii="黑体" w:hAnsi="黑体" w:eastAsia="黑体"/>
          <w:sz w:val="24"/>
          <w:highlight w:val="none"/>
        </w:rPr>
        <w:t>项目概况与招标范围</w:t>
      </w:r>
      <w:bookmarkEnd w:id="3"/>
    </w:p>
    <w:p w14:paraId="5FD686C7">
      <w:pPr>
        <w:adjustRightInd w:val="0"/>
        <w:snapToGrid w:val="0"/>
        <w:spacing w:line="400" w:lineRule="atLeast"/>
        <w:ind w:firstLine="420" w:firstLineChars="200"/>
        <w:rPr>
          <w:rFonts w:ascii="宋体" w:hAnsi="宋体"/>
          <w:szCs w:val="21"/>
          <w:highlight w:val="none"/>
        </w:rPr>
      </w:pPr>
      <w:bookmarkStart w:id="4" w:name="_Toc257655328"/>
      <w:bookmarkStart w:id="5" w:name="_Toc436994095"/>
      <w:r>
        <w:rPr>
          <w:rFonts w:hint="eastAsia" w:ascii="宋体" w:hAnsi="宋体"/>
          <w:szCs w:val="21"/>
          <w:highlight w:val="none"/>
        </w:rPr>
        <w:t>2.1 建设地点：吉林省境内。</w:t>
      </w:r>
    </w:p>
    <w:p w14:paraId="7EF5D470">
      <w:pPr>
        <w:adjustRightInd w:val="0"/>
        <w:snapToGrid w:val="0"/>
        <w:spacing w:line="400" w:lineRule="atLeast"/>
        <w:ind w:firstLine="420" w:firstLineChars="200"/>
        <w:rPr>
          <w:rFonts w:ascii="宋体" w:hAnsi="宋体"/>
          <w:szCs w:val="21"/>
          <w:highlight w:val="none"/>
        </w:rPr>
      </w:pPr>
      <w:r>
        <w:rPr>
          <w:rFonts w:hint="eastAsia" w:ascii="宋体" w:hAnsi="宋体"/>
          <w:szCs w:val="21"/>
          <w:highlight w:val="none"/>
        </w:rPr>
        <w:t>2.2 建设规模</w:t>
      </w:r>
      <w:r>
        <w:rPr>
          <w:rFonts w:hint="eastAsia" w:ascii="宋体" w:hAnsi="宋体"/>
          <w:szCs w:val="21"/>
          <w:highlight w:val="none"/>
          <w:lang w:eastAsia="zh-CN"/>
        </w:rPr>
        <w:t>：</w:t>
      </w:r>
      <w:r>
        <w:rPr>
          <w:rFonts w:hint="eastAsia" w:ascii="宋体" w:hAnsi="宋体"/>
          <w:szCs w:val="21"/>
          <w:highlight w:val="none"/>
        </w:rPr>
        <w:t>吉林省202</w:t>
      </w:r>
      <w:r>
        <w:rPr>
          <w:rFonts w:hint="eastAsia" w:ascii="宋体" w:hAnsi="宋体"/>
          <w:szCs w:val="21"/>
          <w:highlight w:val="none"/>
          <w:lang w:val="en-US" w:eastAsia="zh-CN"/>
        </w:rPr>
        <w:t>6</w:t>
      </w:r>
      <w:r>
        <w:rPr>
          <w:rFonts w:hint="eastAsia" w:ascii="宋体" w:hAnsi="宋体"/>
          <w:szCs w:val="21"/>
          <w:highlight w:val="none"/>
        </w:rPr>
        <w:t>年度高速公路养护工程，主要包括集团公司所辖高速公路（含服务区）路基、路面、</w:t>
      </w:r>
      <w:r>
        <w:rPr>
          <w:rFonts w:hint="eastAsia" w:ascii="宋体" w:hAnsi="宋体"/>
          <w:szCs w:val="21"/>
          <w:highlight w:val="none"/>
          <w:lang w:val="en-US" w:eastAsia="zh-CN"/>
        </w:rPr>
        <w:t>环保、</w:t>
      </w:r>
      <w:r>
        <w:rPr>
          <w:rFonts w:hint="eastAsia" w:ascii="宋体" w:hAnsi="宋体"/>
          <w:szCs w:val="21"/>
          <w:highlight w:val="none"/>
        </w:rPr>
        <w:t>桥涵、隧道、交安、</w:t>
      </w:r>
      <w:r>
        <w:rPr>
          <w:rFonts w:hint="eastAsia" w:ascii="宋体" w:hAnsi="宋体"/>
          <w:szCs w:val="21"/>
          <w:highlight w:val="none"/>
          <w:lang w:val="en-US" w:eastAsia="zh-CN"/>
        </w:rPr>
        <w:t>绿化、机电、房建、加油站设施、服务区土建等</w:t>
      </w:r>
      <w:r>
        <w:rPr>
          <w:rFonts w:hint="eastAsia" w:ascii="宋体" w:hAnsi="宋体"/>
          <w:szCs w:val="21"/>
          <w:highlight w:val="none"/>
        </w:rPr>
        <w:t>工程的预防养护、修复养护、专项养护、应急养护，具体以招标人下发的施工图设计及施工方案为准。</w:t>
      </w:r>
    </w:p>
    <w:p w14:paraId="6C63016F">
      <w:pPr>
        <w:adjustRightInd w:val="0"/>
        <w:snapToGrid w:val="0"/>
        <w:spacing w:line="400" w:lineRule="atLeast"/>
        <w:ind w:firstLine="420" w:firstLineChars="200"/>
        <w:rPr>
          <w:rFonts w:hint="eastAsia" w:ascii="宋体" w:hAnsi="宋体"/>
          <w:szCs w:val="21"/>
          <w:highlight w:val="none"/>
        </w:rPr>
      </w:pPr>
      <w:r>
        <w:rPr>
          <w:rFonts w:hint="eastAsia" w:ascii="宋体" w:hAnsi="宋体"/>
          <w:szCs w:val="21"/>
          <w:highlight w:val="none"/>
        </w:rPr>
        <w:t>2.3 监理服务期限：监理服务期1</w:t>
      </w:r>
      <w:r>
        <w:rPr>
          <w:rFonts w:hint="eastAsia" w:ascii="宋体" w:hAnsi="宋体"/>
          <w:szCs w:val="21"/>
          <w:highlight w:val="none"/>
          <w:lang w:val="en-US" w:eastAsia="zh-CN"/>
        </w:rPr>
        <w:t>9</w:t>
      </w:r>
      <w:r>
        <w:rPr>
          <w:rFonts w:hint="eastAsia" w:ascii="宋体" w:hAnsi="宋体"/>
          <w:szCs w:val="21"/>
          <w:highlight w:val="none"/>
        </w:rPr>
        <w:t>个月，包括施工准备阶段、施工阶段及缺陷责任期阶段，其中施工阶段为202</w:t>
      </w:r>
      <w:r>
        <w:rPr>
          <w:rFonts w:hint="eastAsia" w:ascii="宋体" w:hAnsi="宋体"/>
          <w:szCs w:val="21"/>
          <w:highlight w:val="none"/>
          <w:lang w:val="en-US" w:eastAsia="zh-CN"/>
        </w:rPr>
        <w:t>6</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10</w:t>
      </w:r>
      <w:r>
        <w:rPr>
          <w:rFonts w:hint="eastAsia" w:ascii="宋体" w:hAnsi="宋体"/>
          <w:szCs w:val="21"/>
          <w:highlight w:val="none"/>
        </w:rPr>
        <w:t>日～202</w:t>
      </w:r>
      <w:r>
        <w:rPr>
          <w:rFonts w:hint="eastAsia" w:ascii="宋体" w:hAnsi="宋体"/>
          <w:szCs w:val="21"/>
          <w:highlight w:val="none"/>
          <w:lang w:val="en-US" w:eastAsia="zh-CN"/>
        </w:rPr>
        <w:t>6</w:t>
      </w:r>
      <w:r>
        <w:rPr>
          <w:rFonts w:hint="eastAsia" w:ascii="宋体" w:hAnsi="宋体"/>
          <w:szCs w:val="21"/>
          <w:highlight w:val="none"/>
        </w:rPr>
        <w:t>年1</w:t>
      </w:r>
      <w:r>
        <w:rPr>
          <w:rFonts w:hint="eastAsia" w:ascii="宋体" w:hAnsi="宋体"/>
          <w:szCs w:val="21"/>
          <w:highlight w:val="none"/>
          <w:lang w:val="en-US" w:eastAsia="zh-CN"/>
        </w:rPr>
        <w:t>2</w:t>
      </w:r>
      <w:r>
        <w:rPr>
          <w:rFonts w:hint="eastAsia" w:ascii="宋体" w:hAnsi="宋体"/>
          <w:szCs w:val="21"/>
          <w:highlight w:val="none"/>
        </w:rPr>
        <w:t>月31日，缺陷责任期为12个月。</w:t>
      </w:r>
    </w:p>
    <w:p w14:paraId="342FCAD2">
      <w:pPr>
        <w:adjustRightInd w:val="0"/>
        <w:snapToGrid w:val="0"/>
        <w:spacing w:line="400" w:lineRule="atLeast"/>
        <w:ind w:firstLine="420" w:firstLineChars="200"/>
        <w:rPr>
          <w:rFonts w:hint="eastAsia" w:ascii="宋体" w:hAnsi="宋体"/>
          <w:szCs w:val="21"/>
          <w:highlight w:val="none"/>
        </w:rPr>
      </w:pPr>
      <w:r>
        <w:rPr>
          <w:rFonts w:hint="eastAsia" w:ascii="宋体" w:hAnsi="宋体"/>
          <w:szCs w:val="21"/>
          <w:highlight w:val="none"/>
        </w:rPr>
        <w:t>2.4 招标范围：</w:t>
      </w:r>
      <w:bookmarkStart w:id="6" w:name="_Hlk201744280"/>
      <w:r>
        <w:rPr>
          <w:rFonts w:hint="eastAsia" w:ascii="宋体" w:hAnsi="宋体"/>
          <w:szCs w:val="21"/>
          <w:highlight w:val="none"/>
        </w:rPr>
        <w:t>施工图设计及工程量清单所包含全部内容</w:t>
      </w:r>
      <w:bookmarkEnd w:id="6"/>
      <w:r>
        <w:rPr>
          <w:rFonts w:hint="eastAsia" w:ascii="宋体" w:hAnsi="宋体"/>
          <w:szCs w:val="21"/>
          <w:highlight w:val="none"/>
        </w:rPr>
        <w:t>的施工监理。</w:t>
      </w:r>
    </w:p>
    <w:p w14:paraId="249543FE">
      <w:pPr>
        <w:adjustRightInd w:val="0"/>
        <w:snapToGrid w:val="0"/>
        <w:spacing w:line="400" w:lineRule="atLeast"/>
        <w:ind w:firstLine="420" w:firstLineChars="200"/>
        <w:rPr>
          <w:rFonts w:ascii="宋体" w:hAnsi="宋体"/>
          <w:szCs w:val="21"/>
          <w:highlight w:val="none"/>
        </w:rPr>
      </w:pPr>
      <w:r>
        <w:rPr>
          <w:rFonts w:hint="eastAsia" w:ascii="宋体" w:hAnsi="宋体"/>
          <w:szCs w:val="21"/>
          <w:highlight w:val="none"/>
        </w:rPr>
        <w:t>2.5 标段划分：本招标项目划分为1个标段，即ZJB01标段，为总监理工程师办公室（含工地试验室）。</w:t>
      </w:r>
    </w:p>
    <w:bookmarkEnd w:id="4"/>
    <w:bookmarkEnd w:id="5"/>
    <w:p w14:paraId="7B0D4878">
      <w:pPr>
        <w:adjustRightInd w:val="0"/>
        <w:snapToGrid w:val="0"/>
        <w:spacing w:line="400" w:lineRule="atLeast"/>
        <w:rPr>
          <w:rFonts w:ascii="黑体" w:hAnsi="黑体" w:eastAsia="黑体"/>
          <w:sz w:val="24"/>
          <w:highlight w:val="none"/>
        </w:rPr>
      </w:pPr>
      <w:bookmarkStart w:id="7" w:name="_Toc455238557"/>
      <w:r>
        <w:rPr>
          <w:rFonts w:hint="eastAsia" w:ascii="黑体" w:hAnsi="黑体" w:eastAsia="黑体"/>
          <w:sz w:val="24"/>
          <w:highlight w:val="none"/>
        </w:rPr>
        <w:t>3</w:t>
      </w:r>
      <w:r>
        <w:rPr>
          <w:rFonts w:ascii="黑体" w:hAnsi="黑体" w:eastAsia="黑体"/>
          <w:sz w:val="24"/>
          <w:highlight w:val="none"/>
        </w:rPr>
        <w:t>．投标人资格</w:t>
      </w:r>
      <w:r>
        <w:rPr>
          <w:rFonts w:hint="eastAsia" w:ascii="黑体" w:hAnsi="黑体" w:eastAsia="黑体"/>
          <w:sz w:val="24"/>
          <w:highlight w:val="none"/>
        </w:rPr>
        <w:t>最低要求</w:t>
      </w:r>
      <w:bookmarkEnd w:id="7"/>
    </w:p>
    <w:p w14:paraId="2A365538">
      <w:pPr>
        <w:adjustRightInd w:val="0"/>
        <w:snapToGrid w:val="0"/>
        <w:spacing w:line="400" w:lineRule="atLeast"/>
        <w:ind w:firstLine="420" w:firstLineChars="200"/>
        <w:rPr>
          <w:rFonts w:ascii="宋体" w:hAnsi="宋体"/>
          <w:szCs w:val="21"/>
          <w:highlight w:val="none"/>
        </w:rPr>
      </w:pPr>
      <w:r>
        <w:rPr>
          <w:rFonts w:hint="eastAsia" w:ascii="宋体" w:hAnsi="宋体"/>
          <w:szCs w:val="21"/>
          <w:highlight w:val="none"/>
        </w:rPr>
        <w:t>3.1 本次招标要求投标人须同时具备以下资质，并在人员等方面具有相应的施工监理能力：</w:t>
      </w:r>
    </w:p>
    <w:p w14:paraId="2BA886EA">
      <w:pPr>
        <w:adjustRightInd w:val="0"/>
        <w:snapToGrid w:val="0"/>
        <w:spacing w:line="400" w:lineRule="atLeast"/>
        <w:ind w:firstLine="420" w:firstLineChars="200"/>
        <w:rPr>
          <w:rFonts w:hint="eastAsia" w:ascii="宋体" w:hAnsi="宋体"/>
          <w:szCs w:val="21"/>
          <w:highlight w:val="none"/>
        </w:rPr>
      </w:pPr>
      <w:r>
        <w:rPr>
          <w:rFonts w:hint="eastAsia" w:ascii="宋体" w:hAnsi="宋体"/>
          <w:szCs w:val="21"/>
          <w:highlight w:val="none"/>
        </w:rPr>
        <w:t>（1）公路工程甲级</w:t>
      </w:r>
      <w:r>
        <w:rPr>
          <w:rFonts w:hint="eastAsia" w:ascii="宋体" w:hAnsi="宋体"/>
          <w:szCs w:val="21"/>
          <w:highlight w:val="none"/>
          <w:lang w:val="en-US" w:eastAsia="zh-CN"/>
        </w:rPr>
        <w:t>监理资质</w:t>
      </w:r>
      <w:r>
        <w:rPr>
          <w:rFonts w:hint="eastAsia" w:ascii="宋体" w:hAnsi="宋体"/>
          <w:szCs w:val="21"/>
          <w:highlight w:val="none"/>
        </w:rPr>
        <w:t>；</w:t>
      </w:r>
    </w:p>
    <w:p w14:paraId="0B324C37">
      <w:pPr>
        <w:adjustRightInd w:val="0"/>
        <w:snapToGrid w:val="0"/>
        <w:spacing w:line="400" w:lineRule="atLeast"/>
        <w:ind w:firstLine="420" w:firstLineChars="200"/>
        <w:rPr>
          <w:rFonts w:hint="eastAsia" w:ascii="宋体" w:hAnsi="宋体"/>
          <w:szCs w:val="21"/>
          <w:highlight w:val="none"/>
        </w:rPr>
      </w:pPr>
      <w:r>
        <w:rPr>
          <w:rFonts w:hint="eastAsia" w:ascii="宋体" w:hAnsi="宋体"/>
          <w:szCs w:val="21"/>
          <w:highlight w:val="none"/>
        </w:rPr>
        <w:t>（2）公路工程机电专项</w:t>
      </w:r>
      <w:r>
        <w:rPr>
          <w:rFonts w:hint="eastAsia" w:ascii="宋体" w:hAnsi="宋体"/>
          <w:szCs w:val="21"/>
          <w:highlight w:val="none"/>
          <w:lang w:val="en-US" w:eastAsia="zh-CN"/>
        </w:rPr>
        <w:t>监理资质</w:t>
      </w:r>
      <w:r>
        <w:rPr>
          <w:rFonts w:hint="eastAsia" w:ascii="宋体" w:hAnsi="宋体"/>
          <w:szCs w:val="21"/>
          <w:highlight w:val="none"/>
        </w:rPr>
        <w:t>；</w:t>
      </w:r>
    </w:p>
    <w:p w14:paraId="1CB1550D">
      <w:pPr>
        <w:adjustRightInd w:val="0"/>
        <w:snapToGrid w:val="0"/>
        <w:spacing w:line="400" w:lineRule="atLeast"/>
        <w:ind w:firstLine="420" w:firstLineChars="200"/>
        <w:rPr>
          <w:rFonts w:hint="eastAsia" w:ascii="宋体" w:hAnsi="宋体"/>
          <w:szCs w:val="21"/>
          <w:highlight w:val="none"/>
        </w:rPr>
      </w:pPr>
      <w:r>
        <w:rPr>
          <w:rFonts w:hint="eastAsia" w:ascii="宋体" w:hAnsi="宋体"/>
          <w:szCs w:val="21"/>
          <w:highlight w:val="none"/>
        </w:rPr>
        <w:t>（3）房屋建筑工程专业乙级</w:t>
      </w:r>
      <w:r>
        <w:rPr>
          <w:rFonts w:hint="eastAsia" w:ascii="宋体" w:hAnsi="宋体"/>
          <w:szCs w:val="21"/>
          <w:highlight w:val="none"/>
          <w:lang w:val="en-US" w:eastAsia="zh-CN"/>
        </w:rPr>
        <w:t>监理资质</w:t>
      </w:r>
      <w:r>
        <w:rPr>
          <w:rFonts w:hint="eastAsia" w:ascii="宋体" w:hAnsi="宋体"/>
          <w:szCs w:val="21"/>
          <w:highlight w:val="none"/>
        </w:rPr>
        <w:t>；</w:t>
      </w:r>
    </w:p>
    <w:p w14:paraId="6D195228">
      <w:pPr>
        <w:adjustRightInd w:val="0"/>
        <w:snapToGrid w:val="0"/>
        <w:spacing w:line="400" w:lineRule="atLeast"/>
        <w:ind w:firstLine="420" w:firstLineChars="200"/>
        <w:rPr>
          <w:rFonts w:hint="eastAsia" w:ascii="宋体" w:hAnsi="宋体"/>
          <w:szCs w:val="21"/>
          <w:highlight w:val="none"/>
        </w:rPr>
      </w:pPr>
      <w:r>
        <w:rPr>
          <w:rFonts w:hint="eastAsia" w:ascii="宋体" w:hAnsi="宋体"/>
          <w:szCs w:val="21"/>
          <w:highlight w:val="none"/>
        </w:rPr>
        <w:t>（4）化工石油工程专业乙级监理资质；</w:t>
      </w:r>
    </w:p>
    <w:p w14:paraId="2D8DB1AD">
      <w:pPr>
        <w:adjustRightInd w:val="0"/>
        <w:snapToGrid w:val="0"/>
        <w:spacing w:line="400" w:lineRule="atLeas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）投标人（或其下属非独立法人检测机构）须具备交通运输主管部门颁发的公路水运工程质量检测机构公路工程乙级资质。</w:t>
      </w:r>
    </w:p>
    <w:p w14:paraId="4799ACFD">
      <w:pPr>
        <w:adjustRightInd w:val="0"/>
        <w:snapToGrid w:val="0"/>
        <w:spacing w:line="400" w:lineRule="atLeast"/>
        <w:ind w:firstLine="420" w:firstLineChars="200"/>
        <w:rPr>
          <w:rFonts w:ascii="宋体" w:hAnsi="宋体"/>
          <w:szCs w:val="21"/>
          <w:highlight w:val="none"/>
        </w:rPr>
      </w:pPr>
      <w:r>
        <w:rPr>
          <w:rFonts w:hint="eastAsia" w:ascii="宋体" w:hAnsi="宋体"/>
          <w:szCs w:val="21"/>
          <w:highlight w:val="none"/>
        </w:rPr>
        <w:t>以上所列的资质为满足要求的最低资质，其相对应的以上级别资质均符合资格审查条件。</w:t>
      </w:r>
    </w:p>
    <w:p w14:paraId="662C4DDC">
      <w:pPr>
        <w:adjustRightInd w:val="0"/>
        <w:snapToGrid w:val="0"/>
        <w:spacing w:line="400" w:lineRule="atLeast"/>
        <w:ind w:firstLine="420" w:firstLineChars="200"/>
        <w:rPr>
          <w:rFonts w:ascii="宋体" w:hAnsi="宋体"/>
          <w:szCs w:val="21"/>
          <w:highlight w:val="none"/>
        </w:rPr>
      </w:pPr>
      <w:r>
        <w:rPr>
          <w:rFonts w:hint="eastAsia" w:ascii="宋体" w:hAnsi="宋体"/>
          <w:szCs w:val="21"/>
          <w:highlight w:val="none"/>
        </w:rPr>
        <w:t>投标人（仅适用于根据厅公路字〔2011〕114号文件要求，招标人应通过名录对投标人资质条件进行审核的公路监理企业）应进入交通运输部“全国公路建设市场监督管理系统（</w:t>
      </w:r>
      <w:r>
        <w:rPr>
          <w:rFonts w:ascii="宋体" w:hAnsi="宋体"/>
          <w:szCs w:val="21"/>
          <w:highlight w:val="none"/>
        </w:rPr>
        <w:t>https://hwdms.mot.gov.cn</w:t>
      </w:r>
      <w:r>
        <w:rPr>
          <w:rFonts w:hint="eastAsia" w:ascii="宋体" w:hAnsi="宋体"/>
          <w:szCs w:val="21"/>
          <w:highlight w:val="none"/>
        </w:rPr>
        <w:t>）”中的公路工程施工监理资质企业名录，且投标人名称和资质与该名录中的相应企业名称和资质完全一致。</w:t>
      </w:r>
    </w:p>
    <w:p w14:paraId="5C8D8C92">
      <w:pPr>
        <w:adjustRightInd w:val="0"/>
        <w:snapToGrid w:val="0"/>
        <w:spacing w:line="400" w:lineRule="atLeas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2</w:t>
      </w:r>
      <w:r>
        <w:rPr>
          <w:rFonts w:hint="eastAsia" w:ascii="宋体" w:hAnsi="宋体"/>
          <w:szCs w:val="21"/>
          <w:highlight w:val="none"/>
        </w:rPr>
        <w:t xml:space="preserve"> 本次招标</w:t>
      </w:r>
      <w:bookmarkStart w:id="8" w:name="_Hlk153266187"/>
      <w:r>
        <w:rPr>
          <w:rFonts w:hint="eastAsia" w:ascii="宋体" w:hAnsi="宋体"/>
          <w:szCs w:val="21"/>
          <w:highlight w:val="none"/>
        </w:rPr>
        <w:t>接受联合体投标</w:t>
      </w:r>
      <w:bookmarkEnd w:id="8"/>
      <w:r>
        <w:rPr>
          <w:rFonts w:hint="eastAsia" w:ascii="宋体" w:hAnsi="宋体"/>
          <w:szCs w:val="21"/>
          <w:highlight w:val="none"/>
        </w:rPr>
        <w:t>。联合体投标的，应满足下列要求：</w:t>
      </w:r>
    </w:p>
    <w:p w14:paraId="45CE01CC">
      <w:pPr>
        <w:adjustRightInd w:val="0"/>
        <w:snapToGrid w:val="0"/>
        <w:spacing w:line="400" w:lineRule="atLeast"/>
        <w:ind w:firstLine="420" w:firstLineChars="200"/>
        <w:rPr>
          <w:rFonts w:ascii="宋体" w:hAnsi="宋体"/>
          <w:szCs w:val="21"/>
          <w:highlight w:val="none"/>
        </w:rPr>
      </w:pPr>
      <w:r>
        <w:rPr>
          <w:rFonts w:hint="eastAsia" w:ascii="宋体" w:hAnsi="宋体"/>
          <w:szCs w:val="21"/>
          <w:highlight w:val="none"/>
        </w:rPr>
        <w:t>（1）联合体牵头人应至少具有交通运输主管部门颁发的公路工程甲级监理资质；</w:t>
      </w:r>
    </w:p>
    <w:p w14:paraId="28B50BEA">
      <w:pPr>
        <w:adjustRightInd w:val="0"/>
        <w:snapToGrid w:val="0"/>
        <w:spacing w:line="400" w:lineRule="atLeast"/>
        <w:ind w:firstLine="420" w:firstLineChars="200"/>
        <w:rPr>
          <w:rFonts w:hint="default" w:ascii="宋体" w:hAnsi="宋体" w:eastAsia="宋体"/>
          <w:szCs w:val="21"/>
          <w:highlight w:val="none"/>
          <w:lang w:val="en-US" w:eastAsia="zh-CN"/>
        </w:rPr>
      </w:pP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）投标人（如为联合体则为联合体牵头人）拟委任的总监理工程师须具有公路工程相关专业高级技术职称，具有公路工程监理工程师资格。</w:t>
      </w:r>
    </w:p>
    <w:p w14:paraId="4323E522">
      <w:pPr>
        <w:adjustRightInd w:val="0"/>
        <w:snapToGrid w:val="0"/>
        <w:spacing w:line="400" w:lineRule="atLeast"/>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3</w:t>
      </w:r>
      <w:r>
        <w:rPr>
          <w:rFonts w:hint="eastAsia" w:ascii="宋体" w:hAnsi="宋体"/>
          <w:szCs w:val="21"/>
        </w:rPr>
        <w:t xml:space="preserve"> 与招标人存在利害关系可能影响招标公正性的单位，不得参加投标。单位负责人为同一人或存在控股、管理关系的不同单位，不得同时参加同一标段投标，否则，相关投标均无效。</w:t>
      </w:r>
    </w:p>
    <w:p w14:paraId="6F1366A6">
      <w:pPr>
        <w:adjustRightInd w:val="0"/>
        <w:snapToGrid w:val="0"/>
        <w:spacing w:line="400" w:lineRule="atLeast"/>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4</w:t>
      </w:r>
      <w:r>
        <w:rPr>
          <w:rFonts w:hint="eastAsia" w:ascii="宋体" w:hAnsi="宋体"/>
          <w:szCs w:val="21"/>
        </w:rPr>
        <w:t xml:space="preserve"> 在“信用中国”网站（https://www.creditchina.gov.cn）中被列入失信被执行人名单的投标人，不得参加投标。</w:t>
      </w:r>
    </w:p>
    <w:p w14:paraId="588C7DCE">
      <w:pPr>
        <w:adjustRightInd w:val="0"/>
        <w:snapToGrid w:val="0"/>
        <w:spacing w:line="400" w:lineRule="atLeast"/>
        <w:ind w:firstLine="420" w:firstLineChars="200"/>
        <w:rPr>
          <w:rFonts w:hint="eastAsia" w:ascii="宋体" w:hAnsi="宋体"/>
          <w:szCs w:val="21"/>
        </w:rPr>
        <w:sectPr>
          <w:pgSz w:w="11906" w:h="16838"/>
          <w:pgMar w:top="1440" w:right="1800" w:bottom="1440" w:left="1800" w:header="851" w:footer="992" w:gutter="0"/>
          <w:cols w:space="425" w:num="1"/>
          <w:docGrid w:type="lines" w:linePitch="312" w:charSpace="0"/>
        </w:sectPr>
      </w:pPr>
    </w:p>
    <w:p w14:paraId="19236E69">
      <w:pPr>
        <w:adjustRightInd w:val="0"/>
        <w:snapToGrid w:val="0"/>
        <w:rPr>
          <w:b/>
          <w:sz w:val="28"/>
          <w:szCs w:val="28"/>
        </w:rPr>
      </w:pPr>
      <w:bookmarkStart w:id="9" w:name="_Toc498955117"/>
      <w:bookmarkStart w:id="10" w:name="_Toc462671337"/>
      <w:r>
        <w:rPr>
          <w:rFonts w:hint="eastAsia"/>
          <w:b/>
          <w:sz w:val="28"/>
          <w:szCs w:val="28"/>
          <w:lang w:val="en-US" w:eastAsia="zh-CN"/>
        </w:rPr>
        <w:t>四、</w:t>
      </w:r>
      <w:r>
        <w:rPr>
          <w:rFonts w:hint="eastAsia"/>
          <w:b/>
          <w:sz w:val="28"/>
          <w:szCs w:val="28"/>
        </w:rPr>
        <w:t>投标人须知前附表</w:t>
      </w:r>
      <w:bookmarkEnd w:id="9"/>
      <w:bookmarkEnd w:id="10"/>
      <w:r>
        <w:rPr>
          <w:b/>
          <w:sz w:val="28"/>
          <w:szCs w:val="28"/>
          <w:vertAlign w:val="superscript"/>
        </w:rPr>
        <w:footnoteReference w:id="0"/>
      </w:r>
      <w:r>
        <w:rPr>
          <w:rFonts w:hint="eastAsia"/>
          <w:b/>
          <w:sz w:val="28"/>
          <w:szCs w:val="28"/>
        </w:rPr>
        <w:t>投标人须知前附表</w:t>
      </w:r>
      <w:r>
        <w:rPr>
          <w:b/>
          <w:sz w:val="28"/>
          <w:szCs w:val="28"/>
          <w:vertAlign w:val="superscript"/>
        </w:rPr>
        <w:footnoteReference w:id="1"/>
      </w:r>
    </w:p>
    <w:tbl>
      <w:tblPr>
        <w:tblStyle w:val="5"/>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801"/>
        <w:gridCol w:w="7094"/>
      </w:tblGrid>
      <w:tr w14:paraId="214F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936" w:type="dxa"/>
            <w:vAlign w:val="center"/>
          </w:tcPr>
          <w:p w14:paraId="126F9656">
            <w:pPr>
              <w:adjustRightInd w:val="0"/>
              <w:snapToGrid w:val="0"/>
              <w:jc w:val="center"/>
              <w:rPr>
                <w:rFonts w:ascii="宋体" w:hAnsi="宋体"/>
                <w:szCs w:val="21"/>
              </w:rPr>
            </w:pPr>
            <w:r>
              <w:rPr>
                <w:rFonts w:hint="eastAsia" w:ascii="宋体" w:hAnsi="宋体"/>
                <w:szCs w:val="21"/>
              </w:rPr>
              <w:t>条款号</w:t>
            </w:r>
          </w:p>
        </w:tc>
        <w:tc>
          <w:tcPr>
            <w:tcW w:w="1801" w:type="dxa"/>
            <w:vAlign w:val="center"/>
          </w:tcPr>
          <w:p w14:paraId="14C40CA8">
            <w:pPr>
              <w:adjustRightInd w:val="0"/>
              <w:snapToGrid w:val="0"/>
              <w:jc w:val="center"/>
              <w:rPr>
                <w:rFonts w:ascii="宋体" w:hAnsi="宋体"/>
                <w:szCs w:val="21"/>
              </w:rPr>
            </w:pPr>
            <w:r>
              <w:rPr>
                <w:rFonts w:hint="eastAsia" w:ascii="宋体" w:hAnsi="宋体"/>
                <w:szCs w:val="21"/>
              </w:rPr>
              <w:t>条款名称</w:t>
            </w:r>
          </w:p>
        </w:tc>
        <w:tc>
          <w:tcPr>
            <w:tcW w:w="7094" w:type="dxa"/>
            <w:vAlign w:val="center"/>
          </w:tcPr>
          <w:p w14:paraId="233F2F8A">
            <w:pPr>
              <w:adjustRightInd w:val="0"/>
              <w:snapToGrid w:val="0"/>
              <w:jc w:val="center"/>
              <w:rPr>
                <w:rFonts w:ascii="宋体" w:hAnsi="宋体"/>
                <w:szCs w:val="21"/>
              </w:rPr>
            </w:pPr>
            <w:r>
              <w:rPr>
                <w:rFonts w:hint="eastAsia" w:ascii="宋体" w:hAnsi="宋体"/>
                <w:szCs w:val="21"/>
              </w:rPr>
              <w:t>编  列  内  容</w:t>
            </w:r>
          </w:p>
        </w:tc>
      </w:tr>
      <w:tr w14:paraId="1692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739F019D">
            <w:pPr>
              <w:adjustRightInd w:val="0"/>
              <w:snapToGrid w:val="0"/>
              <w:jc w:val="center"/>
              <w:rPr>
                <w:rFonts w:ascii="宋体" w:hAnsi="宋体"/>
                <w:szCs w:val="21"/>
              </w:rPr>
            </w:pPr>
            <w:r>
              <w:rPr>
                <w:rFonts w:hint="eastAsia" w:ascii="宋体" w:hAnsi="宋体"/>
                <w:szCs w:val="21"/>
              </w:rPr>
              <w:t>1.1.2</w:t>
            </w:r>
          </w:p>
        </w:tc>
        <w:tc>
          <w:tcPr>
            <w:tcW w:w="1801" w:type="dxa"/>
            <w:vAlign w:val="center"/>
          </w:tcPr>
          <w:p w14:paraId="34A92738">
            <w:pPr>
              <w:adjustRightInd w:val="0"/>
              <w:snapToGrid w:val="0"/>
              <w:jc w:val="center"/>
              <w:rPr>
                <w:rFonts w:ascii="宋体" w:hAnsi="宋体"/>
                <w:szCs w:val="21"/>
              </w:rPr>
            </w:pPr>
            <w:r>
              <w:rPr>
                <w:rFonts w:hint="eastAsia" w:ascii="宋体" w:hAnsi="宋体"/>
                <w:szCs w:val="21"/>
              </w:rPr>
              <w:t>招标人</w:t>
            </w:r>
          </w:p>
        </w:tc>
        <w:tc>
          <w:tcPr>
            <w:tcW w:w="7094" w:type="dxa"/>
            <w:vAlign w:val="center"/>
          </w:tcPr>
          <w:p w14:paraId="1C8BE6E6">
            <w:pPr>
              <w:adjustRightInd w:val="0"/>
              <w:snapToGrid w:val="0"/>
              <w:spacing w:line="360" w:lineRule="atLeast"/>
              <w:ind w:firstLine="210" w:firstLineChars="100"/>
              <w:rPr>
                <w:rFonts w:ascii="宋体" w:hAnsi="宋体"/>
                <w:szCs w:val="21"/>
              </w:rPr>
            </w:pPr>
            <w:r>
              <w:rPr>
                <w:rFonts w:hint="eastAsia" w:ascii="宋体" w:hAnsi="宋体"/>
                <w:szCs w:val="21"/>
              </w:rPr>
              <w:t>详见招标公告</w:t>
            </w:r>
          </w:p>
        </w:tc>
      </w:tr>
      <w:tr w14:paraId="3BC4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15FAD503">
            <w:pPr>
              <w:adjustRightInd w:val="0"/>
              <w:snapToGrid w:val="0"/>
              <w:jc w:val="center"/>
              <w:rPr>
                <w:rFonts w:ascii="宋体" w:hAnsi="宋体"/>
                <w:szCs w:val="21"/>
              </w:rPr>
            </w:pPr>
            <w:r>
              <w:rPr>
                <w:rFonts w:hint="eastAsia" w:ascii="宋体" w:hAnsi="宋体"/>
                <w:szCs w:val="21"/>
              </w:rPr>
              <w:t>1.1.3</w:t>
            </w:r>
          </w:p>
        </w:tc>
        <w:tc>
          <w:tcPr>
            <w:tcW w:w="1801" w:type="dxa"/>
            <w:vAlign w:val="center"/>
          </w:tcPr>
          <w:p w14:paraId="57D44D78">
            <w:pPr>
              <w:adjustRightInd w:val="0"/>
              <w:snapToGrid w:val="0"/>
              <w:jc w:val="center"/>
              <w:rPr>
                <w:rFonts w:ascii="宋体" w:hAnsi="宋体"/>
                <w:szCs w:val="21"/>
              </w:rPr>
            </w:pPr>
            <w:r>
              <w:rPr>
                <w:rFonts w:hint="eastAsia" w:ascii="宋体" w:hAnsi="宋体"/>
                <w:szCs w:val="21"/>
              </w:rPr>
              <w:t>招标代理机构</w:t>
            </w:r>
          </w:p>
        </w:tc>
        <w:tc>
          <w:tcPr>
            <w:tcW w:w="7094" w:type="dxa"/>
            <w:vAlign w:val="center"/>
          </w:tcPr>
          <w:p w14:paraId="513B39A7">
            <w:pPr>
              <w:adjustRightInd w:val="0"/>
              <w:snapToGrid w:val="0"/>
              <w:spacing w:line="360" w:lineRule="atLeast"/>
              <w:ind w:firstLine="210" w:firstLineChars="100"/>
              <w:rPr>
                <w:rFonts w:ascii="宋体" w:hAnsi="宋体"/>
                <w:szCs w:val="21"/>
              </w:rPr>
            </w:pPr>
            <w:r>
              <w:rPr>
                <w:rFonts w:hint="eastAsia" w:ascii="宋体" w:hAnsi="宋体"/>
                <w:szCs w:val="21"/>
              </w:rPr>
              <w:t>详见招标公告</w:t>
            </w:r>
          </w:p>
        </w:tc>
      </w:tr>
      <w:tr w14:paraId="36E3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2DCD3C73">
            <w:pPr>
              <w:adjustRightInd w:val="0"/>
              <w:snapToGrid w:val="0"/>
              <w:jc w:val="center"/>
              <w:rPr>
                <w:rFonts w:ascii="宋体" w:hAnsi="宋体"/>
                <w:szCs w:val="21"/>
              </w:rPr>
            </w:pPr>
            <w:r>
              <w:rPr>
                <w:rFonts w:hint="eastAsia" w:ascii="宋体" w:hAnsi="宋体"/>
                <w:szCs w:val="21"/>
              </w:rPr>
              <w:t>1.1.4</w:t>
            </w:r>
          </w:p>
        </w:tc>
        <w:tc>
          <w:tcPr>
            <w:tcW w:w="1801" w:type="dxa"/>
            <w:vAlign w:val="center"/>
          </w:tcPr>
          <w:p w14:paraId="11316FB7">
            <w:pPr>
              <w:adjustRightInd w:val="0"/>
              <w:snapToGrid w:val="0"/>
              <w:jc w:val="center"/>
              <w:rPr>
                <w:rFonts w:ascii="宋体" w:hAnsi="宋体"/>
                <w:szCs w:val="21"/>
                <w:highlight w:val="none"/>
              </w:rPr>
            </w:pPr>
            <w:r>
              <w:rPr>
                <w:rFonts w:hint="eastAsia" w:ascii="宋体" w:hAnsi="宋体"/>
                <w:szCs w:val="21"/>
                <w:highlight w:val="none"/>
              </w:rPr>
              <w:t>招标项目名称</w:t>
            </w:r>
          </w:p>
        </w:tc>
        <w:tc>
          <w:tcPr>
            <w:tcW w:w="7094" w:type="dxa"/>
            <w:vAlign w:val="center"/>
          </w:tcPr>
          <w:p w14:paraId="2DB76431">
            <w:pPr>
              <w:adjustRightInd w:val="0"/>
              <w:snapToGrid w:val="0"/>
              <w:spacing w:line="360" w:lineRule="atLeast"/>
              <w:ind w:firstLine="210" w:firstLineChars="100"/>
              <w:rPr>
                <w:rFonts w:ascii="宋体" w:hAnsi="宋体" w:cs="宋体"/>
                <w:kern w:val="0"/>
                <w:szCs w:val="21"/>
                <w:highlight w:val="none"/>
                <w:lang w:val="zh-CN"/>
              </w:rPr>
            </w:pPr>
            <w:r>
              <w:rPr>
                <w:rFonts w:hint="eastAsia" w:ascii="宋体" w:hAnsi="宋体" w:cs="宋体"/>
                <w:kern w:val="0"/>
                <w:szCs w:val="21"/>
                <w:highlight w:val="none"/>
                <w:lang w:val="en-US" w:eastAsia="zh-CN"/>
              </w:rPr>
              <w:t>吉林省</w:t>
            </w:r>
            <w:r>
              <w:rPr>
                <w:rFonts w:hint="eastAsia" w:ascii="宋体" w:hAnsi="宋体" w:cs="宋体"/>
                <w:kern w:val="0"/>
                <w:szCs w:val="21"/>
                <w:highlight w:val="none"/>
                <w:lang w:val="zh-CN"/>
              </w:rPr>
              <w:t>2026年度高速公路养护工程施工监理</w:t>
            </w:r>
          </w:p>
        </w:tc>
      </w:tr>
      <w:tr w14:paraId="4178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7372FCBC">
            <w:pPr>
              <w:adjustRightInd w:val="0"/>
              <w:snapToGrid w:val="0"/>
              <w:jc w:val="center"/>
              <w:rPr>
                <w:rFonts w:ascii="宋体" w:hAnsi="宋体"/>
                <w:szCs w:val="21"/>
              </w:rPr>
            </w:pPr>
            <w:r>
              <w:rPr>
                <w:rFonts w:hint="eastAsia" w:ascii="宋体" w:hAnsi="宋体"/>
                <w:szCs w:val="21"/>
              </w:rPr>
              <w:t>1.1.5</w:t>
            </w:r>
          </w:p>
        </w:tc>
        <w:tc>
          <w:tcPr>
            <w:tcW w:w="1801" w:type="dxa"/>
            <w:vAlign w:val="center"/>
          </w:tcPr>
          <w:p w14:paraId="215A99C8">
            <w:pPr>
              <w:adjustRightInd w:val="0"/>
              <w:snapToGrid w:val="0"/>
              <w:jc w:val="center"/>
              <w:rPr>
                <w:rFonts w:ascii="宋体" w:hAnsi="宋体"/>
                <w:szCs w:val="21"/>
              </w:rPr>
            </w:pPr>
            <w:r>
              <w:rPr>
                <w:rFonts w:hint="eastAsia" w:ascii="宋体" w:hAnsi="宋体"/>
                <w:szCs w:val="21"/>
              </w:rPr>
              <w:t>标段建设地点</w:t>
            </w:r>
          </w:p>
        </w:tc>
        <w:tc>
          <w:tcPr>
            <w:tcW w:w="7094" w:type="dxa"/>
            <w:vAlign w:val="center"/>
          </w:tcPr>
          <w:p w14:paraId="78477578">
            <w:pPr>
              <w:adjustRightInd w:val="0"/>
              <w:snapToGrid w:val="0"/>
              <w:spacing w:line="360" w:lineRule="atLeast"/>
              <w:ind w:firstLine="210" w:firstLineChars="100"/>
              <w:rPr>
                <w:rFonts w:ascii="宋体" w:hAnsi="宋体" w:cs="宋体"/>
                <w:kern w:val="0"/>
                <w:szCs w:val="21"/>
                <w:lang w:val="zh-CN"/>
              </w:rPr>
            </w:pPr>
            <w:r>
              <w:rPr>
                <w:rFonts w:hint="eastAsia" w:ascii="宋体" w:hAnsi="宋体" w:cs="宋体"/>
                <w:kern w:val="0"/>
                <w:szCs w:val="21"/>
                <w:lang w:val="zh-CN"/>
              </w:rPr>
              <w:t>吉林省</w:t>
            </w:r>
          </w:p>
        </w:tc>
      </w:tr>
      <w:tr w14:paraId="1338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1BBD072D">
            <w:pPr>
              <w:adjustRightInd w:val="0"/>
              <w:snapToGrid w:val="0"/>
              <w:jc w:val="center"/>
              <w:rPr>
                <w:rFonts w:ascii="宋体" w:hAnsi="宋体"/>
                <w:szCs w:val="21"/>
              </w:rPr>
            </w:pPr>
            <w:r>
              <w:rPr>
                <w:rFonts w:hint="eastAsia" w:ascii="宋体" w:hAnsi="宋体"/>
                <w:szCs w:val="21"/>
              </w:rPr>
              <w:t>1.1.6</w:t>
            </w:r>
          </w:p>
        </w:tc>
        <w:tc>
          <w:tcPr>
            <w:tcW w:w="1801" w:type="dxa"/>
            <w:vAlign w:val="center"/>
          </w:tcPr>
          <w:p w14:paraId="219176F2">
            <w:pPr>
              <w:adjustRightInd w:val="0"/>
              <w:snapToGrid w:val="0"/>
              <w:jc w:val="center"/>
              <w:rPr>
                <w:rFonts w:ascii="宋体" w:hAnsi="宋体"/>
                <w:szCs w:val="21"/>
              </w:rPr>
            </w:pPr>
            <w:r>
              <w:rPr>
                <w:rFonts w:hint="eastAsia" w:ascii="宋体" w:hAnsi="宋体"/>
                <w:szCs w:val="21"/>
              </w:rPr>
              <w:t>标段建设规模</w:t>
            </w:r>
          </w:p>
        </w:tc>
        <w:tc>
          <w:tcPr>
            <w:tcW w:w="7094" w:type="dxa"/>
            <w:vAlign w:val="center"/>
          </w:tcPr>
          <w:p w14:paraId="63518F2A">
            <w:pPr>
              <w:adjustRightInd w:val="0"/>
              <w:snapToGrid w:val="0"/>
              <w:spacing w:line="360" w:lineRule="atLeast"/>
              <w:ind w:firstLine="210" w:firstLineChars="100"/>
              <w:rPr>
                <w:rFonts w:ascii="宋体" w:hAnsi="宋体"/>
                <w:szCs w:val="21"/>
              </w:rPr>
            </w:pPr>
            <w:r>
              <w:rPr>
                <w:rFonts w:hint="eastAsia" w:ascii="宋体" w:hAnsi="宋体"/>
                <w:szCs w:val="21"/>
              </w:rPr>
              <w:t>详见招标公告</w:t>
            </w:r>
          </w:p>
        </w:tc>
      </w:tr>
      <w:tr w14:paraId="0D00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7D15640A">
            <w:pPr>
              <w:adjustRightInd w:val="0"/>
              <w:snapToGrid w:val="0"/>
              <w:jc w:val="center"/>
              <w:rPr>
                <w:rFonts w:ascii="宋体" w:hAnsi="宋体"/>
                <w:szCs w:val="21"/>
              </w:rPr>
            </w:pPr>
            <w:r>
              <w:rPr>
                <w:rFonts w:hint="eastAsia" w:ascii="宋体" w:hAnsi="宋体"/>
                <w:szCs w:val="21"/>
              </w:rPr>
              <w:t>1.1.7</w:t>
            </w:r>
          </w:p>
        </w:tc>
        <w:tc>
          <w:tcPr>
            <w:tcW w:w="1801" w:type="dxa"/>
            <w:vAlign w:val="center"/>
          </w:tcPr>
          <w:p w14:paraId="189F1C32">
            <w:pPr>
              <w:adjustRightInd w:val="0"/>
              <w:snapToGrid w:val="0"/>
              <w:jc w:val="center"/>
              <w:rPr>
                <w:rFonts w:ascii="宋体" w:hAnsi="宋体"/>
                <w:szCs w:val="21"/>
              </w:rPr>
            </w:pPr>
            <w:r>
              <w:rPr>
                <w:rFonts w:hint="eastAsia" w:ascii="宋体" w:hAnsi="宋体"/>
                <w:szCs w:val="21"/>
              </w:rPr>
              <w:t>招标项目施工预计开工日期和建设周期</w:t>
            </w:r>
          </w:p>
        </w:tc>
        <w:tc>
          <w:tcPr>
            <w:tcW w:w="7094" w:type="dxa"/>
            <w:vAlign w:val="center"/>
          </w:tcPr>
          <w:p w14:paraId="6BC323C4">
            <w:pPr>
              <w:adjustRightInd w:val="0"/>
              <w:snapToGrid w:val="0"/>
              <w:spacing w:line="360" w:lineRule="atLeast"/>
              <w:ind w:firstLine="210" w:firstLineChars="100"/>
              <w:rPr>
                <w:rFonts w:ascii="宋体" w:hAnsi="宋体"/>
                <w:szCs w:val="21"/>
              </w:rPr>
            </w:pPr>
            <w:r>
              <w:rPr>
                <w:rFonts w:hint="eastAsia" w:ascii="宋体" w:hAnsi="宋体"/>
                <w:szCs w:val="21"/>
              </w:rPr>
              <w:t>详见招标公告</w:t>
            </w:r>
          </w:p>
        </w:tc>
      </w:tr>
      <w:tr w14:paraId="4880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1143E58F">
            <w:pPr>
              <w:snapToGrid w:val="0"/>
              <w:jc w:val="center"/>
              <w:rPr>
                <w:rFonts w:ascii="宋体" w:hAnsi="宋体"/>
                <w:szCs w:val="21"/>
              </w:rPr>
            </w:pPr>
            <w:r>
              <w:rPr>
                <w:rFonts w:hint="eastAsia" w:ascii="宋体" w:hAnsi="宋体"/>
                <w:szCs w:val="21"/>
              </w:rPr>
              <w:t>1.2.1</w:t>
            </w:r>
          </w:p>
        </w:tc>
        <w:tc>
          <w:tcPr>
            <w:tcW w:w="1801" w:type="dxa"/>
            <w:vAlign w:val="center"/>
          </w:tcPr>
          <w:p w14:paraId="25EEE744">
            <w:pPr>
              <w:snapToGrid w:val="0"/>
              <w:jc w:val="center"/>
              <w:rPr>
                <w:rFonts w:ascii="宋体" w:hAnsi="宋体"/>
                <w:szCs w:val="21"/>
              </w:rPr>
            </w:pPr>
            <w:r>
              <w:rPr>
                <w:rFonts w:hint="eastAsia" w:ascii="宋体" w:hAnsi="宋体"/>
                <w:szCs w:val="21"/>
              </w:rPr>
              <w:t>资金来源</w:t>
            </w:r>
          </w:p>
        </w:tc>
        <w:tc>
          <w:tcPr>
            <w:tcW w:w="7094" w:type="dxa"/>
            <w:vAlign w:val="center"/>
          </w:tcPr>
          <w:p w14:paraId="4E64BB99">
            <w:pPr>
              <w:adjustRightInd w:val="0"/>
              <w:snapToGrid w:val="0"/>
              <w:spacing w:line="360" w:lineRule="atLeast"/>
              <w:ind w:firstLine="210" w:firstLineChars="100"/>
              <w:rPr>
                <w:rFonts w:ascii="宋体" w:hAnsi="宋体"/>
                <w:szCs w:val="21"/>
              </w:rPr>
            </w:pPr>
            <w:r>
              <w:rPr>
                <w:rFonts w:hint="eastAsia" w:ascii="宋体" w:hAnsi="宋体"/>
                <w:szCs w:val="21"/>
              </w:rPr>
              <w:t>招标人自筹100%</w:t>
            </w:r>
          </w:p>
        </w:tc>
      </w:tr>
      <w:tr w14:paraId="5FEE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6E0D0FF4">
            <w:pPr>
              <w:adjustRightInd w:val="0"/>
              <w:snapToGrid w:val="0"/>
              <w:jc w:val="center"/>
              <w:rPr>
                <w:rFonts w:ascii="宋体" w:hAnsi="宋体"/>
                <w:szCs w:val="21"/>
              </w:rPr>
            </w:pPr>
            <w:r>
              <w:rPr>
                <w:rFonts w:hint="eastAsia" w:ascii="宋体" w:hAnsi="宋体"/>
                <w:szCs w:val="21"/>
              </w:rPr>
              <w:t>1</w:t>
            </w:r>
            <w:r>
              <w:rPr>
                <w:rFonts w:ascii="宋体" w:hAnsi="宋体"/>
                <w:szCs w:val="21"/>
              </w:rPr>
              <w:t>.2.2</w:t>
            </w:r>
          </w:p>
        </w:tc>
        <w:tc>
          <w:tcPr>
            <w:tcW w:w="1801" w:type="dxa"/>
            <w:vAlign w:val="center"/>
          </w:tcPr>
          <w:p w14:paraId="7E23D818">
            <w:pPr>
              <w:adjustRightInd w:val="0"/>
              <w:snapToGrid w:val="0"/>
              <w:jc w:val="center"/>
              <w:rPr>
                <w:rFonts w:ascii="宋体" w:hAnsi="宋体"/>
                <w:szCs w:val="21"/>
              </w:rPr>
            </w:pPr>
            <w:r>
              <w:rPr>
                <w:rFonts w:hint="eastAsia" w:ascii="宋体" w:hAnsi="宋体"/>
                <w:szCs w:val="21"/>
              </w:rPr>
              <w:t>资金落实情况</w:t>
            </w:r>
          </w:p>
        </w:tc>
        <w:tc>
          <w:tcPr>
            <w:tcW w:w="7094" w:type="dxa"/>
            <w:vAlign w:val="center"/>
          </w:tcPr>
          <w:p w14:paraId="26FA704E">
            <w:pPr>
              <w:adjustRightInd w:val="0"/>
              <w:snapToGrid w:val="0"/>
              <w:spacing w:line="360" w:lineRule="atLeast"/>
              <w:ind w:firstLine="210" w:firstLineChars="100"/>
              <w:rPr>
                <w:rFonts w:ascii="宋体" w:hAnsi="宋体"/>
                <w:szCs w:val="21"/>
              </w:rPr>
            </w:pPr>
            <w:r>
              <w:rPr>
                <w:rFonts w:hint="eastAsia" w:ascii="宋体" w:hAnsi="宋体"/>
                <w:szCs w:val="21"/>
              </w:rPr>
              <w:t>已落实</w:t>
            </w:r>
          </w:p>
        </w:tc>
      </w:tr>
      <w:tr w14:paraId="3D9A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733DF460">
            <w:pPr>
              <w:adjustRightInd w:val="0"/>
              <w:snapToGrid w:val="0"/>
              <w:jc w:val="center"/>
              <w:rPr>
                <w:rFonts w:ascii="宋体" w:hAnsi="宋体"/>
                <w:szCs w:val="21"/>
              </w:rPr>
            </w:pPr>
            <w:r>
              <w:rPr>
                <w:rFonts w:hint="eastAsia" w:ascii="宋体" w:hAnsi="宋体"/>
                <w:szCs w:val="21"/>
              </w:rPr>
              <w:t>1.3.1</w:t>
            </w:r>
          </w:p>
        </w:tc>
        <w:tc>
          <w:tcPr>
            <w:tcW w:w="1801" w:type="dxa"/>
            <w:vAlign w:val="center"/>
          </w:tcPr>
          <w:p w14:paraId="71A3AEC3">
            <w:pPr>
              <w:adjustRightInd w:val="0"/>
              <w:snapToGrid w:val="0"/>
              <w:jc w:val="center"/>
              <w:rPr>
                <w:rFonts w:ascii="宋体" w:hAnsi="宋体"/>
                <w:szCs w:val="21"/>
              </w:rPr>
            </w:pPr>
            <w:r>
              <w:rPr>
                <w:rFonts w:hint="eastAsia" w:ascii="宋体" w:hAnsi="宋体"/>
                <w:szCs w:val="21"/>
              </w:rPr>
              <w:t>招标范围</w:t>
            </w:r>
          </w:p>
        </w:tc>
        <w:tc>
          <w:tcPr>
            <w:tcW w:w="7094" w:type="dxa"/>
            <w:vAlign w:val="center"/>
          </w:tcPr>
          <w:p w14:paraId="3221651A">
            <w:pPr>
              <w:adjustRightInd w:val="0"/>
              <w:snapToGrid w:val="0"/>
              <w:spacing w:line="360" w:lineRule="atLeast"/>
              <w:ind w:firstLine="210" w:firstLineChars="100"/>
              <w:rPr>
                <w:rFonts w:ascii="宋体" w:hAnsi="宋体"/>
                <w:szCs w:val="21"/>
                <w:u w:val="single"/>
              </w:rPr>
            </w:pPr>
            <w:r>
              <w:rPr>
                <w:rFonts w:hint="eastAsia" w:ascii="宋体" w:hAnsi="宋体"/>
                <w:szCs w:val="21"/>
              </w:rPr>
              <w:t>详见招标公告</w:t>
            </w:r>
          </w:p>
        </w:tc>
      </w:tr>
      <w:tr w14:paraId="09F1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7BA7842B">
            <w:pPr>
              <w:adjustRightInd w:val="0"/>
              <w:snapToGrid w:val="0"/>
              <w:jc w:val="center"/>
              <w:rPr>
                <w:rFonts w:ascii="宋体" w:hAnsi="宋体"/>
                <w:szCs w:val="21"/>
              </w:rPr>
            </w:pPr>
            <w:r>
              <w:rPr>
                <w:rFonts w:hint="eastAsia" w:ascii="宋体" w:hAnsi="宋体"/>
                <w:szCs w:val="21"/>
              </w:rPr>
              <w:t>1.3.2</w:t>
            </w:r>
          </w:p>
        </w:tc>
        <w:tc>
          <w:tcPr>
            <w:tcW w:w="1801" w:type="dxa"/>
            <w:vAlign w:val="center"/>
          </w:tcPr>
          <w:p w14:paraId="6DC95698">
            <w:pPr>
              <w:adjustRightInd w:val="0"/>
              <w:snapToGrid w:val="0"/>
              <w:jc w:val="center"/>
              <w:rPr>
                <w:rFonts w:ascii="宋体" w:hAnsi="宋体"/>
                <w:szCs w:val="21"/>
              </w:rPr>
            </w:pPr>
            <w:r>
              <w:rPr>
                <w:rFonts w:hint="eastAsia" w:ascii="宋体" w:hAnsi="宋体"/>
                <w:szCs w:val="21"/>
              </w:rPr>
              <w:t>监理服务期限</w:t>
            </w:r>
          </w:p>
        </w:tc>
        <w:tc>
          <w:tcPr>
            <w:tcW w:w="7094" w:type="dxa"/>
            <w:vAlign w:val="center"/>
          </w:tcPr>
          <w:p w14:paraId="035296BD">
            <w:pPr>
              <w:adjustRightInd w:val="0"/>
              <w:snapToGrid w:val="0"/>
              <w:spacing w:line="360" w:lineRule="atLeast"/>
              <w:ind w:firstLine="210" w:firstLineChars="100"/>
              <w:rPr>
                <w:rFonts w:ascii="宋体" w:hAnsi="宋体"/>
                <w:szCs w:val="21"/>
              </w:rPr>
            </w:pPr>
            <w:r>
              <w:rPr>
                <w:rFonts w:hint="eastAsia" w:ascii="宋体" w:hAnsi="宋体"/>
                <w:szCs w:val="21"/>
              </w:rPr>
              <w:t>详见招标公告</w:t>
            </w:r>
          </w:p>
        </w:tc>
      </w:tr>
      <w:tr w14:paraId="458B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13A525B8">
            <w:pPr>
              <w:adjustRightInd w:val="0"/>
              <w:snapToGrid w:val="0"/>
              <w:jc w:val="center"/>
              <w:rPr>
                <w:rFonts w:ascii="宋体" w:hAnsi="宋体"/>
                <w:szCs w:val="21"/>
              </w:rPr>
            </w:pPr>
            <w:r>
              <w:rPr>
                <w:rFonts w:hint="eastAsia" w:ascii="宋体" w:hAnsi="宋体"/>
                <w:szCs w:val="21"/>
              </w:rPr>
              <w:t>1.3.3</w:t>
            </w:r>
          </w:p>
        </w:tc>
        <w:tc>
          <w:tcPr>
            <w:tcW w:w="1801" w:type="dxa"/>
            <w:vAlign w:val="center"/>
          </w:tcPr>
          <w:p w14:paraId="31CDC405">
            <w:pPr>
              <w:adjustRightInd w:val="0"/>
              <w:snapToGrid w:val="0"/>
              <w:jc w:val="center"/>
              <w:rPr>
                <w:rFonts w:ascii="宋体" w:hAnsi="宋体"/>
                <w:szCs w:val="21"/>
              </w:rPr>
            </w:pPr>
            <w:r>
              <w:rPr>
                <w:rFonts w:hint="eastAsia" w:ascii="宋体" w:hAnsi="宋体"/>
                <w:szCs w:val="21"/>
              </w:rPr>
              <w:t>质量要求</w:t>
            </w:r>
          </w:p>
        </w:tc>
        <w:tc>
          <w:tcPr>
            <w:tcW w:w="7094" w:type="dxa"/>
            <w:vAlign w:val="center"/>
          </w:tcPr>
          <w:p w14:paraId="0BD3BF77">
            <w:pPr>
              <w:autoSpaceDE w:val="0"/>
              <w:autoSpaceDN w:val="0"/>
              <w:adjustRightInd w:val="0"/>
              <w:snapToGrid w:val="0"/>
              <w:spacing w:line="360" w:lineRule="atLeast"/>
              <w:ind w:firstLine="210" w:firstLineChars="100"/>
              <w:rPr>
                <w:rFonts w:ascii="宋体" w:hAnsi="宋体"/>
                <w:szCs w:val="21"/>
                <w:shd w:val="pct10" w:color="auto" w:fill="FFFFFF"/>
              </w:rPr>
            </w:pPr>
            <w:r>
              <w:rPr>
                <w:rFonts w:hint="eastAsia" w:ascii="宋体" w:hAnsi="宋体"/>
                <w:szCs w:val="21"/>
              </w:rPr>
              <w:t>竣工验收的质量评定：合格</w:t>
            </w:r>
          </w:p>
        </w:tc>
      </w:tr>
      <w:tr w14:paraId="046C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59246892">
            <w:pPr>
              <w:adjustRightInd w:val="0"/>
              <w:snapToGrid w:val="0"/>
              <w:jc w:val="center"/>
              <w:rPr>
                <w:rFonts w:ascii="宋体" w:hAnsi="宋体"/>
                <w:szCs w:val="21"/>
              </w:rPr>
            </w:pPr>
            <w:r>
              <w:rPr>
                <w:rFonts w:hint="eastAsia" w:ascii="宋体" w:hAnsi="宋体"/>
                <w:szCs w:val="21"/>
              </w:rPr>
              <w:t>1.3.4</w:t>
            </w:r>
          </w:p>
        </w:tc>
        <w:tc>
          <w:tcPr>
            <w:tcW w:w="1801" w:type="dxa"/>
            <w:vAlign w:val="center"/>
          </w:tcPr>
          <w:p w14:paraId="7D9E1105">
            <w:pPr>
              <w:adjustRightInd w:val="0"/>
              <w:snapToGrid w:val="0"/>
              <w:jc w:val="center"/>
              <w:rPr>
                <w:rFonts w:ascii="宋体" w:hAnsi="宋体"/>
                <w:szCs w:val="21"/>
              </w:rPr>
            </w:pPr>
            <w:r>
              <w:rPr>
                <w:rFonts w:hint="eastAsia" w:ascii="宋体" w:hAnsi="宋体"/>
                <w:szCs w:val="21"/>
              </w:rPr>
              <w:t>安全目标</w:t>
            </w:r>
          </w:p>
        </w:tc>
        <w:tc>
          <w:tcPr>
            <w:tcW w:w="7094" w:type="dxa"/>
            <w:vAlign w:val="center"/>
          </w:tcPr>
          <w:p w14:paraId="4C8D5CFF">
            <w:pPr>
              <w:adjustRightInd w:val="0"/>
              <w:snapToGrid w:val="0"/>
              <w:spacing w:line="360" w:lineRule="atLeast"/>
              <w:ind w:firstLine="210" w:firstLineChars="100"/>
              <w:rPr>
                <w:rFonts w:ascii="宋体" w:hAnsi="宋体"/>
                <w:szCs w:val="21"/>
              </w:rPr>
            </w:pPr>
            <w:r>
              <w:rPr>
                <w:rFonts w:hint="eastAsia" w:ascii="宋体" w:hAnsi="宋体"/>
                <w:szCs w:val="21"/>
              </w:rPr>
              <w:t>在项目建设过程中杜绝重大安全责任事故，避免发生较大安全责任事故，控制一般安全责任事故。</w:t>
            </w:r>
          </w:p>
        </w:tc>
      </w:tr>
      <w:tr w14:paraId="4DBE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5E427329">
            <w:pPr>
              <w:adjustRightInd w:val="0"/>
              <w:snapToGrid w:val="0"/>
              <w:jc w:val="center"/>
              <w:rPr>
                <w:rFonts w:ascii="宋体" w:hAnsi="宋体"/>
                <w:szCs w:val="21"/>
              </w:rPr>
            </w:pPr>
            <w:r>
              <w:rPr>
                <w:rFonts w:ascii="宋体" w:hAnsi="宋体"/>
                <w:szCs w:val="21"/>
              </w:rPr>
              <w:t>1.4.</w:t>
            </w:r>
            <w:r>
              <w:rPr>
                <w:rFonts w:hint="eastAsia" w:ascii="宋体" w:hAnsi="宋体"/>
                <w:szCs w:val="21"/>
              </w:rPr>
              <w:t>1</w:t>
            </w:r>
          </w:p>
        </w:tc>
        <w:tc>
          <w:tcPr>
            <w:tcW w:w="1801" w:type="dxa"/>
            <w:vAlign w:val="center"/>
          </w:tcPr>
          <w:p w14:paraId="0EFD0677">
            <w:pPr>
              <w:adjustRightInd w:val="0"/>
              <w:snapToGrid w:val="0"/>
              <w:jc w:val="center"/>
              <w:rPr>
                <w:rFonts w:ascii="宋体" w:hAnsi="宋体"/>
                <w:szCs w:val="21"/>
              </w:rPr>
            </w:pPr>
            <w:r>
              <w:rPr>
                <w:rFonts w:hint="eastAsia" w:ascii="宋体" w:hAnsi="宋体"/>
                <w:szCs w:val="21"/>
              </w:rPr>
              <w:t>投标人资质条件、能力和信誉</w:t>
            </w:r>
          </w:p>
        </w:tc>
        <w:tc>
          <w:tcPr>
            <w:tcW w:w="7094" w:type="dxa"/>
            <w:vAlign w:val="center"/>
          </w:tcPr>
          <w:p w14:paraId="6C08B04F">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资质要求：见附录1</w:t>
            </w:r>
          </w:p>
          <w:p w14:paraId="7544F8FA">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业绩要求：见附录2</w:t>
            </w:r>
          </w:p>
          <w:p w14:paraId="7BE84A4D">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信誉要求：见附录3</w:t>
            </w:r>
          </w:p>
          <w:p w14:paraId="2F7E58B4">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总监理工程师资格：见附录4</w:t>
            </w:r>
          </w:p>
          <w:p w14:paraId="69CC63DA">
            <w:pPr>
              <w:adjustRightInd w:val="0"/>
              <w:snapToGrid w:val="0"/>
              <w:spacing w:line="360" w:lineRule="atLeast"/>
              <w:ind w:firstLine="210" w:firstLineChars="100"/>
              <w:rPr>
                <w:rFonts w:hint="eastAsia" w:ascii="宋体" w:hAnsi="宋体" w:eastAsia="宋体"/>
                <w:szCs w:val="21"/>
                <w:highlight w:val="none"/>
                <w:lang w:val="en-US" w:eastAsia="zh-CN"/>
              </w:rPr>
            </w:pPr>
            <w:r>
              <w:rPr>
                <w:rFonts w:hint="eastAsia" w:ascii="宋体" w:hAnsi="宋体"/>
                <w:szCs w:val="21"/>
                <w:highlight w:val="none"/>
              </w:rPr>
              <w:t>其他主要监理人员资格要求：</w:t>
            </w:r>
            <w:r>
              <w:rPr>
                <w:rFonts w:hint="eastAsia" w:ascii="宋体" w:hAnsi="宋体"/>
                <w:szCs w:val="21"/>
                <w:highlight w:val="none"/>
                <w:lang w:val="en-US" w:eastAsia="zh-CN"/>
              </w:rPr>
              <w:t>/</w:t>
            </w:r>
          </w:p>
        </w:tc>
      </w:tr>
      <w:tr w14:paraId="7227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14009DAA">
            <w:pPr>
              <w:adjustRightInd w:val="0"/>
              <w:snapToGrid w:val="0"/>
              <w:jc w:val="center"/>
              <w:rPr>
                <w:rFonts w:ascii="宋体" w:hAnsi="宋体"/>
                <w:szCs w:val="21"/>
              </w:rPr>
            </w:pPr>
            <w:r>
              <w:rPr>
                <w:rFonts w:ascii="宋体" w:hAnsi="宋体"/>
                <w:szCs w:val="21"/>
              </w:rPr>
              <w:t>1.4.2</w:t>
            </w:r>
          </w:p>
        </w:tc>
        <w:tc>
          <w:tcPr>
            <w:tcW w:w="1801" w:type="dxa"/>
            <w:vAlign w:val="center"/>
          </w:tcPr>
          <w:p w14:paraId="7BD9AB9B">
            <w:pPr>
              <w:adjustRightInd w:val="0"/>
              <w:snapToGrid w:val="0"/>
              <w:jc w:val="center"/>
              <w:rPr>
                <w:rFonts w:ascii="宋体" w:hAnsi="宋体"/>
                <w:szCs w:val="21"/>
              </w:rPr>
            </w:pPr>
            <w:r>
              <w:rPr>
                <w:rFonts w:hint="eastAsia" w:ascii="宋体" w:hAnsi="宋体"/>
                <w:szCs w:val="21"/>
              </w:rPr>
              <w:t>是否接受联合体投标</w:t>
            </w:r>
          </w:p>
        </w:tc>
        <w:tc>
          <w:tcPr>
            <w:tcW w:w="7094" w:type="dxa"/>
            <w:vAlign w:val="center"/>
          </w:tcPr>
          <w:p w14:paraId="6E9C41DE">
            <w:pPr>
              <w:adjustRightInd w:val="0"/>
              <w:snapToGrid w:val="0"/>
              <w:spacing w:line="360" w:lineRule="atLeast"/>
              <w:ind w:firstLine="210" w:firstLineChars="100"/>
              <w:rPr>
                <w:rFonts w:ascii="宋体" w:hAnsi="宋体"/>
                <w:szCs w:val="21"/>
              </w:rPr>
            </w:pPr>
            <w:r>
              <w:rPr>
                <w:rFonts w:hint="eastAsia" w:ascii="宋体" w:hAnsi="宋体"/>
                <w:szCs w:val="21"/>
              </w:rPr>
              <w:t>接受，应满足下列要求：详见招标公告</w:t>
            </w:r>
          </w:p>
        </w:tc>
      </w:tr>
      <w:tr w14:paraId="7267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21C95554">
            <w:pPr>
              <w:adjustRightInd w:val="0"/>
              <w:snapToGrid w:val="0"/>
              <w:jc w:val="center"/>
              <w:rPr>
                <w:rFonts w:ascii="宋体" w:hAnsi="宋体"/>
                <w:szCs w:val="21"/>
              </w:rPr>
            </w:pPr>
            <w:r>
              <w:rPr>
                <w:rFonts w:hint="eastAsia" w:ascii="宋体" w:hAnsi="宋体"/>
                <w:szCs w:val="21"/>
              </w:rPr>
              <w:t>1.4.3</w:t>
            </w:r>
          </w:p>
        </w:tc>
        <w:tc>
          <w:tcPr>
            <w:tcW w:w="1801" w:type="dxa"/>
            <w:vAlign w:val="center"/>
          </w:tcPr>
          <w:p w14:paraId="1591FBB3">
            <w:pPr>
              <w:adjustRightInd w:val="0"/>
              <w:snapToGrid w:val="0"/>
              <w:jc w:val="center"/>
              <w:rPr>
                <w:rFonts w:ascii="宋体" w:hAnsi="宋体"/>
                <w:szCs w:val="21"/>
              </w:rPr>
            </w:pPr>
            <w:r>
              <w:rPr>
                <w:rFonts w:hint="eastAsia" w:ascii="宋体" w:hAnsi="宋体"/>
                <w:szCs w:val="21"/>
              </w:rPr>
              <w:t>投标人不得存在的其他关联情形</w:t>
            </w:r>
          </w:p>
        </w:tc>
        <w:tc>
          <w:tcPr>
            <w:tcW w:w="7094" w:type="dxa"/>
            <w:vAlign w:val="center"/>
          </w:tcPr>
          <w:p w14:paraId="131ABBAE">
            <w:pPr>
              <w:adjustRightInd w:val="0"/>
              <w:snapToGrid w:val="0"/>
              <w:spacing w:line="360" w:lineRule="atLeast"/>
              <w:ind w:firstLine="210" w:firstLineChars="100"/>
              <w:rPr>
                <w:rFonts w:ascii="宋体" w:hAnsi="宋体"/>
                <w:szCs w:val="21"/>
              </w:rPr>
            </w:pPr>
            <w:r>
              <w:rPr>
                <w:rFonts w:hint="eastAsia" w:ascii="宋体" w:hAnsi="宋体"/>
                <w:szCs w:val="21"/>
              </w:rPr>
              <w:t>/</w:t>
            </w:r>
          </w:p>
        </w:tc>
      </w:tr>
      <w:tr w14:paraId="790C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44393CC7">
            <w:pPr>
              <w:adjustRightInd w:val="0"/>
              <w:snapToGrid w:val="0"/>
              <w:jc w:val="center"/>
              <w:rPr>
                <w:rFonts w:ascii="宋体" w:hAnsi="宋体"/>
                <w:szCs w:val="21"/>
                <w:highlight w:val="none"/>
              </w:rPr>
            </w:pPr>
            <w:r>
              <w:rPr>
                <w:rFonts w:hint="eastAsia" w:ascii="宋体" w:hAnsi="宋体"/>
                <w:szCs w:val="21"/>
                <w:highlight w:val="none"/>
              </w:rPr>
              <w:t>1.4.4</w:t>
            </w:r>
          </w:p>
        </w:tc>
        <w:tc>
          <w:tcPr>
            <w:tcW w:w="1801" w:type="dxa"/>
            <w:vAlign w:val="center"/>
          </w:tcPr>
          <w:p w14:paraId="37E6089F">
            <w:pPr>
              <w:adjustRightInd w:val="0"/>
              <w:snapToGrid w:val="0"/>
              <w:jc w:val="center"/>
              <w:rPr>
                <w:rFonts w:ascii="宋体" w:hAnsi="宋体"/>
                <w:szCs w:val="21"/>
                <w:highlight w:val="none"/>
              </w:rPr>
            </w:pPr>
            <w:r>
              <w:rPr>
                <w:rFonts w:hint="eastAsia" w:ascii="宋体" w:hAnsi="宋体"/>
                <w:szCs w:val="21"/>
                <w:highlight w:val="none"/>
              </w:rPr>
              <w:t>投标人不得存在的其他不良状况或不良信用记录</w:t>
            </w:r>
          </w:p>
        </w:tc>
        <w:tc>
          <w:tcPr>
            <w:tcW w:w="7094" w:type="dxa"/>
            <w:vAlign w:val="center"/>
          </w:tcPr>
          <w:p w14:paraId="30D4DB4F">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w:t>
            </w:r>
          </w:p>
        </w:tc>
      </w:tr>
      <w:tr w14:paraId="53CD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1FAB06EC">
            <w:pPr>
              <w:adjustRightInd w:val="0"/>
              <w:snapToGrid w:val="0"/>
              <w:jc w:val="center"/>
              <w:rPr>
                <w:rFonts w:ascii="宋体" w:hAnsi="宋体"/>
                <w:szCs w:val="21"/>
                <w:highlight w:val="none"/>
              </w:rPr>
            </w:pPr>
            <w:r>
              <w:rPr>
                <w:rFonts w:ascii="宋体" w:hAnsi="宋体"/>
                <w:szCs w:val="21"/>
                <w:highlight w:val="none"/>
              </w:rPr>
              <w:t>1.4.4</w:t>
            </w:r>
            <w:r>
              <w:rPr>
                <w:rFonts w:hint="eastAsia" w:ascii="宋体" w:hAnsi="宋体"/>
                <w:szCs w:val="21"/>
                <w:highlight w:val="none"/>
              </w:rPr>
              <w:br w:type="textWrapping"/>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w:t>
            </w:r>
          </w:p>
        </w:tc>
        <w:tc>
          <w:tcPr>
            <w:tcW w:w="1801" w:type="dxa"/>
            <w:vAlign w:val="center"/>
          </w:tcPr>
          <w:p w14:paraId="582B94F2">
            <w:pPr>
              <w:adjustRightInd w:val="0"/>
              <w:snapToGrid w:val="0"/>
              <w:jc w:val="center"/>
              <w:rPr>
                <w:rFonts w:ascii="宋体" w:hAnsi="宋体"/>
                <w:szCs w:val="21"/>
                <w:highlight w:val="none"/>
              </w:rPr>
            </w:pPr>
            <w:r>
              <w:rPr>
                <w:rFonts w:hint="eastAsia" w:ascii="宋体" w:hAnsi="宋体"/>
                <w:szCs w:val="21"/>
                <w:highlight w:val="none"/>
              </w:rPr>
              <w:t>失信被执行人</w:t>
            </w:r>
          </w:p>
        </w:tc>
        <w:tc>
          <w:tcPr>
            <w:tcW w:w="7094" w:type="dxa"/>
            <w:vAlign w:val="center"/>
          </w:tcPr>
          <w:p w14:paraId="574AFCFC">
            <w:pPr>
              <w:adjustRightInd w:val="0"/>
              <w:snapToGrid w:val="0"/>
              <w:spacing w:line="360" w:lineRule="atLeast"/>
              <w:ind w:firstLine="211" w:firstLineChars="100"/>
              <w:rPr>
                <w:rFonts w:ascii="宋体" w:hAnsi="宋体"/>
                <w:szCs w:val="21"/>
                <w:highlight w:val="none"/>
              </w:rPr>
            </w:pPr>
            <w:r>
              <w:rPr>
                <w:rFonts w:hint="eastAsia" w:ascii="黑体" w:hAnsi="黑体" w:eastAsia="黑体"/>
                <w:b/>
                <w:bCs/>
                <w:szCs w:val="21"/>
                <w:highlight w:val="none"/>
              </w:rPr>
              <w:t>本目细化为：</w:t>
            </w:r>
            <w:r>
              <w:rPr>
                <w:rFonts w:hint="eastAsia" w:ascii="宋体" w:hAnsi="宋体"/>
                <w:szCs w:val="21"/>
                <w:highlight w:val="none"/>
              </w:rPr>
              <w:t>在“信用中国”网站（https://www.creditchina.gov.cn）或“中国执行信息公开网”（https://zxgk.court.gov.cn）中被列入失信被执行人名单；</w:t>
            </w:r>
          </w:p>
        </w:tc>
      </w:tr>
      <w:tr w14:paraId="5155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24200E39">
            <w:pPr>
              <w:adjustRightInd w:val="0"/>
              <w:snapToGrid w:val="0"/>
              <w:jc w:val="center"/>
              <w:rPr>
                <w:rFonts w:ascii="宋体" w:hAnsi="宋体"/>
                <w:szCs w:val="21"/>
                <w:highlight w:val="none"/>
              </w:rPr>
            </w:pPr>
            <w:r>
              <w:rPr>
                <w:rFonts w:ascii="宋体" w:hAnsi="宋体"/>
                <w:szCs w:val="21"/>
                <w:highlight w:val="none"/>
              </w:rPr>
              <w:t>1.4.4</w:t>
            </w:r>
            <w:r>
              <w:rPr>
                <w:rFonts w:hint="eastAsia" w:ascii="宋体" w:hAnsi="宋体"/>
                <w:szCs w:val="21"/>
                <w:highlight w:val="none"/>
              </w:rPr>
              <w:br w:type="textWrapping"/>
            </w:r>
            <w:r>
              <w:rPr>
                <w:rFonts w:hint="eastAsia" w:ascii="宋体" w:hAnsi="宋体"/>
                <w:szCs w:val="21"/>
                <w:highlight w:val="none"/>
              </w:rPr>
              <w:t>（6）</w:t>
            </w:r>
          </w:p>
        </w:tc>
        <w:tc>
          <w:tcPr>
            <w:tcW w:w="1801" w:type="dxa"/>
            <w:vAlign w:val="center"/>
          </w:tcPr>
          <w:p w14:paraId="117CA684">
            <w:pPr>
              <w:adjustRightInd w:val="0"/>
              <w:snapToGrid w:val="0"/>
              <w:jc w:val="center"/>
              <w:rPr>
                <w:rFonts w:ascii="宋体" w:hAnsi="宋体"/>
                <w:szCs w:val="21"/>
                <w:highlight w:val="none"/>
              </w:rPr>
            </w:pPr>
            <w:r>
              <w:rPr>
                <w:rFonts w:hint="eastAsia" w:ascii="宋体" w:hAnsi="宋体"/>
                <w:szCs w:val="21"/>
                <w:highlight w:val="none"/>
              </w:rPr>
              <w:t>行贿犯罪行为</w:t>
            </w:r>
          </w:p>
        </w:tc>
        <w:tc>
          <w:tcPr>
            <w:tcW w:w="7094" w:type="dxa"/>
            <w:vAlign w:val="center"/>
          </w:tcPr>
          <w:p w14:paraId="69647E2B">
            <w:pPr>
              <w:adjustRightInd w:val="0"/>
              <w:snapToGrid w:val="0"/>
              <w:spacing w:line="360" w:lineRule="atLeast"/>
              <w:ind w:firstLine="211" w:firstLineChars="100"/>
              <w:rPr>
                <w:rFonts w:ascii="宋体" w:hAnsi="宋体"/>
                <w:szCs w:val="21"/>
                <w:highlight w:val="none"/>
              </w:rPr>
            </w:pPr>
            <w:r>
              <w:rPr>
                <w:rFonts w:hint="eastAsia" w:ascii="黑体" w:hAnsi="黑体" w:eastAsia="黑体"/>
                <w:b/>
                <w:bCs/>
                <w:szCs w:val="21"/>
                <w:highlight w:val="none"/>
              </w:rPr>
              <w:t>本目细化为：</w:t>
            </w:r>
            <w:r>
              <w:rPr>
                <w:rFonts w:hint="eastAsia" w:ascii="宋体" w:hAnsi="宋体"/>
                <w:szCs w:val="21"/>
                <w:highlight w:val="none"/>
              </w:rPr>
              <w:t>投标人或其法定代表人、拟委任的总监理工程师在近三年内有行贿犯罪行为的；</w:t>
            </w:r>
          </w:p>
        </w:tc>
      </w:tr>
      <w:tr w14:paraId="3755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66899A16">
            <w:pPr>
              <w:adjustRightInd w:val="0"/>
              <w:snapToGrid w:val="0"/>
              <w:jc w:val="center"/>
              <w:rPr>
                <w:rFonts w:ascii="宋体" w:hAnsi="宋体"/>
                <w:szCs w:val="21"/>
                <w:highlight w:val="none"/>
              </w:rPr>
            </w:pPr>
            <w:r>
              <w:rPr>
                <w:rFonts w:hint="eastAsia" w:ascii="宋体" w:hAnsi="宋体"/>
                <w:szCs w:val="21"/>
                <w:highlight w:val="none"/>
              </w:rPr>
              <w:t>1</w:t>
            </w:r>
            <w:r>
              <w:rPr>
                <w:rFonts w:ascii="宋体" w:hAnsi="宋体"/>
                <w:szCs w:val="21"/>
                <w:highlight w:val="none"/>
              </w:rPr>
              <w:t>.4.5</w:t>
            </w:r>
          </w:p>
        </w:tc>
        <w:tc>
          <w:tcPr>
            <w:tcW w:w="1801" w:type="dxa"/>
            <w:vAlign w:val="top"/>
          </w:tcPr>
          <w:p w14:paraId="0C0D7AE9">
            <w:pPr>
              <w:adjustRightInd w:val="0"/>
              <w:snapToGrid w:val="0"/>
              <w:jc w:val="center"/>
              <w:rPr>
                <w:rFonts w:hint="eastAsia" w:ascii="宋体" w:hAnsi="宋体"/>
                <w:szCs w:val="21"/>
                <w:highlight w:val="none"/>
              </w:rPr>
            </w:pPr>
          </w:p>
          <w:p w14:paraId="100F3708">
            <w:pPr>
              <w:adjustRightInd w:val="0"/>
              <w:snapToGrid w:val="0"/>
              <w:jc w:val="center"/>
              <w:rPr>
                <w:rFonts w:hint="eastAsia" w:ascii="宋体" w:hAnsi="宋体"/>
                <w:szCs w:val="21"/>
                <w:highlight w:val="none"/>
              </w:rPr>
            </w:pPr>
          </w:p>
          <w:p w14:paraId="41700EED">
            <w:pPr>
              <w:adjustRightInd w:val="0"/>
              <w:snapToGrid w:val="0"/>
              <w:jc w:val="center"/>
              <w:rPr>
                <w:rFonts w:hint="eastAsia" w:ascii="宋体" w:hAnsi="宋体"/>
                <w:szCs w:val="21"/>
                <w:highlight w:val="none"/>
              </w:rPr>
            </w:pPr>
          </w:p>
          <w:p w14:paraId="1F381F75">
            <w:pPr>
              <w:adjustRightInd w:val="0"/>
              <w:snapToGrid w:val="0"/>
              <w:jc w:val="center"/>
              <w:rPr>
                <w:rFonts w:hint="eastAsia" w:ascii="宋体" w:hAnsi="宋体"/>
                <w:szCs w:val="21"/>
                <w:highlight w:val="none"/>
              </w:rPr>
            </w:pPr>
          </w:p>
          <w:p w14:paraId="337AC6FE">
            <w:pPr>
              <w:adjustRightInd w:val="0"/>
              <w:snapToGrid w:val="0"/>
              <w:jc w:val="center"/>
              <w:rPr>
                <w:rFonts w:hint="eastAsia" w:ascii="宋体" w:hAnsi="宋体"/>
                <w:szCs w:val="21"/>
                <w:highlight w:val="none"/>
              </w:rPr>
            </w:pPr>
            <w:r>
              <w:rPr>
                <w:rFonts w:hint="eastAsia" w:ascii="宋体" w:hAnsi="宋体"/>
                <w:szCs w:val="21"/>
                <w:highlight w:val="none"/>
              </w:rPr>
              <w:t>企业名录</w:t>
            </w:r>
          </w:p>
        </w:tc>
        <w:tc>
          <w:tcPr>
            <w:tcW w:w="7094" w:type="dxa"/>
            <w:vAlign w:val="top"/>
          </w:tcPr>
          <w:p w14:paraId="240493D1">
            <w:pPr>
              <w:adjustRightInd w:val="0"/>
              <w:snapToGrid w:val="0"/>
              <w:spacing w:line="360" w:lineRule="atLeast"/>
              <w:ind w:firstLine="211" w:firstLineChars="100"/>
              <w:rPr>
                <w:rFonts w:hint="eastAsia" w:ascii="宋体" w:hAnsi="宋体"/>
                <w:szCs w:val="21"/>
                <w:highlight w:val="none"/>
              </w:rPr>
            </w:pPr>
            <w:r>
              <w:rPr>
                <w:rFonts w:hint="eastAsia" w:ascii="黑体" w:hAnsi="黑体" w:eastAsia="黑体"/>
                <w:b/>
                <w:bCs/>
                <w:szCs w:val="21"/>
                <w:highlight w:val="none"/>
              </w:rPr>
              <w:t>本项细化为：</w:t>
            </w:r>
            <w:r>
              <w:rPr>
                <w:rFonts w:hint="eastAsia" w:ascii="宋体" w:hAnsi="宋体"/>
                <w:szCs w:val="21"/>
                <w:highlight w:val="none"/>
              </w:rPr>
              <w:t>1.4.5 投标人（仅适用于根据厅公路字〔2011〕114 号文件要求，招标人应通过名录对投标人资质条件进行审核的公路监理企业）在投标截止时间前应 进 入 交 通 运 输 部 “ 全 国 公 路 建 设 市 场 监 督 管 理 系 统（</w:t>
            </w:r>
            <w:r>
              <w:rPr>
                <w:rFonts w:hint="eastAsia" w:ascii="宋体" w:hAnsi="宋体"/>
                <w:szCs w:val="21"/>
                <w:highlight w:val="none"/>
              </w:rPr>
              <w:fldChar w:fldCharType="begin"/>
            </w:r>
            <w:r>
              <w:rPr>
                <w:rFonts w:hint="eastAsia" w:ascii="宋体" w:hAnsi="宋体"/>
                <w:szCs w:val="21"/>
                <w:highlight w:val="none"/>
              </w:rPr>
              <w:instrText xml:space="preserve"> HYPERLINK "https://hwdms.mot.gov.cn" </w:instrText>
            </w:r>
            <w:r>
              <w:rPr>
                <w:rFonts w:hint="eastAsia" w:ascii="宋体" w:hAnsi="宋体"/>
                <w:szCs w:val="21"/>
                <w:highlight w:val="none"/>
              </w:rPr>
              <w:fldChar w:fldCharType="separate"/>
            </w:r>
            <w:r>
              <w:rPr>
                <w:rFonts w:hint="eastAsia" w:ascii="宋体" w:hAnsi="宋体"/>
                <w:szCs w:val="21"/>
                <w:highlight w:val="none"/>
              </w:rPr>
              <w:t>https://hwdms.mot.gov.cn</w:t>
            </w:r>
            <w:r>
              <w:rPr>
                <w:rFonts w:hint="eastAsia" w:ascii="宋体" w:hAnsi="宋体"/>
                <w:szCs w:val="21"/>
                <w:highlight w:val="none"/>
              </w:rPr>
              <w:fldChar w:fldCharType="end"/>
            </w:r>
            <w:r>
              <w:rPr>
                <w:rFonts w:hint="eastAsia" w:ascii="宋体" w:hAnsi="宋体"/>
                <w:szCs w:val="21"/>
                <w:highlight w:val="none"/>
              </w:rPr>
              <w:t>）”中的公路工程施工监理资质企业名录，且投标人名称和资质与该名录中的相应企业名称和资质完全一致。投标人不满足本项规定条件的，将被否决投标。</w:t>
            </w:r>
          </w:p>
        </w:tc>
      </w:tr>
      <w:tr w14:paraId="3338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Merge w:val="restart"/>
            <w:vAlign w:val="center"/>
          </w:tcPr>
          <w:p w14:paraId="733E1803">
            <w:pPr>
              <w:adjustRightInd w:val="0"/>
              <w:snapToGrid w:val="0"/>
              <w:jc w:val="center"/>
              <w:rPr>
                <w:rFonts w:ascii="宋体" w:hAnsi="宋体"/>
                <w:szCs w:val="21"/>
                <w:highlight w:val="none"/>
              </w:rPr>
            </w:pPr>
            <w:r>
              <w:rPr>
                <w:rFonts w:hint="eastAsia" w:ascii="宋体" w:hAnsi="宋体"/>
                <w:szCs w:val="21"/>
                <w:highlight w:val="none"/>
              </w:rPr>
              <w:t>1.10.2</w:t>
            </w:r>
          </w:p>
        </w:tc>
        <w:tc>
          <w:tcPr>
            <w:tcW w:w="1801" w:type="dxa"/>
            <w:vMerge w:val="restart"/>
            <w:vAlign w:val="center"/>
          </w:tcPr>
          <w:p w14:paraId="3CDA9881">
            <w:pPr>
              <w:adjustRightInd w:val="0"/>
              <w:snapToGrid w:val="0"/>
              <w:jc w:val="center"/>
              <w:rPr>
                <w:rFonts w:ascii="宋体" w:hAnsi="宋体"/>
                <w:szCs w:val="21"/>
                <w:highlight w:val="none"/>
              </w:rPr>
            </w:pPr>
            <w:r>
              <w:rPr>
                <w:rFonts w:hint="eastAsia" w:ascii="宋体" w:hAnsi="宋体"/>
                <w:szCs w:val="21"/>
                <w:highlight w:val="none"/>
              </w:rPr>
              <w:t>投标人在投标预备会前提出问题</w:t>
            </w:r>
          </w:p>
        </w:tc>
        <w:tc>
          <w:tcPr>
            <w:tcW w:w="7094" w:type="dxa"/>
            <w:vAlign w:val="center"/>
          </w:tcPr>
          <w:p w14:paraId="6ED2ED6D">
            <w:pPr>
              <w:adjustRightInd w:val="0"/>
              <w:snapToGrid w:val="0"/>
              <w:spacing w:line="360" w:lineRule="atLeast"/>
              <w:ind w:firstLine="210" w:firstLineChars="100"/>
              <w:rPr>
                <w:rFonts w:ascii="宋体" w:hAnsi="宋体" w:cs="宋体"/>
                <w:szCs w:val="21"/>
                <w:highlight w:val="none"/>
              </w:rPr>
            </w:pPr>
            <w:r>
              <w:rPr>
                <w:rFonts w:hint="eastAsia" w:ascii="宋体" w:hAnsi="宋体" w:cs="宋体"/>
                <w:szCs w:val="21"/>
                <w:highlight w:val="none"/>
              </w:rPr>
              <w:t>时间：/</w:t>
            </w:r>
          </w:p>
        </w:tc>
      </w:tr>
      <w:tr w14:paraId="2DB5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Merge w:val="continue"/>
            <w:vAlign w:val="center"/>
          </w:tcPr>
          <w:p w14:paraId="2E2CC8B3">
            <w:pPr>
              <w:adjustRightInd w:val="0"/>
              <w:snapToGrid w:val="0"/>
              <w:jc w:val="center"/>
              <w:rPr>
                <w:rFonts w:ascii="宋体" w:hAnsi="宋体"/>
                <w:szCs w:val="21"/>
                <w:highlight w:val="none"/>
              </w:rPr>
            </w:pPr>
          </w:p>
        </w:tc>
        <w:tc>
          <w:tcPr>
            <w:tcW w:w="1801" w:type="dxa"/>
            <w:vMerge w:val="continue"/>
            <w:vAlign w:val="center"/>
          </w:tcPr>
          <w:p w14:paraId="7AC9DC41">
            <w:pPr>
              <w:adjustRightInd w:val="0"/>
              <w:snapToGrid w:val="0"/>
              <w:jc w:val="center"/>
              <w:rPr>
                <w:rFonts w:ascii="宋体" w:hAnsi="宋体"/>
                <w:szCs w:val="21"/>
                <w:highlight w:val="none"/>
              </w:rPr>
            </w:pPr>
          </w:p>
        </w:tc>
        <w:tc>
          <w:tcPr>
            <w:tcW w:w="7094" w:type="dxa"/>
            <w:vAlign w:val="center"/>
          </w:tcPr>
          <w:p w14:paraId="0B9C0B32">
            <w:pPr>
              <w:adjustRightInd w:val="0"/>
              <w:snapToGrid w:val="0"/>
              <w:spacing w:line="360" w:lineRule="atLeast"/>
              <w:ind w:firstLine="210" w:firstLineChars="100"/>
              <w:rPr>
                <w:rFonts w:ascii="宋体" w:hAnsi="宋体" w:cs="宋体"/>
                <w:szCs w:val="21"/>
                <w:highlight w:val="none"/>
              </w:rPr>
            </w:pPr>
            <w:r>
              <w:rPr>
                <w:rFonts w:hint="eastAsia" w:ascii="宋体" w:hAnsi="宋体" w:cs="宋体"/>
                <w:szCs w:val="21"/>
                <w:highlight w:val="none"/>
              </w:rPr>
              <w:t>形式：/</w:t>
            </w:r>
          </w:p>
        </w:tc>
      </w:tr>
      <w:tr w14:paraId="6B38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0D12218C">
            <w:pPr>
              <w:adjustRightInd w:val="0"/>
              <w:snapToGrid w:val="0"/>
              <w:jc w:val="center"/>
              <w:rPr>
                <w:rFonts w:ascii="宋体" w:hAnsi="宋体"/>
                <w:szCs w:val="21"/>
                <w:highlight w:val="none"/>
              </w:rPr>
            </w:pPr>
            <w:r>
              <w:rPr>
                <w:rFonts w:hint="eastAsia" w:ascii="宋体" w:hAnsi="宋体"/>
                <w:szCs w:val="21"/>
                <w:highlight w:val="none"/>
              </w:rPr>
              <w:t>2.1</w:t>
            </w:r>
          </w:p>
        </w:tc>
        <w:tc>
          <w:tcPr>
            <w:tcW w:w="1801" w:type="dxa"/>
            <w:vAlign w:val="center"/>
          </w:tcPr>
          <w:p w14:paraId="358E23F3">
            <w:pPr>
              <w:adjustRightInd w:val="0"/>
              <w:snapToGrid w:val="0"/>
              <w:jc w:val="center"/>
              <w:rPr>
                <w:rFonts w:ascii="宋体" w:hAnsi="宋体"/>
                <w:szCs w:val="21"/>
                <w:highlight w:val="none"/>
              </w:rPr>
            </w:pPr>
            <w:r>
              <w:rPr>
                <w:rFonts w:hint="eastAsia" w:ascii="宋体" w:hAnsi="宋体"/>
                <w:szCs w:val="21"/>
                <w:highlight w:val="none"/>
              </w:rPr>
              <w:t>构成招标文件的其他资料</w:t>
            </w:r>
          </w:p>
        </w:tc>
        <w:tc>
          <w:tcPr>
            <w:tcW w:w="7094" w:type="dxa"/>
            <w:vAlign w:val="center"/>
          </w:tcPr>
          <w:p w14:paraId="60DF97A1">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w:t>
            </w:r>
          </w:p>
        </w:tc>
      </w:tr>
      <w:tr w14:paraId="4E5E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Merge w:val="restart"/>
            <w:vAlign w:val="center"/>
          </w:tcPr>
          <w:p w14:paraId="7C949752">
            <w:pPr>
              <w:adjustRightInd w:val="0"/>
              <w:snapToGrid w:val="0"/>
              <w:jc w:val="center"/>
              <w:rPr>
                <w:rFonts w:ascii="宋体" w:hAnsi="宋体"/>
                <w:szCs w:val="21"/>
                <w:highlight w:val="none"/>
              </w:rPr>
            </w:pPr>
            <w:r>
              <w:rPr>
                <w:rFonts w:hint="eastAsia" w:ascii="宋体" w:hAnsi="宋体"/>
                <w:szCs w:val="21"/>
                <w:highlight w:val="none"/>
              </w:rPr>
              <w:t>2.2.1</w:t>
            </w:r>
          </w:p>
        </w:tc>
        <w:tc>
          <w:tcPr>
            <w:tcW w:w="1801" w:type="dxa"/>
            <w:vMerge w:val="restart"/>
            <w:vAlign w:val="center"/>
          </w:tcPr>
          <w:p w14:paraId="4F6AE157">
            <w:pPr>
              <w:adjustRightInd w:val="0"/>
              <w:snapToGrid w:val="0"/>
              <w:jc w:val="center"/>
              <w:rPr>
                <w:rFonts w:ascii="宋体" w:hAnsi="宋体"/>
                <w:szCs w:val="21"/>
                <w:highlight w:val="none"/>
              </w:rPr>
            </w:pPr>
            <w:r>
              <w:rPr>
                <w:rFonts w:hint="eastAsia" w:ascii="宋体" w:hAnsi="宋体"/>
                <w:szCs w:val="21"/>
                <w:highlight w:val="none"/>
              </w:rPr>
              <w:t>投标人要求澄清招标文件</w:t>
            </w:r>
          </w:p>
        </w:tc>
        <w:tc>
          <w:tcPr>
            <w:tcW w:w="7094" w:type="dxa"/>
            <w:vAlign w:val="center"/>
          </w:tcPr>
          <w:p w14:paraId="7673CB74">
            <w:pPr>
              <w:adjustRightInd w:val="0"/>
              <w:snapToGrid w:val="0"/>
              <w:spacing w:line="360" w:lineRule="atLeast"/>
              <w:ind w:firstLine="210" w:firstLineChars="100"/>
              <w:rPr>
                <w:rFonts w:ascii="宋体" w:hAnsi="宋体"/>
                <w:szCs w:val="21"/>
                <w:highlight w:val="none"/>
              </w:rPr>
            </w:pPr>
            <w:bookmarkStart w:id="11" w:name="EB13d19317296c4f8bb016cc9c7ea0da39"/>
            <w:r>
              <w:rPr>
                <w:rFonts w:hint="eastAsia" w:ascii="宋体" w:hAnsi="宋体"/>
                <w:szCs w:val="21"/>
                <w:highlight w:val="none"/>
              </w:rPr>
              <w:t>时间：</w:t>
            </w:r>
            <w:bookmarkEnd w:id="11"/>
            <w:r>
              <w:rPr>
                <w:rFonts w:hint="eastAsia" w:ascii="宋体" w:hAnsi="宋体"/>
                <w:szCs w:val="21"/>
                <w:highlight w:val="none"/>
              </w:rPr>
              <w:t>递交投标文件截止时间10日前</w:t>
            </w:r>
          </w:p>
        </w:tc>
      </w:tr>
      <w:tr w14:paraId="0EFD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Merge w:val="continue"/>
            <w:vAlign w:val="center"/>
          </w:tcPr>
          <w:p w14:paraId="0B34477D">
            <w:pPr>
              <w:adjustRightInd w:val="0"/>
              <w:snapToGrid w:val="0"/>
              <w:jc w:val="center"/>
              <w:rPr>
                <w:rFonts w:ascii="宋体" w:hAnsi="宋体"/>
                <w:szCs w:val="21"/>
                <w:highlight w:val="none"/>
              </w:rPr>
            </w:pPr>
          </w:p>
        </w:tc>
        <w:tc>
          <w:tcPr>
            <w:tcW w:w="1801" w:type="dxa"/>
            <w:vMerge w:val="continue"/>
            <w:vAlign w:val="center"/>
          </w:tcPr>
          <w:p w14:paraId="49CEEB0B">
            <w:pPr>
              <w:adjustRightInd w:val="0"/>
              <w:snapToGrid w:val="0"/>
              <w:jc w:val="center"/>
              <w:rPr>
                <w:rFonts w:ascii="宋体" w:hAnsi="宋体"/>
                <w:szCs w:val="21"/>
                <w:highlight w:val="none"/>
              </w:rPr>
            </w:pPr>
          </w:p>
        </w:tc>
        <w:tc>
          <w:tcPr>
            <w:tcW w:w="7094" w:type="dxa"/>
            <w:vAlign w:val="center"/>
          </w:tcPr>
          <w:p w14:paraId="59596C63">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形式：使用CA数字证书登录“电子交易平台”，在“投标答疑”菜单以书面形式要求招标人对招标文件予以澄清。</w:t>
            </w:r>
          </w:p>
        </w:tc>
      </w:tr>
      <w:tr w14:paraId="03C2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14FCFD88">
            <w:pPr>
              <w:adjustRightInd w:val="0"/>
              <w:snapToGrid w:val="0"/>
              <w:jc w:val="center"/>
              <w:rPr>
                <w:rFonts w:ascii="宋体" w:hAnsi="宋体"/>
                <w:szCs w:val="21"/>
                <w:highlight w:val="none"/>
              </w:rPr>
            </w:pPr>
            <w:r>
              <w:rPr>
                <w:rFonts w:hint="eastAsia" w:ascii="宋体" w:hAnsi="宋体"/>
                <w:szCs w:val="21"/>
                <w:highlight w:val="none"/>
              </w:rPr>
              <w:t>2.2.2</w:t>
            </w:r>
          </w:p>
        </w:tc>
        <w:tc>
          <w:tcPr>
            <w:tcW w:w="1801" w:type="dxa"/>
            <w:vAlign w:val="center"/>
          </w:tcPr>
          <w:p w14:paraId="6D562054">
            <w:pPr>
              <w:adjustRightInd w:val="0"/>
              <w:snapToGrid w:val="0"/>
              <w:jc w:val="center"/>
              <w:rPr>
                <w:rFonts w:ascii="宋体" w:hAnsi="宋体"/>
                <w:szCs w:val="21"/>
                <w:highlight w:val="none"/>
              </w:rPr>
            </w:pPr>
            <w:r>
              <w:rPr>
                <w:rFonts w:hint="eastAsia" w:ascii="宋体" w:hAnsi="宋体"/>
                <w:szCs w:val="21"/>
                <w:highlight w:val="none"/>
              </w:rPr>
              <w:t>招标文件澄清发出的形式</w:t>
            </w:r>
          </w:p>
        </w:tc>
        <w:tc>
          <w:tcPr>
            <w:tcW w:w="7094" w:type="dxa"/>
            <w:vAlign w:val="center"/>
          </w:tcPr>
          <w:p w14:paraId="4C1432B6">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通过“电子交易平台”发出招标文件澄清</w:t>
            </w:r>
          </w:p>
        </w:tc>
      </w:tr>
      <w:tr w14:paraId="51C2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17F01B2C">
            <w:pPr>
              <w:adjustRightInd w:val="0"/>
              <w:snapToGrid w:val="0"/>
              <w:jc w:val="center"/>
              <w:rPr>
                <w:rFonts w:ascii="宋体" w:hAnsi="宋体"/>
                <w:szCs w:val="21"/>
                <w:highlight w:val="none"/>
              </w:rPr>
            </w:pPr>
            <w:r>
              <w:rPr>
                <w:rFonts w:ascii="宋体" w:hAnsi="宋体"/>
                <w:szCs w:val="21"/>
                <w:highlight w:val="none"/>
              </w:rPr>
              <w:t>2.2.3</w:t>
            </w:r>
          </w:p>
        </w:tc>
        <w:tc>
          <w:tcPr>
            <w:tcW w:w="1801" w:type="dxa"/>
            <w:vAlign w:val="center"/>
          </w:tcPr>
          <w:p w14:paraId="2CE3F0A8">
            <w:pPr>
              <w:jc w:val="center"/>
              <w:rPr>
                <w:rFonts w:hAnsi="宋体"/>
                <w:szCs w:val="21"/>
                <w:highlight w:val="none"/>
              </w:rPr>
            </w:pPr>
            <w:r>
              <w:rPr>
                <w:rFonts w:hint="eastAsia" w:hAnsi="宋体"/>
                <w:szCs w:val="21"/>
                <w:highlight w:val="none"/>
              </w:rPr>
              <w:t>投标人确认收到</w:t>
            </w:r>
          </w:p>
          <w:p w14:paraId="49F01D87">
            <w:pPr>
              <w:adjustRightInd w:val="0"/>
              <w:snapToGrid w:val="0"/>
              <w:jc w:val="center"/>
              <w:rPr>
                <w:rFonts w:ascii="宋体" w:hAnsi="宋体"/>
                <w:szCs w:val="21"/>
                <w:highlight w:val="none"/>
              </w:rPr>
            </w:pPr>
            <w:r>
              <w:rPr>
                <w:rFonts w:hint="eastAsia" w:hAnsi="宋体"/>
                <w:szCs w:val="21"/>
                <w:highlight w:val="none"/>
              </w:rPr>
              <w:t>招标文件澄清</w:t>
            </w:r>
          </w:p>
        </w:tc>
        <w:tc>
          <w:tcPr>
            <w:tcW w:w="7094" w:type="dxa"/>
            <w:vAlign w:val="center"/>
          </w:tcPr>
          <w:p w14:paraId="6206DBD1">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投标人在本项目招标活动开展期间有义务自行关注平台信息，相关信息自行浏览查询，无需书面回复。</w:t>
            </w:r>
          </w:p>
        </w:tc>
      </w:tr>
      <w:tr w14:paraId="66BB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43F799EB">
            <w:pPr>
              <w:adjustRightInd w:val="0"/>
              <w:snapToGrid w:val="0"/>
              <w:jc w:val="center"/>
              <w:rPr>
                <w:rFonts w:ascii="宋体" w:hAnsi="宋体"/>
                <w:szCs w:val="21"/>
                <w:highlight w:val="none"/>
              </w:rPr>
            </w:pPr>
            <w:r>
              <w:rPr>
                <w:rFonts w:hint="eastAsia" w:ascii="宋体" w:hAnsi="宋体"/>
                <w:szCs w:val="21"/>
                <w:highlight w:val="none"/>
              </w:rPr>
              <w:t>2.3.1</w:t>
            </w:r>
          </w:p>
        </w:tc>
        <w:tc>
          <w:tcPr>
            <w:tcW w:w="1801" w:type="dxa"/>
            <w:vAlign w:val="center"/>
          </w:tcPr>
          <w:p w14:paraId="2E830842">
            <w:pPr>
              <w:adjustRightInd w:val="0"/>
              <w:snapToGrid w:val="0"/>
              <w:jc w:val="center"/>
              <w:rPr>
                <w:rFonts w:ascii="宋体" w:hAnsi="宋体"/>
                <w:szCs w:val="21"/>
                <w:highlight w:val="none"/>
              </w:rPr>
            </w:pPr>
            <w:r>
              <w:rPr>
                <w:rFonts w:hint="eastAsia" w:ascii="宋体" w:hAnsi="宋体"/>
                <w:szCs w:val="21"/>
                <w:highlight w:val="none"/>
              </w:rPr>
              <w:t>招标文件修改发出的形式</w:t>
            </w:r>
          </w:p>
        </w:tc>
        <w:tc>
          <w:tcPr>
            <w:tcW w:w="7094" w:type="dxa"/>
            <w:vAlign w:val="center"/>
          </w:tcPr>
          <w:p w14:paraId="4FFCC64C">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通过“电子交易平台”发出招标文件修改</w:t>
            </w:r>
          </w:p>
        </w:tc>
      </w:tr>
      <w:tr w14:paraId="2C9E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738A0AF9">
            <w:pPr>
              <w:adjustRightInd w:val="0"/>
              <w:snapToGrid w:val="0"/>
              <w:jc w:val="center"/>
              <w:rPr>
                <w:rFonts w:ascii="宋体" w:hAnsi="宋体"/>
                <w:szCs w:val="21"/>
                <w:highlight w:val="none"/>
              </w:rPr>
            </w:pPr>
            <w:r>
              <w:rPr>
                <w:rFonts w:hint="eastAsia" w:ascii="宋体" w:hAnsi="宋体"/>
                <w:szCs w:val="21"/>
                <w:highlight w:val="none"/>
              </w:rPr>
              <w:t>2.3.2</w:t>
            </w:r>
          </w:p>
        </w:tc>
        <w:tc>
          <w:tcPr>
            <w:tcW w:w="1801" w:type="dxa"/>
            <w:vAlign w:val="center"/>
          </w:tcPr>
          <w:p w14:paraId="601ACF3F">
            <w:pPr>
              <w:adjustRightInd w:val="0"/>
              <w:snapToGrid w:val="0"/>
              <w:jc w:val="center"/>
              <w:rPr>
                <w:rFonts w:ascii="宋体" w:hAnsi="宋体"/>
                <w:szCs w:val="21"/>
                <w:highlight w:val="none"/>
              </w:rPr>
            </w:pPr>
            <w:r>
              <w:rPr>
                <w:rFonts w:hint="eastAsia" w:ascii="宋体" w:hAnsi="宋体"/>
                <w:szCs w:val="21"/>
                <w:highlight w:val="none"/>
              </w:rPr>
              <w:t>投标人确认收到招标文件修改</w:t>
            </w:r>
          </w:p>
        </w:tc>
        <w:tc>
          <w:tcPr>
            <w:tcW w:w="7094" w:type="dxa"/>
            <w:vAlign w:val="center"/>
          </w:tcPr>
          <w:p w14:paraId="28E0D2CE">
            <w:pPr>
              <w:adjustRightInd w:val="0"/>
              <w:snapToGrid w:val="0"/>
              <w:spacing w:line="360" w:lineRule="atLeast"/>
              <w:ind w:firstLine="210" w:firstLineChars="100"/>
              <w:rPr>
                <w:rFonts w:ascii="宋体" w:hAnsi="宋体"/>
                <w:szCs w:val="21"/>
                <w:highlight w:val="none"/>
                <w:u w:val="single"/>
              </w:rPr>
            </w:pPr>
            <w:r>
              <w:rPr>
                <w:rFonts w:hint="eastAsia" w:ascii="宋体" w:hAnsi="宋体"/>
                <w:szCs w:val="21"/>
                <w:highlight w:val="none"/>
              </w:rPr>
              <w:t>投标人在本项目招标活动开展期间有义务自行关注平台信息，相关信息自行浏览查询，无需书面回复。</w:t>
            </w:r>
          </w:p>
        </w:tc>
      </w:tr>
      <w:tr w14:paraId="62C2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59BB9BB0">
            <w:pPr>
              <w:adjustRightInd w:val="0"/>
              <w:snapToGrid w:val="0"/>
              <w:jc w:val="center"/>
              <w:rPr>
                <w:rFonts w:ascii="宋体" w:hAnsi="宋体"/>
                <w:szCs w:val="21"/>
                <w:highlight w:val="none"/>
              </w:rPr>
            </w:pPr>
            <w:r>
              <w:rPr>
                <w:rFonts w:hint="eastAsia" w:ascii="宋体" w:hAnsi="宋体"/>
                <w:szCs w:val="21"/>
                <w:highlight w:val="none"/>
              </w:rPr>
              <w:t>3.1.1</w:t>
            </w:r>
          </w:p>
        </w:tc>
        <w:tc>
          <w:tcPr>
            <w:tcW w:w="1801" w:type="dxa"/>
            <w:vAlign w:val="center"/>
          </w:tcPr>
          <w:p w14:paraId="7DAFDDDB">
            <w:pPr>
              <w:adjustRightInd w:val="0"/>
              <w:snapToGrid w:val="0"/>
              <w:jc w:val="center"/>
              <w:rPr>
                <w:rFonts w:ascii="宋体" w:hAnsi="宋体"/>
                <w:szCs w:val="21"/>
                <w:highlight w:val="none"/>
              </w:rPr>
            </w:pPr>
            <w:r>
              <w:rPr>
                <w:rFonts w:hint="eastAsia" w:ascii="宋体" w:hAnsi="宋体"/>
                <w:szCs w:val="21"/>
                <w:highlight w:val="none"/>
              </w:rPr>
              <w:t>构成投标文件的其他资料</w:t>
            </w:r>
          </w:p>
        </w:tc>
        <w:tc>
          <w:tcPr>
            <w:tcW w:w="7094" w:type="dxa"/>
            <w:vAlign w:val="center"/>
          </w:tcPr>
          <w:p w14:paraId="7C71D3C4">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无</w:t>
            </w:r>
          </w:p>
        </w:tc>
      </w:tr>
      <w:tr w14:paraId="43DD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028D4039">
            <w:pPr>
              <w:adjustRightInd w:val="0"/>
              <w:snapToGrid w:val="0"/>
              <w:jc w:val="center"/>
              <w:rPr>
                <w:rFonts w:ascii="宋体" w:hAnsi="宋体"/>
                <w:szCs w:val="21"/>
                <w:highlight w:val="none"/>
              </w:rPr>
            </w:pPr>
            <w:r>
              <w:rPr>
                <w:rFonts w:hint="eastAsia" w:ascii="宋体" w:hAnsi="宋体"/>
                <w:szCs w:val="21"/>
                <w:highlight w:val="none"/>
              </w:rPr>
              <w:t>3.2.1</w:t>
            </w:r>
          </w:p>
        </w:tc>
        <w:tc>
          <w:tcPr>
            <w:tcW w:w="1801" w:type="dxa"/>
            <w:vAlign w:val="center"/>
          </w:tcPr>
          <w:p w14:paraId="350BD34B">
            <w:pPr>
              <w:adjustRightInd w:val="0"/>
              <w:snapToGrid w:val="0"/>
              <w:jc w:val="center"/>
              <w:rPr>
                <w:rFonts w:ascii="宋体" w:hAnsi="宋体"/>
                <w:szCs w:val="21"/>
                <w:highlight w:val="none"/>
              </w:rPr>
            </w:pPr>
            <w:r>
              <w:rPr>
                <w:rFonts w:hint="eastAsia" w:ascii="宋体" w:hAnsi="宋体"/>
                <w:szCs w:val="21"/>
                <w:highlight w:val="none"/>
              </w:rPr>
              <w:t>增值税税金的计算方法</w:t>
            </w:r>
          </w:p>
        </w:tc>
        <w:tc>
          <w:tcPr>
            <w:tcW w:w="7094" w:type="dxa"/>
            <w:vAlign w:val="center"/>
          </w:tcPr>
          <w:p w14:paraId="6BEAA77C">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按国家有关规定执行。</w:t>
            </w:r>
          </w:p>
        </w:tc>
      </w:tr>
      <w:tr w14:paraId="42C4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58BA288E">
            <w:pPr>
              <w:adjustRightInd w:val="0"/>
              <w:snapToGrid w:val="0"/>
              <w:jc w:val="center"/>
              <w:rPr>
                <w:rFonts w:ascii="宋体" w:hAnsi="宋体"/>
                <w:szCs w:val="21"/>
                <w:highlight w:val="none"/>
              </w:rPr>
            </w:pPr>
            <w:r>
              <w:rPr>
                <w:rFonts w:hint="eastAsia" w:ascii="宋体" w:hAnsi="宋体"/>
                <w:szCs w:val="21"/>
                <w:highlight w:val="none"/>
              </w:rPr>
              <w:t>3.2.3</w:t>
            </w:r>
          </w:p>
        </w:tc>
        <w:tc>
          <w:tcPr>
            <w:tcW w:w="1801" w:type="dxa"/>
            <w:vAlign w:val="center"/>
          </w:tcPr>
          <w:p w14:paraId="75D19C74">
            <w:pPr>
              <w:adjustRightInd w:val="0"/>
              <w:snapToGrid w:val="0"/>
              <w:jc w:val="center"/>
              <w:rPr>
                <w:rFonts w:ascii="宋体" w:hAnsi="宋体"/>
                <w:szCs w:val="21"/>
                <w:highlight w:val="none"/>
              </w:rPr>
            </w:pPr>
            <w:r>
              <w:rPr>
                <w:rFonts w:hint="eastAsia" w:ascii="宋体" w:hAnsi="宋体"/>
                <w:szCs w:val="21"/>
                <w:highlight w:val="none"/>
              </w:rPr>
              <w:t>报价方式</w:t>
            </w:r>
          </w:p>
        </w:tc>
        <w:tc>
          <w:tcPr>
            <w:tcW w:w="7094" w:type="dxa"/>
            <w:vAlign w:val="center"/>
          </w:tcPr>
          <w:p w14:paraId="18B58F89">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总价</w:t>
            </w:r>
          </w:p>
        </w:tc>
      </w:tr>
      <w:tr w14:paraId="695F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36" w:type="dxa"/>
            <w:vAlign w:val="center"/>
          </w:tcPr>
          <w:p w14:paraId="6F7CE8A3">
            <w:pPr>
              <w:adjustRightInd w:val="0"/>
              <w:snapToGrid w:val="0"/>
              <w:jc w:val="center"/>
              <w:rPr>
                <w:rFonts w:ascii="宋体" w:hAnsi="宋体"/>
                <w:szCs w:val="21"/>
                <w:highlight w:val="none"/>
              </w:rPr>
            </w:pPr>
            <w:r>
              <w:rPr>
                <w:rFonts w:hint="eastAsia" w:ascii="宋体" w:hAnsi="宋体"/>
                <w:szCs w:val="21"/>
                <w:highlight w:val="none"/>
              </w:rPr>
              <w:t>3.2.4</w:t>
            </w:r>
          </w:p>
        </w:tc>
        <w:tc>
          <w:tcPr>
            <w:tcW w:w="1801" w:type="dxa"/>
            <w:vAlign w:val="center"/>
          </w:tcPr>
          <w:p w14:paraId="6BB901E0">
            <w:pPr>
              <w:adjustRightInd w:val="0"/>
              <w:snapToGrid w:val="0"/>
              <w:jc w:val="center"/>
              <w:rPr>
                <w:rFonts w:ascii="宋体" w:hAnsi="宋体"/>
                <w:szCs w:val="21"/>
                <w:highlight w:val="none"/>
              </w:rPr>
            </w:pPr>
            <w:r>
              <w:rPr>
                <w:rFonts w:hint="eastAsia" w:ascii="宋体" w:hAnsi="宋体"/>
                <w:szCs w:val="21"/>
                <w:highlight w:val="none"/>
              </w:rPr>
              <w:t>最高投标限价</w:t>
            </w:r>
          </w:p>
        </w:tc>
        <w:tc>
          <w:tcPr>
            <w:tcW w:w="7094" w:type="dxa"/>
            <w:vAlign w:val="center"/>
          </w:tcPr>
          <w:p w14:paraId="158FA38D">
            <w:pPr>
              <w:widowControl/>
              <w:adjustRightInd w:val="0"/>
              <w:snapToGrid w:val="0"/>
              <w:spacing w:line="360" w:lineRule="atLeast"/>
              <w:ind w:firstLine="210" w:firstLineChars="100"/>
              <w:rPr>
                <w:rFonts w:ascii="宋体" w:hAnsi="宋体"/>
                <w:szCs w:val="21"/>
                <w:highlight w:val="none"/>
              </w:rPr>
            </w:pPr>
            <w:r>
              <w:rPr>
                <w:rFonts w:hint="eastAsia" w:ascii="宋体" w:hAnsi="宋体"/>
                <w:sz w:val="21"/>
                <w:szCs w:val="21"/>
                <w:highlight w:val="none"/>
              </w:rPr>
              <w:t>有，最高投标限价</w:t>
            </w:r>
            <w:r>
              <w:rPr>
                <w:rFonts w:hint="eastAsia" w:ascii="宋体" w:hAnsi="宋体"/>
                <w:sz w:val="21"/>
                <w:szCs w:val="21"/>
                <w:highlight w:val="none"/>
                <w:lang w:val="en-US" w:eastAsia="zh-CN"/>
              </w:rPr>
              <w:t>：</w:t>
            </w:r>
            <w:r>
              <w:rPr>
                <w:rFonts w:hint="eastAsia" w:ascii="黑体" w:hAnsi="黑体" w:eastAsia="黑体" w:cs="黑体"/>
                <w:spacing w:val="-2"/>
                <w:kern w:val="2"/>
                <w:sz w:val="28"/>
                <w:szCs w:val="28"/>
                <w:highlight w:val="none"/>
                <w:lang w:val="en-US" w:eastAsia="zh-CN" w:bidi="ar-SA"/>
              </w:rPr>
              <w:t>885.2998万元</w:t>
            </w:r>
            <w:r>
              <w:rPr>
                <w:rFonts w:hint="eastAsia" w:ascii="宋体" w:hAnsi="宋体"/>
                <w:szCs w:val="21"/>
                <w:highlight w:val="none"/>
              </w:rPr>
              <w:t>。</w:t>
            </w:r>
          </w:p>
          <w:p w14:paraId="4643ACA5">
            <w:pPr>
              <w:pStyle w:val="8"/>
              <w:spacing w:before="30" w:line="221" w:lineRule="auto"/>
              <w:ind w:firstLine="210" w:firstLineChars="100"/>
              <w:rPr>
                <w:rFonts w:hint="eastAsia" w:ascii="黑体" w:hAnsi="黑体" w:eastAsia="黑体" w:cs="黑体"/>
                <w:sz w:val="28"/>
                <w:szCs w:val="28"/>
                <w:highlight w:val="none"/>
                <w:lang w:eastAsia="zh-CN"/>
              </w:rPr>
            </w:pPr>
            <w:r>
              <w:rPr>
                <w:rFonts w:hint="eastAsia" w:ascii="宋体" w:hAnsi="宋体"/>
                <w:bCs/>
                <w:sz w:val="21"/>
                <w:szCs w:val="21"/>
                <w:highlight w:val="none"/>
              </w:rPr>
              <w:t>其中</w:t>
            </w:r>
            <w:r>
              <w:rPr>
                <w:rFonts w:hint="eastAsia" w:ascii="宋体" w:hAnsi="宋体"/>
                <w:bCs/>
                <w:sz w:val="21"/>
                <w:szCs w:val="21"/>
                <w:highlight w:val="none"/>
                <w:lang w:val="en-US" w:eastAsia="zh-CN"/>
              </w:rPr>
              <w:t>包括</w:t>
            </w:r>
            <w:r>
              <w:rPr>
                <w:rFonts w:hint="eastAsia" w:ascii="宋体" w:hAnsi="宋体"/>
                <w:bCs/>
                <w:sz w:val="21"/>
                <w:szCs w:val="21"/>
                <w:highlight w:val="none"/>
              </w:rPr>
              <w:t>：路基、路面、</w:t>
            </w:r>
            <w:r>
              <w:rPr>
                <w:rFonts w:hint="eastAsia" w:ascii="宋体" w:hAnsi="宋体"/>
                <w:bCs/>
                <w:sz w:val="21"/>
                <w:szCs w:val="21"/>
                <w:highlight w:val="none"/>
                <w:lang w:val="en-US" w:eastAsia="zh-CN"/>
              </w:rPr>
              <w:t>环保、</w:t>
            </w:r>
            <w:r>
              <w:rPr>
                <w:rFonts w:hint="eastAsia" w:ascii="宋体" w:hAnsi="宋体"/>
                <w:bCs/>
                <w:sz w:val="21"/>
                <w:szCs w:val="21"/>
                <w:highlight w:val="none"/>
              </w:rPr>
              <w:t>桥涵、隧道、交安、</w:t>
            </w:r>
            <w:r>
              <w:rPr>
                <w:rFonts w:hint="eastAsia" w:ascii="宋体" w:hAnsi="宋体"/>
                <w:bCs/>
                <w:sz w:val="21"/>
                <w:szCs w:val="21"/>
                <w:highlight w:val="none"/>
                <w:lang w:val="en-US" w:eastAsia="zh-CN"/>
              </w:rPr>
              <w:t>绿化</w:t>
            </w:r>
            <w:r>
              <w:rPr>
                <w:rFonts w:hint="eastAsia"/>
                <w:bCs/>
                <w:sz w:val="21"/>
                <w:szCs w:val="21"/>
                <w:highlight w:val="none"/>
                <w:lang w:val="en-US" w:eastAsia="zh-CN"/>
              </w:rPr>
              <w:t>、服务区土建、吉林分公司四座跨铁桥维修项目、松原分公司K725+426-K728+331段道路提升项目</w:t>
            </w:r>
            <w:r>
              <w:rPr>
                <w:spacing w:val="-1"/>
                <w:sz w:val="21"/>
                <w:szCs w:val="21"/>
                <w:highlight w:val="none"/>
              </w:rPr>
              <w:t>：</w:t>
            </w:r>
            <w:r>
              <w:rPr>
                <w:rFonts w:hint="eastAsia" w:ascii="黑体" w:hAnsi="黑体" w:eastAsia="黑体" w:cs="黑体"/>
                <w:spacing w:val="-1"/>
                <w:sz w:val="28"/>
                <w:szCs w:val="28"/>
                <w:highlight w:val="none"/>
              </w:rPr>
              <w:t>608.7968</w:t>
            </w:r>
            <w:r>
              <w:rPr>
                <w:rFonts w:ascii="黑体" w:hAnsi="黑体" w:eastAsia="黑体" w:cs="黑体"/>
                <w:spacing w:val="-1"/>
                <w:sz w:val="28"/>
                <w:szCs w:val="28"/>
                <w:highlight w:val="none"/>
              </w:rPr>
              <w:t>万元</w:t>
            </w:r>
            <w:r>
              <w:rPr>
                <w:rFonts w:hint="eastAsia" w:ascii="黑体" w:hAnsi="黑体" w:eastAsia="黑体" w:cs="黑体"/>
                <w:spacing w:val="-1"/>
                <w:sz w:val="28"/>
                <w:szCs w:val="28"/>
                <w:highlight w:val="none"/>
                <w:lang w:eastAsia="zh-CN"/>
              </w:rPr>
              <w:t>。</w:t>
            </w:r>
          </w:p>
          <w:p w14:paraId="75B8AF8B">
            <w:pPr>
              <w:pStyle w:val="8"/>
              <w:spacing w:before="29" w:line="221" w:lineRule="auto"/>
              <w:ind w:firstLine="206" w:firstLineChars="100"/>
              <w:rPr>
                <w:rFonts w:hint="eastAsia" w:ascii="黑体" w:hAnsi="黑体" w:eastAsia="黑体" w:cs="黑体"/>
                <w:sz w:val="28"/>
                <w:szCs w:val="28"/>
                <w:highlight w:val="none"/>
                <w:lang w:eastAsia="zh-CN"/>
              </w:rPr>
            </w:pPr>
            <w:r>
              <w:rPr>
                <w:spacing w:val="-2"/>
                <w:sz w:val="21"/>
                <w:szCs w:val="21"/>
                <w:highlight w:val="none"/>
              </w:rPr>
              <w:t>房建工程（含加油站设施</w:t>
            </w:r>
            <w:r>
              <w:rPr>
                <w:spacing w:val="-45"/>
                <w:sz w:val="21"/>
                <w:szCs w:val="21"/>
                <w:highlight w:val="none"/>
              </w:rPr>
              <w:t>）</w:t>
            </w:r>
            <w:r>
              <w:rPr>
                <w:rFonts w:hint="eastAsia"/>
                <w:spacing w:val="-45"/>
                <w:sz w:val="21"/>
                <w:szCs w:val="21"/>
                <w:highlight w:val="none"/>
                <w:lang w:eastAsia="zh-CN"/>
              </w:rPr>
              <w:t>：</w:t>
            </w:r>
            <w:r>
              <w:rPr>
                <w:rFonts w:hint="eastAsia" w:ascii="黑体" w:hAnsi="黑体" w:eastAsia="黑体" w:cs="黑体"/>
                <w:spacing w:val="-2"/>
                <w:sz w:val="28"/>
                <w:szCs w:val="28"/>
                <w:highlight w:val="none"/>
                <w:lang w:val="en-US" w:eastAsia="zh-CN"/>
              </w:rPr>
              <w:t>239.4549</w:t>
            </w:r>
            <w:r>
              <w:rPr>
                <w:rFonts w:ascii="黑体" w:hAnsi="黑体" w:eastAsia="黑体" w:cs="黑体"/>
                <w:spacing w:val="-2"/>
                <w:sz w:val="28"/>
                <w:szCs w:val="28"/>
                <w:highlight w:val="none"/>
              </w:rPr>
              <w:t>万元</w:t>
            </w:r>
            <w:r>
              <w:rPr>
                <w:rFonts w:hint="eastAsia" w:ascii="黑体" w:hAnsi="黑体" w:eastAsia="黑体" w:cs="黑体"/>
                <w:spacing w:val="-2"/>
                <w:sz w:val="28"/>
                <w:szCs w:val="28"/>
                <w:highlight w:val="none"/>
                <w:lang w:eastAsia="zh-CN"/>
              </w:rPr>
              <w:t>。</w:t>
            </w:r>
          </w:p>
          <w:p w14:paraId="71FEBE96">
            <w:pPr>
              <w:widowControl/>
              <w:adjustRightInd w:val="0"/>
              <w:snapToGrid w:val="0"/>
              <w:spacing w:line="360" w:lineRule="atLeast"/>
              <w:ind w:firstLine="206" w:firstLineChars="100"/>
              <w:rPr>
                <w:rFonts w:hint="eastAsia" w:ascii="黑体" w:hAnsi="黑体" w:eastAsia="黑体" w:cs="黑体"/>
                <w:spacing w:val="-2"/>
                <w:sz w:val="28"/>
                <w:szCs w:val="28"/>
                <w:highlight w:val="none"/>
                <w:lang w:eastAsia="zh-CN"/>
              </w:rPr>
            </w:pPr>
            <w:r>
              <w:rPr>
                <w:spacing w:val="-2"/>
                <w:sz w:val="21"/>
                <w:szCs w:val="21"/>
                <w:highlight w:val="none"/>
              </w:rPr>
              <w:t>机电工程：</w:t>
            </w:r>
            <w:r>
              <w:rPr>
                <w:rFonts w:ascii="黑体" w:hAnsi="黑体" w:eastAsia="黑体" w:cs="黑体"/>
                <w:spacing w:val="-50"/>
                <w:sz w:val="28"/>
                <w:szCs w:val="28"/>
                <w:highlight w:val="none"/>
              </w:rPr>
              <w:t xml:space="preserve"> </w:t>
            </w:r>
            <w:r>
              <w:rPr>
                <w:rFonts w:hint="eastAsia" w:ascii="黑体" w:hAnsi="黑体" w:eastAsia="黑体" w:cs="黑体"/>
                <w:spacing w:val="-2"/>
                <w:sz w:val="28"/>
                <w:szCs w:val="28"/>
                <w:highlight w:val="none"/>
                <w:lang w:val="en-US" w:eastAsia="zh-CN"/>
              </w:rPr>
              <w:t>37.0481</w:t>
            </w:r>
            <w:r>
              <w:rPr>
                <w:rFonts w:ascii="黑体" w:hAnsi="黑体" w:eastAsia="黑体" w:cs="黑体"/>
                <w:spacing w:val="-2"/>
                <w:sz w:val="28"/>
                <w:szCs w:val="28"/>
                <w:highlight w:val="none"/>
              </w:rPr>
              <w:t>万元</w:t>
            </w:r>
            <w:r>
              <w:rPr>
                <w:rFonts w:hint="eastAsia" w:ascii="黑体" w:hAnsi="黑体" w:eastAsia="黑体" w:cs="黑体"/>
                <w:spacing w:val="-2"/>
                <w:sz w:val="28"/>
                <w:szCs w:val="28"/>
                <w:highlight w:val="none"/>
                <w:lang w:eastAsia="zh-CN"/>
              </w:rPr>
              <w:t>。</w:t>
            </w:r>
          </w:p>
          <w:p w14:paraId="1AA8AF0B">
            <w:pPr>
              <w:widowControl/>
              <w:adjustRightInd w:val="0"/>
              <w:snapToGrid w:val="0"/>
              <w:spacing w:line="360" w:lineRule="atLeast"/>
              <w:ind w:firstLine="210" w:firstLineChars="100"/>
              <w:rPr>
                <w:rFonts w:hint="eastAsia" w:ascii="宋体" w:hAnsi="宋体"/>
                <w:bCs/>
                <w:sz w:val="21"/>
                <w:szCs w:val="21"/>
                <w:highlight w:val="none"/>
              </w:rPr>
            </w:pPr>
            <w:r>
              <w:rPr>
                <w:rFonts w:hint="eastAsia" w:ascii="宋体" w:hAnsi="宋体"/>
                <w:bCs/>
                <w:sz w:val="21"/>
                <w:szCs w:val="21"/>
                <w:highlight w:val="none"/>
              </w:rPr>
              <w:t>注：</w:t>
            </w:r>
          </w:p>
          <w:p w14:paraId="40B512FB">
            <w:pPr>
              <w:widowControl/>
              <w:numPr>
                <w:ilvl w:val="0"/>
                <w:numId w:val="0"/>
              </w:numPr>
              <w:adjustRightInd w:val="0"/>
              <w:snapToGrid w:val="0"/>
              <w:spacing w:line="360" w:lineRule="atLeast"/>
              <w:ind w:firstLine="210" w:firstLineChars="100"/>
              <w:rPr>
                <w:rFonts w:hint="eastAsia" w:ascii="宋体" w:hAnsi="宋体"/>
                <w:bCs/>
                <w:sz w:val="21"/>
                <w:szCs w:val="21"/>
                <w:highlight w:val="none"/>
              </w:rPr>
            </w:pPr>
            <w:r>
              <w:rPr>
                <w:rFonts w:hint="eastAsia" w:ascii="宋体" w:hAnsi="宋体" w:eastAsia="宋体" w:cs="Times New Roman"/>
                <w:bCs/>
                <w:kern w:val="2"/>
                <w:sz w:val="21"/>
                <w:szCs w:val="21"/>
                <w:highlight w:val="none"/>
                <w:lang w:val="en-US" w:eastAsia="zh-CN" w:bidi="ar-SA"/>
              </w:rPr>
              <w:t>1.</w:t>
            </w:r>
            <w:r>
              <w:rPr>
                <w:rFonts w:hint="eastAsia" w:ascii="宋体" w:hAnsi="宋体"/>
                <w:bCs/>
                <w:sz w:val="21"/>
                <w:szCs w:val="21"/>
                <w:highlight w:val="none"/>
              </w:rPr>
              <w:t>投标人的投标总报价和分项报价均不得超过对应的最高投标限价。</w:t>
            </w:r>
          </w:p>
        </w:tc>
      </w:tr>
      <w:tr w14:paraId="75FF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639CE7F2">
            <w:pPr>
              <w:adjustRightInd w:val="0"/>
              <w:snapToGrid w:val="0"/>
              <w:jc w:val="center"/>
              <w:rPr>
                <w:rFonts w:ascii="宋体" w:hAnsi="宋体"/>
                <w:szCs w:val="21"/>
                <w:highlight w:val="none"/>
              </w:rPr>
            </w:pPr>
            <w:r>
              <w:rPr>
                <w:rFonts w:hint="eastAsia" w:ascii="宋体" w:hAnsi="宋体"/>
                <w:szCs w:val="21"/>
                <w:highlight w:val="none"/>
              </w:rPr>
              <w:t>3.2.5</w:t>
            </w:r>
          </w:p>
        </w:tc>
        <w:tc>
          <w:tcPr>
            <w:tcW w:w="1801" w:type="dxa"/>
            <w:vAlign w:val="center"/>
          </w:tcPr>
          <w:p w14:paraId="61D6630C">
            <w:pPr>
              <w:adjustRightInd w:val="0"/>
              <w:snapToGrid w:val="0"/>
              <w:jc w:val="center"/>
              <w:rPr>
                <w:rFonts w:ascii="宋体" w:hAnsi="宋体"/>
                <w:szCs w:val="21"/>
                <w:highlight w:val="none"/>
              </w:rPr>
            </w:pPr>
            <w:r>
              <w:rPr>
                <w:rFonts w:hint="eastAsia" w:ascii="宋体" w:hAnsi="宋体"/>
                <w:szCs w:val="21"/>
                <w:highlight w:val="none"/>
              </w:rPr>
              <w:t>投标报价的</w:t>
            </w:r>
          </w:p>
          <w:p w14:paraId="3D16CE7B">
            <w:pPr>
              <w:adjustRightInd w:val="0"/>
              <w:snapToGrid w:val="0"/>
              <w:jc w:val="center"/>
              <w:rPr>
                <w:rFonts w:ascii="宋体" w:hAnsi="宋体"/>
                <w:szCs w:val="21"/>
                <w:highlight w:val="none"/>
              </w:rPr>
            </w:pPr>
            <w:r>
              <w:rPr>
                <w:rFonts w:hint="eastAsia" w:ascii="宋体" w:hAnsi="宋体"/>
                <w:szCs w:val="21"/>
                <w:highlight w:val="none"/>
              </w:rPr>
              <w:t>其他要求</w:t>
            </w:r>
          </w:p>
        </w:tc>
        <w:tc>
          <w:tcPr>
            <w:tcW w:w="7094" w:type="dxa"/>
            <w:vAlign w:val="center"/>
          </w:tcPr>
          <w:p w14:paraId="7B359412">
            <w:pPr>
              <w:adjustRightInd w:val="0"/>
              <w:snapToGrid w:val="0"/>
              <w:spacing w:line="360" w:lineRule="atLeast"/>
              <w:ind w:firstLine="210" w:firstLineChars="100"/>
              <w:rPr>
                <w:rFonts w:ascii="宋体" w:hAnsi="宋体"/>
                <w:bCs/>
                <w:szCs w:val="21"/>
                <w:highlight w:val="none"/>
              </w:rPr>
            </w:pPr>
            <w:r>
              <w:rPr>
                <w:rFonts w:hint="eastAsia" w:ascii="宋体" w:hAnsi="宋体"/>
                <w:bCs/>
                <w:szCs w:val="21"/>
                <w:highlight w:val="none"/>
              </w:rPr>
              <w:t>“验收与缺陷责任期监理服务费用”不得少于“施工准备期、施工期监理服务费用”的2%。</w:t>
            </w:r>
          </w:p>
        </w:tc>
      </w:tr>
      <w:tr w14:paraId="3A5A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58751AB2">
            <w:pPr>
              <w:adjustRightInd w:val="0"/>
              <w:snapToGrid w:val="0"/>
              <w:jc w:val="center"/>
              <w:rPr>
                <w:rFonts w:ascii="宋体" w:hAnsi="宋体"/>
                <w:szCs w:val="21"/>
                <w:highlight w:val="none"/>
              </w:rPr>
            </w:pPr>
            <w:r>
              <w:rPr>
                <w:rFonts w:hint="eastAsia" w:ascii="宋体" w:hAnsi="宋体"/>
                <w:szCs w:val="21"/>
                <w:highlight w:val="none"/>
              </w:rPr>
              <w:t>3.4.1</w:t>
            </w:r>
          </w:p>
        </w:tc>
        <w:tc>
          <w:tcPr>
            <w:tcW w:w="1801" w:type="dxa"/>
            <w:vAlign w:val="center"/>
          </w:tcPr>
          <w:p w14:paraId="75D45D3E">
            <w:pPr>
              <w:adjustRightInd w:val="0"/>
              <w:snapToGrid w:val="0"/>
              <w:jc w:val="center"/>
              <w:rPr>
                <w:rFonts w:ascii="宋体" w:hAnsi="宋体"/>
                <w:szCs w:val="21"/>
                <w:highlight w:val="none"/>
              </w:rPr>
            </w:pPr>
            <w:r>
              <w:rPr>
                <w:rFonts w:hint="eastAsia" w:ascii="宋体" w:hAnsi="宋体"/>
                <w:szCs w:val="21"/>
                <w:highlight w:val="none"/>
              </w:rPr>
              <w:t>投标保证金</w:t>
            </w:r>
          </w:p>
        </w:tc>
        <w:tc>
          <w:tcPr>
            <w:tcW w:w="7094" w:type="dxa"/>
            <w:vAlign w:val="center"/>
          </w:tcPr>
          <w:p w14:paraId="14174D8D">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要求，投标保证金的金额：</w:t>
            </w:r>
            <w:r>
              <w:rPr>
                <w:rFonts w:hint="eastAsia" w:ascii="宋体" w:hAnsi="宋体"/>
                <w:szCs w:val="21"/>
                <w:highlight w:val="none"/>
                <w:lang w:val="en-US" w:eastAsia="zh-CN"/>
              </w:rPr>
              <w:t>6</w:t>
            </w:r>
            <w:r>
              <w:rPr>
                <w:rFonts w:hint="eastAsia" w:ascii="宋体" w:hAnsi="宋体"/>
                <w:szCs w:val="21"/>
                <w:highlight w:val="none"/>
              </w:rPr>
              <w:t>万元/标段</w:t>
            </w:r>
          </w:p>
          <w:p w14:paraId="671F8C8E">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投标保证金可采用的其他形式：符合《关于调整吉林省公共资源交易一体化平台电子保函担保业务的公告》（吉林省政务服务和数字化建设管理局2025年1月16日发布）规定的电子保函（或电子保单）。</w:t>
            </w:r>
          </w:p>
          <w:p w14:paraId="43DB8455">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其他要求：</w:t>
            </w:r>
          </w:p>
          <w:p w14:paraId="449ECB6A">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（1）若采用现金或支票，投标人应保证在投标截止时间之前，将投标保证金由投标人的基本账户一次性转入并到达招标人指定账户，否则视为投标保证金无效。招标人指定的开户银行及账号如下：</w:t>
            </w:r>
          </w:p>
          <w:p w14:paraId="745716AF">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开户银行：中国工商银行长春经济技术开发区支行</w:t>
            </w:r>
          </w:p>
          <w:p w14:paraId="362A9C26">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账户名称：吉林省高速公路集团有限公司</w:t>
            </w:r>
          </w:p>
          <w:p w14:paraId="1596FFCB">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账    号：4200223219200131189</w:t>
            </w:r>
          </w:p>
          <w:p w14:paraId="57F9583E">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咨询电话：0431-85254020</w:t>
            </w:r>
          </w:p>
          <w:p w14:paraId="505BFF81">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业务备注一栏可填写：“吉高养护监理投标担保”</w:t>
            </w:r>
          </w:p>
          <w:p w14:paraId="10159B43">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（2）若采用保函（保单），应符合《关于调整吉林省公共资源交易一体化平台电子保函担保业务的公告》规定。电子保函（保单）的真实性、合法性由投标人和开立人负责。</w:t>
            </w:r>
          </w:p>
        </w:tc>
      </w:tr>
      <w:tr w14:paraId="48CA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1A83CCFA">
            <w:pPr>
              <w:adjustRightInd w:val="0"/>
              <w:snapToGrid w:val="0"/>
              <w:jc w:val="center"/>
              <w:rPr>
                <w:rFonts w:ascii="宋体" w:hAnsi="宋体"/>
                <w:szCs w:val="21"/>
                <w:highlight w:val="none"/>
              </w:rPr>
            </w:pPr>
            <w:r>
              <w:rPr>
                <w:rFonts w:hint="eastAsia" w:ascii="宋体" w:hAnsi="宋体"/>
                <w:szCs w:val="21"/>
                <w:highlight w:val="none"/>
              </w:rPr>
              <w:t>3.4.3</w:t>
            </w:r>
          </w:p>
        </w:tc>
        <w:tc>
          <w:tcPr>
            <w:tcW w:w="1801" w:type="dxa"/>
            <w:vAlign w:val="center"/>
          </w:tcPr>
          <w:p w14:paraId="4ACD0CBD">
            <w:pPr>
              <w:adjustRightInd w:val="0"/>
              <w:snapToGrid w:val="0"/>
              <w:jc w:val="center"/>
              <w:rPr>
                <w:rFonts w:ascii="宋体" w:hAnsi="宋体"/>
                <w:szCs w:val="21"/>
                <w:highlight w:val="none"/>
              </w:rPr>
            </w:pPr>
            <w:r>
              <w:rPr>
                <w:rFonts w:ascii="宋体" w:hAnsi="宋体"/>
                <w:szCs w:val="21"/>
                <w:highlight w:val="none"/>
              </w:rPr>
              <w:t>投标保证金的</w:t>
            </w:r>
            <w:r>
              <w:rPr>
                <w:rFonts w:hint="eastAsia" w:ascii="宋体" w:hAnsi="宋体"/>
                <w:szCs w:val="21"/>
                <w:highlight w:val="none"/>
              </w:rPr>
              <w:br w:type="textWrapping"/>
            </w:r>
            <w:r>
              <w:rPr>
                <w:rFonts w:ascii="宋体" w:hAnsi="宋体"/>
                <w:szCs w:val="21"/>
                <w:highlight w:val="none"/>
              </w:rPr>
              <w:t>利息计算原则</w:t>
            </w:r>
          </w:p>
        </w:tc>
        <w:tc>
          <w:tcPr>
            <w:tcW w:w="7094" w:type="dxa"/>
            <w:vAlign w:val="center"/>
          </w:tcPr>
          <w:p w14:paraId="11FF8F14">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（1）计算利息的起始日期为投标截止当日，终止日期为招标人退还投标保证金日期的前一日；</w:t>
            </w:r>
          </w:p>
          <w:p w14:paraId="329B0296">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（2）投标保证金的利息按照第（1）款所述计息时间段内招标人指定汇入银行公告的活期存款利率计付，并扣除招标人汇款手续费；</w:t>
            </w:r>
          </w:p>
          <w:p w14:paraId="5957DF56">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（3）利息金额计算至分位，分以下尾数四舍五入。</w:t>
            </w:r>
          </w:p>
        </w:tc>
      </w:tr>
      <w:tr w14:paraId="7656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54078ED3">
            <w:pPr>
              <w:adjustRightInd w:val="0"/>
              <w:snapToGrid w:val="0"/>
              <w:jc w:val="center"/>
              <w:rPr>
                <w:rFonts w:ascii="宋体" w:hAnsi="宋体"/>
                <w:szCs w:val="21"/>
                <w:highlight w:val="none"/>
              </w:rPr>
            </w:pPr>
            <w:r>
              <w:rPr>
                <w:rFonts w:hint="eastAsia" w:ascii="宋体" w:hAnsi="宋体"/>
                <w:szCs w:val="21"/>
                <w:highlight w:val="none"/>
              </w:rPr>
              <w:t>3.4.4</w:t>
            </w:r>
          </w:p>
        </w:tc>
        <w:tc>
          <w:tcPr>
            <w:tcW w:w="1801" w:type="dxa"/>
            <w:vAlign w:val="center"/>
          </w:tcPr>
          <w:p w14:paraId="3F2246FD">
            <w:pPr>
              <w:adjustRightInd w:val="0"/>
              <w:snapToGrid w:val="0"/>
              <w:jc w:val="center"/>
              <w:rPr>
                <w:rFonts w:ascii="宋体" w:hAnsi="宋体"/>
                <w:szCs w:val="21"/>
                <w:highlight w:val="none"/>
              </w:rPr>
            </w:pPr>
            <w:r>
              <w:rPr>
                <w:rFonts w:hint="eastAsia" w:ascii="宋体" w:hAnsi="宋体"/>
                <w:szCs w:val="21"/>
                <w:highlight w:val="none"/>
              </w:rPr>
              <w:t>其他可以不予退还投标保证金的情形</w:t>
            </w:r>
          </w:p>
        </w:tc>
        <w:tc>
          <w:tcPr>
            <w:tcW w:w="7094" w:type="dxa"/>
            <w:vAlign w:val="center"/>
          </w:tcPr>
          <w:p w14:paraId="42D8CC33">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w:t>
            </w:r>
          </w:p>
        </w:tc>
      </w:tr>
      <w:tr w14:paraId="1B85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50E07E90">
            <w:pPr>
              <w:adjustRightInd w:val="0"/>
              <w:snapToGrid w:val="0"/>
              <w:jc w:val="center"/>
              <w:rPr>
                <w:rFonts w:ascii="宋体" w:hAnsi="宋体"/>
                <w:szCs w:val="21"/>
                <w:highlight w:val="none"/>
              </w:rPr>
            </w:pPr>
            <w:r>
              <w:rPr>
                <w:rFonts w:hint="eastAsia" w:ascii="宋体" w:hAnsi="宋体"/>
                <w:szCs w:val="21"/>
                <w:highlight w:val="none"/>
              </w:rPr>
              <w:t>3.5</w:t>
            </w:r>
          </w:p>
        </w:tc>
        <w:tc>
          <w:tcPr>
            <w:tcW w:w="1801" w:type="dxa"/>
            <w:vAlign w:val="center"/>
          </w:tcPr>
          <w:p w14:paraId="43F65E5C">
            <w:pPr>
              <w:adjustRightInd w:val="0"/>
              <w:snapToGrid w:val="0"/>
              <w:jc w:val="center"/>
              <w:rPr>
                <w:rFonts w:ascii="宋体" w:hAnsi="宋体"/>
                <w:szCs w:val="21"/>
                <w:highlight w:val="none"/>
              </w:rPr>
            </w:pPr>
            <w:r>
              <w:rPr>
                <w:rFonts w:hint="eastAsia" w:ascii="宋体" w:hAnsi="宋体"/>
                <w:szCs w:val="21"/>
                <w:highlight w:val="none"/>
              </w:rPr>
              <w:t>资格审查资料的特殊要求</w:t>
            </w:r>
          </w:p>
        </w:tc>
        <w:tc>
          <w:tcPr>
            <w:tcW w:w="7094" w:type="dxa"/>
            <w:vAlign w:val="center"/>
          </w:tcPr>
          <w:p w14:paraId="380F4996">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有</w:t>
            </w:r>
          </w:p>
        </w:tc>
      </w:tr>
      <w:tr w14:paraId="4B22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603269B1">
            <w:pPr>
              <w:adjustRightInd w:val="0"/>
              <w:snapToGrid w:val="0"/>
              <w:jc w:val="center"/>
              <w:rPr>
                <w:rFonts w:ascii="宋体" w:hAnsi="宋体"/>
                <w:szCs w:val="21"/>
                <w:highlight w:val="none"/>
              </w:rPr>
            </w:pPr>
            <w:r>
              <w:rPr>
                <w:rFonts w:hint="eastAsia" w:ascii="宋体" w:hAnsi="宋体"/>
                <w:szCs w:val="21"/>
                <w:highlight w:val="none"/>
              </w:rPr>
              <w:t>3.5.1</w:t>
            </w:r>
          </w:p>
        </w:tc>
        <w:tc>
          <w:tcPr>
            <w:tcW w:w="1801" w:type="dxa"/>
            <w:vAlign w:val="center"/>
          </w:tcPr>
          <w:p w14:paraId="49EB35D4">
            <w:pPr>
              <w:keepLines/>
              <w:autoSpaceDE w:val="0"/>
              <w:autoSpaceDN w:val="0"/>
              <w:adjustRightInd w:val="0"/>
              <w:snapToGrid w:val="0"/>
              <w:jc w:val="center"/>
              <w:rPr>
                <w:rFonts w:ascii="宋体" w:hAnsi="宋体"/>
                <w:szCs w:val="21"/>
                <w:highlight w:val="none"/>
              </w:rPr>
            </w:pPr>
            <w:r>
              <w:rPr>
                <w:rFonts w:hint="eastAsia" w:ascii="宋体" w:hAnsi="宋体"/>
                <w:szCs w:val="21"/>
                <w:highlight w:val="none"/>
              </w:rPr>
              <w:t>投标人</w:t>
            </w:r>
          </w:p>
          <w:p w14:paraId="11224C6A">
            <w:pPr>
              <w:adjustRightInd w:val="0"/>
              <w:snapToGrid w:val="0"/>
              <w:jc w:val="center"/>
              <w:rPr>
                <w:rFonts w:ascii="宋体" w:hAnsi="宋体"/>
                <w:szCs w:val="21"/>
                <w:highlight w:val="none"/>
              </w:rPr>
            </w:pPr>
            <w:r>
              <w:rPr>
                <w:rFonts w:hint="eastAsia" w:ascii="宋体" w:hAnsi="宋体"/>
                <w:szCs w:val="21"/>
                <w:highlight w:val="none"/>
              </w:rPr>
              <w:t>基本情况表</w:t>
            </w:r>
          </w:p>
        </w:tc>
        <w:tc>
          <w:tcPr>
            <w:tcW w:w="7094" w:type="dxa"/>
            <w:vAlign w:val="center"/>
          </w:tcPr>
          <w:p w14:paraId="1439C91B">
            <w:pPr>
              <w:adjustRightInd w:val="0"/>
              <w:snapToGrid w:val="0"/>
              <w:spacing w:line="360" w:lineRule="atLeast"/>
              <w:ind w:firstLine="211" w:firstLineChars="100"/>
              <w:rPr>
                <w:rFonts w:hint="eastAsia" w:ascii="宋体" w:hAnsi="宋体"/>
                <w:b/>
                <w:bCs/>
                <w:szCs w:val="21"/>
                <w:highlight w:val="none"/>
              </w:rPr>
            </w:pPr>
            <w:r>
              <w:rPr>
                <w:rFonts w:hint="eastAsia" w:ascii="宋体" w:hAnsi="宋体"/>
                <w:b/>
                <w:bCs/>
                <w:szCs w:val="21"/>
                <w:highlight w:val="none"/>
              </w:rPr>
              <w:t>本项内容修改为：</w:t>
            </w:r>
          </w:p>
          <w:p w14:paraId="2226175F">
            <w:pPr>
              <w:adjustRightInd w:val="0"/>
              <w:snapToGrid w:val="0"/>
              <w:spacing w:line="360" w:lineRule="atLeast"/>
              <w:ind w:firstLine="210" w:firstLineChars="100"/>
              <w:rPr>
                <w:rFonts w:hint="eastAsia" w:ascii="宋体" w:hAnsi="宋体"/>
                <w:szCs w:val="21"/>
                <w:highlight w:val="none"/>
              </w:rPr>
            </w:pPr>
            <w:r>
              <w:rPr>
                <w:rFonts w:hint="eastAsia" w:ascii="宋体" w:hAnsi="宋体"/>
                <w:szCs w:val="21"/>
                <w:highlight w:val="none"/>
              </w:rPr>
              <w:t>“投标人基本情况表”应附以下资料的复印件：</w:t>
            </w:r>
          </w:p>
          <w:p w14:paraId="48746246">
            <w:pPr>
              <w:adjustRightInd w:val="0"/>
              <w:snapToGrid w:val="0"/>
              <w:spacing w:line="360" w:lineRule="atLeast"/>
              <w:ind w:firstLine="210" w:firstLineChars="100"/>
              <w:rPr>
                <w:rFonts w:hint="eastAsia" w:ascii="宋体" w:hAnsi="宋体"/>
                <w:szCs w:val="21"/>
                <w:highlight w:val="none"/>
              </w:rPr>
            </w:pPr>
            <w:r>
              <w:rPr>
                <w:rFonts w:hint="eastAsia" w:ascii="宋体" w:hAnsi="宋体"/>
                <w:szCs w:val="21"/>
                <w:highlight w:val="none"/>
              </w:rPr>
              <w:t>（1）企业法人营业执照（或事业单位法人证书）；</w:t>
            </w:r>
          </w:p>
          <w:p w14:paraId="4CE94B61">
            <w:pPr>
              <w:adjustRightInd w:val="0"/>
              <w:snapToGrid w:val="0"/>
              <w:spacing w:line="360" w:lineRule="atLeast"/>
              <w:ind w:firstLine="210" w:firstLineChars="1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）监理资质证书；</w:t>
            </w:r>
          </w:p>
          <w:p w14:paraId="28136A48">
            <w:pPr>
              <w:adjustRightInd w:val="0"/>
              <w:snapToGrid w:val="0"/>
              <w:spacing w:line="360" w:lineRule="atLeast"/>
              <w:ind w:firstLine="210" w:firstLineChars="1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）公路水运工程质量检测机构资质证书（单位名称可为投标人不具备独立法人资格的分支机构）；</w:t>
            </w:r>
          </w:p>
          <w:p w14:paraId="47257DF4">
            <w:pPr>
              <w:adjustRightInd w:val="0"/>
              <w:snapToGrid w:val="0"/>
              <w:spacing w:line="360" w:lineRule="atLeast"/>
              <w:ind w:firstLine="210" w:firstLineChars="1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4</w:t>
            </w:r>
            <w:r>
              <w:rPr>
                <w:rFonts w:hint="eastAsia" w:ascii="宋体" w:hAnsi="宋体"/>
                <w:szCs w:val="21"/>
                <w:highlight w:val="none"/>
              </w:rPr>
              <w:t>）投标人在交通运输部“全国公路建设市场监督管理系统”公路工程施工监理资质企业名录中的网页截图；</w:t>
            </w:r>
          </w:p>
          <w:p w14:paraId="0DCD0CF4">
            <w:pPr>
              <w:adjustRightInd w:val="0"/>
              <w:snapToGrid w:val="0"/>
              <w:spacing w:line="360" w:lineRule="atLeast"/>
              <w:ind w:firstLine="210" w:firstLineChars="1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）基本账户开户证明；</w:t>
            </w:r>
          </w:p>
          <w:p w14:paraId="2429E887">
            <w:pPr>
              <w:adjustRightInd w:val="0"/>
              <w:snapToGrid w:val="0"/>
              <w:spacing w:line="360" w:lineRule="atLeast"/>
              <w:ind w:firstLine="210" w:firstLineChars="1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6</w:t>
            </w:r>
            <w:r>
              <w:rPr>
                <w:rFonts w:hint="eastAsia" w:ascii="宋体" w:hAnsi="宋体"/>
                <w:szCs w:val="21"/>
                <w:highlight w:val="none"/>
              </w:rPr>
              <w:t>）投标人在国家企业信用信息公示系统中基础信息（体现股东及出资详细信息）的网页截图或由法定的社会验资机构出具的验资报告或注册地工商部门出具的股东出资情况证明。</w:t>
            </w:r>
          </w:p>
          <w:p w14:paraId="7655B2DF">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企业法人营业执照或事业单位法人证书、监理资质证书、质量检测机构资质证书</w:t>
            </w:r>
            <w:r>
              <w:rPr>
                <w:rFonts w:hint="eastAsia" w:ascii="宋体" w:hAnsi="宋体"/>
                <w:szCs w:val="21"/>
                <w:highlight w:val="none"/>
                <w:lang w:eastAsia="zh-CN"/>
              </w:rPr>
              <w:t>、</w:t>
            </w:r>
            <w:bookmarkStart w:id="19" w:name="_GoBack"/>
            <w:bookmarkEnd w:id="19"/>
            <w:r>
              <w:rPr>
                <w:rFonts w:hint="eastAsia" w:ascii="宋体" w:hAnsi="宋体"/>
                <w:szCs w:val="21"/>
                <w:highlight w:val="none"/>
              </w:rPr>
              <w:t>基本账户开户证明的复印件应提供全本（证书封面、封底、空白页除外），应包括投标人名称、投标人其他相关信息、颁发机构名称、投标人信息变更情况等关键页在内，并逐页加盖投标人单位章。</w:t>
            </w:r>
          </w:p>
        </w:tc>
      </w:tr>
      <w:tr w14:paraId="1D18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75B5CF78">
            <w:pPr>
              <w:adjustRightInd w:val="0"/>
              <w:snapToGrid w:val="0"/>
              <w:jc w:val="center"/>
              <w:rPr>
                <w:rFonts w:ascii="宋体" w:hAnsi="宋体"/>
                <w:szCs w:val="21"/>
                <w:highlight w:val="none"/>
              </w:rPr>
            </w:pPr>
            <w:r>
              <w:rPr>
                <w:rFonts w:hint="eastAsia" w:ascii="宋体" w:hAnsi="宋体"/>
                <w:szCs w:val="21"/>
                <w:highlight w:val="none"/>
              </w:rPr>
              <w:t>3.5.2</w:t>
            </w:r>
          </w:p>
        </w:tc>
        <w:tc>
          <w:tcPr>
            <w:tcW w:w="1801" w:type="dxa"/>
            <w:vAlign w:val="center"/>
          </w:tcPr>
          <w:p w14:paraId="6379C511">
            <w:pPr>
              <w:adjustRightInd w:val="0"/>
              <w:snapToGrid w:val="0"/>
              <w:jc w:val="center"/>
              <w:rPr>
                <w:rFonts w:ascii="宋体" w:hAnsi="宋体"/>
                <w:szCs w:val="21"/>
                <w:highlight w:val="none"/>
              </w:rPr>
            </w:pPr>
            <w:r>
              <w:rPr>
                <w:rFonts w:hint="eastAsia" w:ascii="宋体" w:hAnsi="宋体"/>
                <w:szCs w:val="21"/>
                <w:highlight w:val="none"/>
              </w:rPr>
              <w:t>近年完成的</w:t>
            </w:r>
            <w:r>
              <w:rPr>
                <w:rFonts w:ascii="宋体" w:hAnsi="宋体"/>
                <w:szCs w:val="21"/>
                <w:highlight w:val="none"/>
              </w:rPr>
              <w:br w:type="textWrapping"/>
            </w:r>
            <w:r>
              <w:rPr>
                <w:rFonts w:hint="eastAsia" w:ascii="宋体" w:hAnsi="宋体"/>
                <w:szCs w:val="21"/>
                <w:highlight w:val="none"/>
              </w:rPr>
              <w:t>类似项目情况的</w:t>
            </w:r>
            <w:r>
              <w:rPr>
                <w:rFonts w:ascii="宋体" w:hAnsi="宋体"/>
                <w:szCs w:val="21"/>
                <w:highlight w:val="none"/>
              </w:rPr>
              <w:br w:type="textWrapping"/>
            </w:r>
            <w:r>
              <w:rPr>
                <w:rFonts w:hint="eastAsia" w:ascii="宋体" w:hAnsi="宋体"/>
                <w:szCs w:val="21"/>
                <w:highlight w:val="none"/>
              </w:rPr>
              <w:t>时间要求</w:t>
            </w:r>
          </w:p>
        </w:tc>
        <w:tc>
          <w:tcPr>
            <w:tcW w:w="7094" w:type="dxa"/>
            <w:vAlign w:val="center"/>
          </w:tcPr>
          <w:p w14:paraId="6911CB9F">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“近年完成的类似项目”具体时间要求为202</w:t>
            </w:r>
            <w:r>
              <w:rPr>
                <w:rFonts w:hint="eastAsia" w:ascii="宋体" w:hAnsi="宋体"/>
                <w:szCs w:val="21"/>
                <w:highlight w:val="none"/>
                <w:lang w:val="en-US" w:eastAsia="zh-CN"/>
              </w:rPr>
              <w:t>1</w:t>
            </w:r>
            <w:r>
              <w:rPr>
                <w:rFonts w:hint="eastAsia" w:ascii="宋体" w:hAnsi="宋体"/>
                <w:szCs w:val="21"/>
                <w:highlight w:val="none"/>
              </w:rPr>
              <w:t>年1月1日至投标截止时间〔两阶段验收工程以交工时间为准，一阶段验收工程以交（竣）工时间为准〕。</w:t>
            </w:r>
          </w:p>
        </w:tc>
      </w:tr>
      <w:tr w14:paraId="560D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202ED942">
            <w:pPr>
              <w:adjustRightInd w:val="0"/>
              <w:snapToGrid w:val="0"/>
              <w:jc w:val="center"/>
              <w:rPr>
                <w:rFonts w:ascii="宋体" w:hAnsi="宋体"/>
                <w:szCs w:val="21"/>
                <w:highlight w:val="none"/>
              </w:rPr>
            </w:pPr>
            <w:r>
              <w:rPr>
                <w:rFonts w:hint="eastAsia" w:ascii="宋体" w:hAnsi="宋体"/>
                <w:color w:val="000000"/>
                <w:szCs w:val="21"/>
                <w:highlight w:val="none"/>
              </w:rPr>
              <w:t>3.5.3</w:t>
            </w:r>
          </w:p>
        </w:tc>
        <w:tc>
          <w:tcPr>
            <w:tcW w:w="1801" w:type="dxa"/>
            <w:vAlign w:val="center"/>
          </w:tcPr>
          <w:p w14:paraId="120B6102">
            <w:pPr>
              <w:snapToGrid w:val="0"/>
              <w:jc w:val="center"/>
              <w:rPr>
                <w:rFonts w:ascii="宋体" w:hAnsi="宋体"/>
                <w:szCs w:val="21"/>
                <w:highlight w:val="none"/>
              </w:rPr>
            </w:pPr>
            <w:r>
              <w:rPr>
                <w:rFonts w:hint="eastAsia" w:ascii="宋体" w:hAnsi="宋体"/>
                <w:szCs w:val="21"/>
                <w:highlight w:val="none"/>
              </w:rPr>
              <w:t>投标人</w:t>
            </w:r>
          </w:p>
          <w:p w14:paraId="1AF84257">
            <w:pPr>
              <w:adjustRightInd w:val="0"/>
              <w:snapToGrid w:val="0"/>
              <w:jc w:val="center"/>
              <w:rPr>
                <w:rFonts w:ascii="宋体" w:hAnsi="宋体"/>
                <w:szCs w:val="21"/>
                <w:highlight w:val="none"/>
              </w:rPr>
            </w:pPr>
            <w:r>
              <w:rPr>
                <w:rFonts w:hint="eastAsia" w:ascii="宋体" w:hAnsi="宋体"/>
                <w:szCs w:val="21"/>
                <w:highlight w:val="none"/>
              </w:rPr>
              <w:t>的信誉情况表</w:t>
            </w:r>
          </w:p>
        </w:tc>
        <w:tc>
          <w:tcPr>
            <w:tcW w:w="7094" w:type="dxa"/>
            <w:vAlign w:val="center"/>
          </w:tcPr>
          <w:p w14:paraId="5B23943A">
            <w:pPr>
              <w:adjustRightInd w:val="0"/>
              <w:snapToGrid w:val="0"/>
              <w:spacing w:line="360" w:lineRule="atLeast"/>
              <w:ind w:firstLine="211" w:firstLineChars="100"/>
              <w:rPr>
                <w:rFonts w:hint="eastAsia" w:ascii="宋体" w:hAnsi="宋体"/>
                <w:b/>
                <w:bCs/>
                <w:highlight w:val="none"/>
              </w:rPr>
            </w:pPr>
            <w:r>
              <w:rPr>
                <w:rFonts w:hint="eastAsia" w:ascii="宋体" w:hAnsi="宋体"/>
                <w:b/>
                <w:bCs/>
                <w:highlight w:val="none"/>
              </w:rPr>
              <w:t>本项内容修改为：</w:t>
            </w:r>
          </w:p>
          <w:p w14:paraId="19D8E068">
            <w:pPr>
              <w:adjustRightInd w:val="0"/>
              <w:snapToGrid w:val="0"/>
              <w:spacing w:line="360" w:lineRule="atLeast"/>
              <w:ind w:firstLine="210" w:firstLineChars="100"/>
              <w:rPr>
                <w:rFonts w:hint="eastAsia" w:ascii="宋体" w:hAnsi="宋体"/>
                <w:highlight w:val="none"/>
              </w:rPr>
            </w:pPr>
            <w:r>
              <w:rPr>
                <w:rFonts w:hint="eastAsia" w:ascii="宋体" w:hAnsi="宋体"/>
                <w:highlight w:val="none"/>
              </w:rPr>
              <w:t>“投标人的信誉情况表”后应附以下资料的复印件：</w:t>
            </w:r>
          </w:p>
          <w:p w14:paraId="31F22952">
            <w:pPr>
              <w:adjustRightInd w:val="0"/>
              <w:snapToGrid w:val="0"/>
              <w:spacing w:line="360" w:lineRule="atLeast"/>
              <w:ind w:firstLine="210" w:firstLineChars="100"/>
              <w:rPr>
                <w:rFonts w:hint="eastAsia" w:ascii="宋体" w:hAnsi="宋体"/>
                <w:highlight w:val="none"/>
              </w:rPr>
            </w:pPr>
            <w:r>
              <w:rPr>
                <w:rFonts w:hint="eastAsia" w:ascii="宋体" w:hAnsi="宋体"/>
                <w:highlight w:val="none"/>
              </w:rPr>
              <w:t>（1）投标人在国家企业信用信息公示系统中未被列入严重违法失信企业名单的网页截图；</w:t>
            </w:r>
          </w:p>
          <w:p w14:paraId="6E667D03">
            <w:pPr>
              <w:adjustRightInd w:val="0"/>
              <w:snapToGrid w:val="0"/>
              <w:spacing w:line="360" w:lineRule="atLeast"/>
              <w:ind w:firstLine="210" w:firstLineChars="100"/>
              <w:rPr>
                <w:rFonts w:hint="eastAsia" w:ascii="宋体" w:hAnsi="宋体"/>
                <w:highlight w:val="none"/>
              </w:rPr>
            </w:pPr>
            <w:r>
              <w:rPr>
                <w:rFonts w:hint="eastAsia" w:ascii="宋体" w:hAnsi="宋体"/>
                <w:highlight w:val="none"/>
              </w:rPr>
              <w:t>（2）投标人在“信用中国” 网站中未被列入失信被执行人的网页截图；</w:t>
            </w:r>
          </w:p>
          <w:p w14:paraId="18E494B7">
            <w:pPr>
              <w:adjustRightInd w:val="0"/>
              <w:snapToGrid w:val="0"/>
              <w:spacing w:line="360" w:lineRule="atLeast"/>
              <w:ind w:firstLine="210" w:firstLineChars="100"/>
              <w:rPr>
                <w:rFonts w:hint="eastAsia" w:ascii="宋体" w:hAnsi="宋体"/>
                <w:highlight w:val="none"/>
              </w:rPr>
            </w:pPr>
            <w:r>
              <w:rPr>
                <w:rFonts w:hint="eastAsia" w:ascii="宋体" w:hAnsi="宋体"/>
                <w:highlight w:val="none"/>
              </w:rPr>
              <w:t>（3）由投标人出具的近三年内投标人及其法定代表人、拟委任的总监理工程师均无行贿犯罪行为的书面承诺（格式自拟，加盖投标人单位章）；</w:t>
            </w:r>
          </w:p>
          <w:p w14:paraId="4E905B1E">
            <w:pPr>
              <w:adjustRightInd w:val="0"/>
              <w:snapToGrid w:val="0"/>
              <w:spacing w:line="360" w:lineRule="atLeast"/>
              <w:ind w:firstLine="210" w:firstLineChars="100"/>
              <w:rPr>
                <w:rFonts w:ascii="宋体" w:hAnsi="宋体"/>
                <w:highlight w:val="none"/>
              </w:rPr>
            </w:pPr>
            <w:r>
              <w:rPr>
                <w:rFonts w:hint="eastAsia" w:ascii="宋体" w:hAnsi="宋体"/>
                <w:highlight w:val="none"/>
              </w:rPr>
              <w:t>（4）评标办法中要求的信用评价（如有）。若投标人无评标办法中要求的 信用评价，投标人应附在“全国公路建设市场监督管理系统/不良行为记录”中的查询结果。</w:t>
            </w:r>
          </w:p>
        </w:tc>
      </w:tr>
      <w:tr w14:paraId="6E49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122CCD16">
            <w:pPr>
              <w:adjustRightInd w:val="0"/>
              <w:snapToGrid w:val="0"/>
              <w:jc w:val="center"/>
              <w:rPr>
                <w:rFonts w:ascii="宋体" w:hAnsi="宋体"/>
                <w:szCs w:val="21"/>
                <w:highlight w:val="none"/>
              </w:rPr>
            </w:pPr>
            <w:r>
              <w:rPr>
                <w:rFonts w:hint="eastAsia" w:ascii="宋体" w:hAnsi="宋体"/>
                <w:szCs w:val="21"/>
                <w:highlight w:val="none"/>
              </w:rPr>
              <w:t>3.5.4</w:t>
            </w:r>
          </w:p>
        </w:tc>
        <w:tc>
          <w:tcPr>
            <w:tcW w:w="1801" w:type="dxa"/>
            <w:vAlign w:val="center"/>
          </w:tcPr>
          <w:p w14:paraId="1B20164A">
            <w:pPr>
              <w:adjustRightInd w:val="0"/>
              <w:snapToGrid w:val="0"/>
              <w:jc w:val="center"/>
              <w:rPr>
                <w:rFonts w:ascii="宋体" w:hAnsi="宋体"/>
                <w:szCs w:val="21"/>
                <w:highlight w:val="none"/>
              </w:rPr>
            </w:pPr>
            <w:r>
              <w:rPr>
                <w:rFonts w:hint="eastAsia" w:ascii="宋体" w:hAnsi="宋体"/>
                <w:szCs w:val="21"/>
                <w:highlight w:val="none"/>
              </w:rPr>
              <w:t>拟委任的总监理工程师或驻地监理工程师资历表</w:t>
            </w:r>
          </w:p>
        </w:tc>
        <w:tc>
          <w:tcPr>
            <w:tcW w:w="7094" w:type="dxa"/>
            <w:vAlign w:val="center"/>
          </w:tcPr>
          <w:p w14:paraId="611AC64B">
            <w:pPr>
              <w:adjustRightInd w:val="0"/>
              <w:snapToGrid w:val="0"/>
              <w:spacing w:line="360" w:lineRule="auto"/>
              <w:ind w:firstLine="211" w:firstLineChars="100"/>
              <w:jc w:val="both"/>
              <w:rPr>
                <w:rFonts w:hint="eastAsia" w:ascii="宋体" w:hAnsi="宋体"/>
                <w:b/>
                <w:bCs/>
                <w:szCs w:val="21"/>
                <w:highlight w:val="none"/>
              </w:rPr>
            </w:pPr>
            <w:r>
              <w:rPr>
                <w:rFonts w:hint="eastAsia" w:ascii="宋体" w:hAnsi="宋体"/>
                <w:b/>
                <w:bCs/>
                <w:szCs w:val="21"/>
                <w:highlight w:val="none"/>
              </w:rPr>
              <w:t>本项内容修改为：</w:t>
            </w:r>
          </w:p>
          <w:p w14:paraId="6AF47A19">
            <w:pPr>
              <w:adjustRightInd w:val="0"/>
              <w:snapToGrid w:val="0"/>
              <w:spacing w:line="360" w:lineRule="auto"/>
              <w:ind w:firstLine="210" w:firstLineChars="100"/>
              <w:jc w:val="both"/>
              <w:rPr>
                <w:rFonts w:hint="eastAsia" w:ascii="宋体" w:hAnsi="宋体"/>
                <w:szCs w:val="21"/>
                <w:highlight w:val="none"/>
              </w:rPr>
            </w:pPr>
            <w:r>
              <w:rPr>
                <w:rFonts w:hint="eastAsia" w:ascii="宋体" w:hAnsi="宋体"/>
                <w:szCs w:val="21"/>
                <w:highlight w:val="none"/>
              </w:rPr>
              <w:t>“拟委任的总监理工程师或驻地监理工程师资历表”应附总监理工程师的以下资料：</w:t>
            </w:r>
          </w:p>
          <w:p w14:paraId="46179359">
            <w:pPr>
              <w:adjustRightInd w:val="0"/>
              <w:snapToGrid w:val="0"/>
              <w:spacing w:line="360" w:lineRule="auto"/>
              <w:ind w:firstLine="210" w:firstLineChars="100"/>
              <w:jc w:val="both"/>
              <w:rPr>
                <w:rFonts w:hint="eastAsia" w:ascii="宋体" w:hAnsi="宋体"/>
                <w:szCs w:val="21"/>
                <w:highlight w:val="none"/>
              </w:rPr>
            </w:pPr>
            <w:r>
              <w:rPr>
                <w:rFonts w:hint="eastAsia" w:ascii="宋体" w:hAnsi="宋体"/>
                <w:szCs w:val="21"/>
                <w:highlight w:val="none"/>
              </w:rPr>
              <w:t>（1）身份证、职称资格证书（如职称资格证书上无专业时，应提供毕业证书复印件）以及资格审查条件所要求的其他相关证书（如公路工程监理工程师证书等）的复印件；</w:t>
            </w:r>
          </w:p>
          <w:p w14:paraId="07CDEA70">
            <w:pPr>
              <w:adjustRightInd w:val="0"/>
              <w:snapToGrid w:val="0"/>
              <w:spacing w:line="360" w:lineRule="auto"/>
              <w:ind w:firstLine="210" w:firstLineChars="100"/>
              <w:jc w:val="both"/>
              <w:rPr>
                <w:rFonts w:hint="eastAsia" w:ascii="宋体" w:hAnsi="宋体"/>
                <w:szCs w:val="21"/>
                <w:highlight w:val="none"/>
              </w:rPr>
            </w:pPr>
            <w:r>
              <w:rPr>
                <w:rFonts w:hint="eastAsia" w:ascii="宋体" w:hAnsi="宋体"/>
                <w:szCs w:val="21"/>
                <w:highlight w:val="none"/>
              </w:rPr>
              <w:t>（2）投标人社保系统打印的本单位人员缴费明细复印件，社保缴费截止时间为 202</w:t>
            </w:r>
            <w:r>
              <w:rPr>
                <w:rFonts w:hint="eastAsia" w:ascii="宋体" w:hAnsi="宋体"/>
                <w:szCs w:val="21"/>
                <w:highlight w:val="none"/>
                <w:lang w:val="en-US" w:eastAsia="zh-CN"/>
              </w:rPr>
              <w:t>6</w:t>
            </w:r>
            <w:r>
              <w:rPr>
                <w:rFonts w:hint="eastAsia" w:ascii="宋体" w:hAnsi="宋体"/>
                <w:szCs w:val="21"/>
                <w:highlight w:val="none"/>
              </w:rPr>
              <w:t xml:space="preserve"> 年 1 月 1 日以后,分公司缴纳的社会保险可以予以认可，上级公司、子公司、人力资源服务机构等其他单位缴纳或个人缴纳社会保险均不予认可）。如果投标人属事业法人单位，则应由投标人的上级行政主管部门出具拟委任的总监理工程师是投标人单位在职职工的有效书面证明材料。退休人员不予认可</w:t>
            </w:r>
          </w:p>
          <w:p w14:paraId="798DF470">
            <w:pPr>
              <w:adjustRightInd w:val="0"/>
              <w:snapToGrid w:val="0"/>
              <w:spacing w:line="360" w:lineRule="auto"/>
              <w:ind w:firstLine="210" w:firstLineChars="100"/>
              <w:jc w:val="both"/>
              <w:rPr>
                <w:rFonts w:hint="eastAsia" w:ascii="宋体" w:hAnsi="宋体"/>
                <w:szCs w:val="21"/>
                <w:highlight w:val="none"/>
              </w:rPr>
            </w:pPr>
            <w:r>
              <w:rPr>
                <w:rFonts w:hint="eastAsia" w:ascii="宋体" w:hAnsi="宋体"/>
                <w:szCs w:val="21"/>
                <w:highlight w:val="none"/>
              </w:rPr>
              <w:t>（3）如总监理工程师目前仍在其他项目上任职，则投标人应提供上述人员能够从该项目撤离的书面承诺并加盖投标人单位章（格式自拟）；</w:t>
            </w:r>
          </w:p>
          <w:p w14:paraId="39ABBCBA">
            <w:pPr>
              <w:adjustRightInd w:val="0"/>
              <w:snapToGrid w:val="0"/>
              <w:spacing w:line="360" w:lineRule="auto"/>
              <w:ind w:firstLine="210" w:firstLineChars="100"/>
              <w:jc w:val="both"/>
              <w:rPr>
                <w:rFonts w:ascii="宋体" w:hAnsi="宋体"/>
                <w:szCs w:val="21"/>
                <w:highlight w:val="none"/>
              </w:rPr>
            </w:pPr>
            <w:r>
              <w:rPr>
                <w:rFonts w:hint="eastAsia" w:ascii="宋体" w:hAnsi="宋体"/>
                <w:szCs w:val="21"/>
                <w:highlight w:val="none"/>
              </w:rPr>
              <w:t>（4）总监理工程师如有相关任职业绩，还应附交通运输部“全国公路建设市场监督管理系统”中载明的、能够证明总监理工程师具有相关业绩的网页截图复印件。在交通运输部“全国公路建设市场监督管理系统”中无法查询，但可在省级交通运输主管部门“公路建设市场信用信息管理系统”中查询的，应附省级交通运输主管部门“公路建设市场信用信息管理系统”中查询到的网页截图复印件并注明查询路径。除网页截图复印件外，投标人无须再提供任何业绩证明材料。如投标人填报任职业绩证明材料不符合上述要求，或任职业绩无相应证明材料，或所提供的证明材料中不能查找出满足“第三章 评标办法（综合评估法）”的评分标准所要求的数据，则该任职业绩不予认定。</w:t>
            </w:r>
          </w:p>
        </w:tc>
      </w:tr>
      <w:tr w14:paraId="4531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1303F31C">
            <w:pPr>
              <w:adjustRightInd w:val="0"/>
              <w:snapToGrid w:val="0"/>
              <w:jc w:val="center"/>
              <w:rPr>
                <w:rFonts w:ascii="宋体" w:hAnsi="宋体"/>
                <w:szCs w:val="21"/>
                <w:highlight w:val="none"/>
              </w:rPr>
            </w:pPr>
            <w:r>
              <w:rPr>
                <w:rFonts w:hint="eastAsia" w:ascii="宋体" w:hAnsi="宋体"/>
                <w:szCs w:val="21"/>
                <w:highlight w:val="none"/>
              </w:rPr>
              <w:t>3.6.1</w:t>
            </w:r>
          </w:p>
        </w:tc>
        <w:tc>
          <w:tcPr>
            <w:tcW w:w="1801" w:type="dxa"/>
            <w:vAlign w:val="center"/>
          </w:tcPr>
          <w:p w14:paraId="2D3740D8">
            <w:pPr>
              <w:adjustRightInd w:val="0"/>
              <w:snapToGrid w:val="0"/>
              <w:jc w:val="center"/>
              <w:rPr>
                <w:rFonts w:ascii="宋体" w:hAnsi="宋体"/>
                <w:szCs w:val="21"/>
                <w:highlight w:val="none"/>
              </w:rPr>
            </w:pPr>
            <w:r>
              <w:rPr>
                <w:rFonts w:hint="eastAsia" w:ascii="宋体" w:hAnsi="宋体"/>
                <w:szCs w:val="21"/>
                <w:highlight w:val="none"/>
              </w:rPr>
              <w:t>是否允许递交备选投标方案</w:t>
            </w:r>
          </w:p>
        </w:tc>
        <w:tc>
          <w:tcPr>
            <w:tcW w:w="7094" w:type="dxa"/>
            <w:vAlign w:val="center"/>
          </w:tcPr>
          <w:p w14:paraId="42A4A96E">
            <w:pPr>
              <w:adjustRightInd w:val="0"/>
              <w:snapToGrid w:val="0"/>
              <w:spacing w:line="360" w:lineRule="atLeast"/>
              <w:ind w:firstLine="210" w:firstLineChars="100"/>
              <w:rPr>
                <w:rFonts w:ascii="宋体" w:hAnsi="宋体"/>
                <w:szCs w:val="21"/>
                <w:highlight w:val="none"/>
                <w:u w:val="single"/>
              </w:rPr>
            </w:pPr>
            <w:bookmarkStart w:id="12" w:name="EB33b3ea134e374763b3fca09866079ccb"/>
            <w:r>
              <w:rPr>
                <w:rFonts w:hint="eastAsia" w:ascii="宋体" w:hAnsi="宋体"/>
                <w:szCs w:val="21"/>
                <w:highlight w:val="none"/>
              </w:rPr>
              <w:t>不允许</w:t>
            </w:r>
            <w:bookmarkEnd w:id="12"/>
          </w:p>
        </w:tc>
      </w:tr>
      <w:tr w14:paraId="2411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5C469050">
            <w:pPr>
              <w:adjustRightInd w:val="0"/>
              <w:snapToGrid w:val="0"/>
              <w:jc w:val="center"/>
              <w:rPr>
                <w:rFonts w:ascii="宋体" w:hAnsi="宋体"/>
                <w:szCs w:val="21"/>
                <w:highlight w:val="none"/>
              </w:rPr>
            </w:pPr>
            <w:r>
              <w:rPr>
                <w:rFonts w:hint="eastAsia" w:ascii="宋体" w:hAnsi="宋体"/>
                <w:szCs w:val="21"/>
                <w:highlight w:val="none"/>
              </w:rPr>
              <w:t>3.7.3</w:t>
            </w:r>
          </w:p>
        </w:tc>
        <w:tc>
          <w:tcPr>
            <w:tcW w:w="1801" w:type="dxa"/>
            <w:vAlign w:val="center"/>
          </w:tcPr>
          <w:p w14:paraId="02642E23">
            <w:pPr>
              <w:autoSpaceDE w:val="0"/>
              <w:autoSpaceDN w:val="0"/>
              <w:adjustRightInd w:val="0"/>
              <w:snapToGrid w:val="0"/>
              <w:jc w:val="center"/>
              <w:rPr>
                <w:rFonts w:ascii="宋体" w:hAnsi="宋体"/>
                <w:szCs w:val="21"/>
                <w:highlight w:val="none"/>
              </w:rPr>
            </w:pPr>
            <w:r>
              <w:rPr>
                <w:rFonts w:hint="eastAsia" w:ascii="宋体" w:hAnsi="宋体"/>
                <w:szCs w:val="21"/>
                <w:highlight w:val="none"/>
              </w:rPr>
              <w:t>投标文件的制作应满足规定</w:t>
            </w:r>
          </w:p>
        </w:tc>
        <w:tc>
          <w:tcPr>
            <w:tcW w:w="7094" w:type="dxa"/>
            <w:vAlign w:val="center"/>
          </w:tcPr>
          <w:p w14:paraId="45FB814E">
            <w:pPr>
              <w:adjustRightInd w:val="0"/>
              <w:snapToGrid w:val="0"/>
              <w:spacing w:line="360" w:lineRule="atLeast"/>
              <w:ind w:firstLine="211" w:firstLineChars="100"/>
              <w:rPr>
                <w:rFonts w:ascii="黑体" w:hAnsi="黑体" w:eastAsia="黑体"/>
                <w:b/>
                <w:bCs/>
                <w:szCs w:val="21"/>
                <w:highlight w:val="none"/>
              </w:rPr>
            </w:pPr>
            <w:r>
              <w:rPr>
                <w:rFonts w:hint="eastAsia" w:ascii="黑体" w:hAnsi="黑体" w:eastAsia="黑体"/>
                <w:b/>
                <w:bCs/>
                <w:szCs w:val="21"/>
                <w:highlight w:val="none"/>
              </w:rPr>
              <w:t>本项内容修改为：</w:t>
            </w:r>
          </w:p>
          <w:p w14:paraId="6386B10C">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3.7.3投标文件的制作应满足以下规定：</w:t>
            </w:r>
          </w:p>
          <w:p w14:paraId="0D8448A7">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（1）投标文件由投标人使用“电子交易平台”自带的“新点投标文件制作软件（吉林省一体化）”制作生成。</w:t>
            </w:r>
          </w:p>
          <w:p w14:paraId="0161396F">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（2）投标文件中证明资料的“复印件”均为“原件的扫描件”。</w:t>
            </w:r>
          </w:p>
          <w:p w14:paraId="367234F5">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3）除特殊说明外，第七章“投标文件格式”中明确要求盖单位章和（或）签字的地方，投标人均应使用CA数字证书加盖投标人的单位电子印章和（或）法定代表人的个人电子印章或电子签名章。联合体投标的，投标文件由联合体牵头人按上述规定加盖联合体牵头人单位电子印章和（或）法定代表人的个人电子印章或电子签名章。除第七章“投标文件格式”中明确要求联合体其他成员盖单位章和（或）签字的地方外，联合体其他成员无须使用CA数字证书加盖本单位电子印章和（或）法定代表人的个人电子印章或电子签名章。</w:t>
            </w:r>
          </w:p>
          <w:p w14:paraId="258920CA">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4）除第七章“投标文件格式”中明确要求盖单位章和（或）签字的地方外，投标人的其他电子签章（如有）宜尽量加盖在页面角落等不影响（遮盖）投标文件实质性内容的位置。因投标人电子签章影响（遮盖）投标文件实质性内容而导致的任何后果将由投标人自行承担。</w:t>
            </w:r>
          </w:p>
          <w:p w14:paraId="129C8677">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（5）投标文件制作完成后，投标人应使用CA数字证书对投标文件进行文件加密，形成加密的投标文件。</w:t>
            </w:r>
          </w:p>
          <w:p w14:paraId="11E9A18E">
            <w:pPr>
              <w:autoSpaceDE w:val="0"/>
              <w:autoSpaceDN w:val="0"/>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（6）投标文件制作的具体方法详见“投标文件制作工具”中的帮助文档。</w:t>
            </w:r>
          </w:p>
          <w:p w14:paraId="44E95DCC">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（7）CA数字证书具备法律效力，并不属于《公路工程标准施工监理招标文件》（2018年版）中所禁止的电子制版印章、签名章或签名。</w:t>
            </w:r>
          </w:p>
        </w:tc>
      </w:tr>
      <w:tr w14:paraId="5CAD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426B95ED">
            <w:pPr>
              <w:adjustRightInd w:val="0"/>
              <w:snapToGrid w:val="0"/>
              <w:jc w:val="center"/>
              <w:rPr>
                <w:rFonts w:ascii="宋体" w:hAnsi="宋体"/>
                <w:szCs w:val="21"/>
                <w:highlight w:val="none"/>
              </w:rPr>
            </w:pPr>
            <w:r>
              <w:rPr>
                <w:rFonts w:hint="eastAsia" w:ascii="宋体" w:hAnsi="宋体"/>
                <w:szCs w:val="21"/>
                <w:highlight w:val="none"/>
              </w:rPr>
              <w:t>4.2.3</w:t>
            </w:r>
          </w:p>
        </w:tc>
        <w:tc>
          <w:tcPr>
            <w:tcW w:w="1801" w:type="dxa"/>
            <w:vAlign w:val="center"/>
          </w:tcPr>
          <w:p w14:paraId="65A5F2B5">
            <w:pPr>
              <w:adjustRightInd w:val="0"/>
              <w:snapToGrid w:val="0"/>
              <w:jc w:val="center"/>
              <w:rPr>
                <w:rFonts w:ascii="宋体" w:hAnsi="宋体"/>
                <w:szCs w:val="21"/>
                <w:highlight w:val="none"/>
              </w:rPr>
            </w:pPr>
            <w:r>
              <w:rPr>
                <w:rFonts w:hint="eastAsia" w:ascii="宋体" w:hAnsi="宋体"/>
                <w:szCs w:val="21"/>
                <w:highlight w:val="none"/>
              </w:rPr>
              <w:t>延后投标截止时间</w:t>
            </w:r>
          </w:p>
        </w:tc>
        <w:tc>
          <w:tcPr>
            <w:tcW w:w="7094" w:type="dxa"/>
            <w:vAlign w:val="center"/>
          </w:tcPr>
          <w:p w14:paraId="100BDE81">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4.2.3 在特殊情况下，招标人如果决定延后投标截止时间，应在原定投标截止时间3天前，在电子交易系统以书面形式通知所有投标人延后投标截止时间。在此情况下，招标人和投标人的权利和义务相应延后至新的投标截止时间</w:t>
            </w:r>
          </w:p>
        </w:tc>
      </w:tr>
      <w:tr w14:paraId="4382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4F27A7D8">
            <w:pPr>
              <w:adjustRightInd w:val="0"/>
              <w:snapToGrid w:val="0"/>
              <w:jc w:val="center"/>
              <w:rPr>
                <w:rFonts w:ascii="宋体" w:hAnsi="宋体"/>
                <w:szCs w:val="21"/>
                <w:highlight w:val="none"/>
              </w:rPr>
            </w:pPr>
            <w:r>
              <w:rPr>
                <w:rFonts w:hint="eastAsia" w:ascii="宋体" w:hAnsi="宋体"/>
                <w:szCs w:val="21"/>
                <w:highlight w:val="none"/>
              </w:rPr>
              <w:t>5.1</w:t>
            </w:r>
          </w:p>
        </w:tc>
        <w:tc>
          <w:tcPr>
            <w:tcW w:w="1801" w:type="dxa"/>
            <w:vAlign w:val="center"/>
          </w:tcPr>
          <w:p w14:paraId="6DEB9F1B">
            <w:pPr>
              <w:adjustRightInd w:val="0"/>
              <w:snapToGrid w:val="0"/>
              <w:jc w:val="center"/>
              <w:rPr>
                <w:rFonts w:ascii="宋体" w:hAnsi="宋体"/>
                <w:szCs w:val="21"/>
                <w:highlight w:val="none"/>
              </w:rPr>
            </w:pPr>
            <w:r>
              <w:rPr>
                <w:rFonts w:hint="eastAsia" w:ascii="宋体" w:hAnsi="宋体"/>
                <w:szCs w:val="21"/>
                <w:highlight w:val="none"/>
              </w:rPr>
              <w:t>开标时间和地点</w:t>
            </w:r>
          </w:p>
        </w:tc>
        <w:tc>
          <w:tcPr>
            <w:tcW w:w="7094" w:type="dxa"/>
            <w:vAlign w:val="center"/>
          </w:tcPr>
          <w:p w14:paraId="1B5D0783">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投标文件第一个信封（商务及技术文件）开标时间：同投标截止时间</w:t>
            </w:r>
          </w:p>
          <w:p w14:paraId="29A09041">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投标文件第一个信封（商务及技术文件）开标地点：见招标公告</w:t>
            </w:r>
          </w:p>
          <w:p w14:paraId="6D70E115">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 xml:space="preserve">投标文件第二个信封（报价文件）开标时间：见招标公告 </w:t>
            </w:r>
          </w:p>
          <w:p w14:paraId="7D913E40">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投标文件第二个信封（报价文件）开标地点：见招标公告</w:t>
            </w:r>
          </w:p>
        </w:tc>
      </w:tr>
      <w:tr w14:paraId="6303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5198251A">
            <w:pPr>
              <w:adjustRightInd w:val="0"/>
              <w:snapToGrid w:val="0"/>
              <w:jc w:val="center"/>
              <w:rPr>
                <w:rFonts w:ascii="宋体" w:hAnsi="宋体"/>
                <w:szCs w:val="21"/>
                <w:highlight w:val="none"/>
              </w:rPr>
            </w:pPr>
            <w:r>
              <w:rPr>
                <w:rFonts w:hint="eastAsia" w:ascii="宋体" w:hAnsi="宋体"/>
                <w:szCs w:val="21"/>
                <w:highlight w:val="none"/>
              </w:rPr>
              <w:t>5.2.1</w:t>
            </w:r>
          </w:p>
        </w:tc>
        <w:tc>
          <w:tcPr>
            <w:tcW w:w="1801" w:type="dxa"/>
            <w:vAlign w:val="center"/>
          </w:tcPr>
          <w:p w14:paraId="163605AE">
            <w:pPr>
              <w:adjustRightInd w:val="0"/>
              <w:snapToGrid w:val="0"/>
              <w:jc w:val="center"/>
              <w:rPr>
                <w:rFonts w:ascii="宋体" w:hAnsi="宋体"/>
                <w:szCs w:val="21"/>
                <w:highlight w:val="none"/>
              </w:rPr>
            </w:pPr>
            <w:r>
              <w:rPr>
                <w:rFonts w:hint="eastAsia" w:ascii="宋体" w:hAnsi="宋体"/>
                <w:szCs w:val="21"/>
                <w:highlight w:val="none"/>
              </w:rPr>
              <w:t>第一个信封（商务及技术文件）开标程序</w:t>
            </w:r>
          </w:p>
        </w:tc>
        <w:tc>
          <w:tcPr>
            <w:tcW w:w="7094" w:type="dxa"/>
            <w:vAlign w:val="center"/>
          </w:tcPr>
          <w:p w14:paraId="6B238956">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本项第（6）目修改为：</w:t>
            </w:r>
          </w:p>
          <w:p w14:paraId="6AEF5D65">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（6）招标人对因投标人原因未成功解密的投标文件进行退回；</w:t>
            </w:r>
          </w:p>
        </w:tc>
      </w:tr>
      <w:tr w14:paraId="450D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7FECE189">
            <w:pPr>
              <w:adjustRightInd w:val="0"/>
              <w:snapToGrid w:val="0"/>
              <w:jc w:val="center"/>
              <w:rPr>
                <w:rFonts w:ascii="宋体" w:hAnsi="宋体"/>
                <w:szCs w:val="21"/>
                <w:highlight w:val="none"/>
              </w:rPr>
            </w:pPr>
            <w:r>
              <w:rPr>
                <w:rFonts w:hint="eastAsia" w:ascii="宋体" w:hAnsi="宋体"/>
                <w:szCs w:val="21"/>
                <w:highlight w:val="none"/>
              </w:rPr>
              <w:t>5.2.3</w:t>
            </w:r>
          </w:p>
        </w:tc>
        <w:tc>
          <w:tcPr>
            <w:tcW w:w="1801" w:type="dxa"/>
            <w:vAlign w:val="center"/>
          </w:tcPr>
          <w:p w14:paraId="6C429DBC">
            <w:pPr>
              <w:adjustRightInd w:val="0"/>
              <w:snapToGrid w:val="0"/>
              <w:jc w:val="center"/>
              <w:rPr>
                <w:rFonts w:ascii="宋体" w:hAnsi="宋体"/>
                <w:szCs w:val="21"/>
                <w:highlight w:val="none"/>
              </w:rPr>
            </w:pPr>
            <w:r>
              <w:rPr>
                <w:rFonts w:hint="eastAsia" w:ascii="宋体" w:hAnsi="宋体"/>
                <w:szCs w:val="21"/>
                <w:highlight w:val="none"/>
              </w:rPr>
              <w:t>第二个信封（报价文件）开标程序</w:t>
            </w:r>
          </w:p>
        </w:tc>
        <w:tc>
          <w:tcPr>
            <w:tcW w:w="7094" w:type="dxa"/>
            <w:vAlign w:val="center"/>
          </w:tcPr>
          <w:p w14:paraId="6666C47A">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本项第（2）（4）目修改为：</w:t>
            </w:r>
          </w:p>
          <w:p w14:paraId="5703E155">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（2）宣布通过投标文件第一个信封（商务及技术文件）评审的投标人名单；</w:t>
            </w:r>
          </w:p>
          <w:p w14:paraId="42ADC5F6">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4）通过投标文件第一个信封（商务及技术文件）评审的投标人代表解密加密的投标文件第二个信封（报价文件），招标人对因投标人原因未成功解密的投标文件进行退回，导入并读取解密成功的投标文件第二个信封（报价文件）；</w:t>
            </w:r>
          </w:p>
        </w:tc>
      </w:tr>
      <w:tr w14:paraId="6CF7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78D27C76">
            <w:pPr>
              <w:adjustRightInd w:val="0"/>
              <w:snapToGrid w:val="0"/>
              <w:jc w:val="center"/>
              <w:rPr>
                <w:rFonts w:ascii="宋体" w:hAnsi="宋体"/>
                <w:szCs w:val="21"/>
                <w:highlight w:val="none"/>
              </w:rPr>
            </w:pPr>
            <w:r>
              <w:rPr>
                <w:rFonts w:hint="eastAsia" w:ascii="宋体" w:hAnsi="宋体"/>
                <w:szCs w:val="21"/>
                <w:highlight w:val="none"/>
              </w:rPr>
              <w:t>5</w:t>
            </w:r>
            <w:r>
              <w:rPr>
                <w:rFonts w:ascii="宋体" w:hAnsi="宋体"/>
                <w:szCs w:val="21"/>
                <w:highlight w:val="none"/>
              </w:rPr>
              <w:t>.3.1</w:t>
            </w:r>
          </w:p>
        </w:tc>
        <w:tc>
          <w:tcPr>
            <w:tcW w:w="1801" w:type="dxa"/>
            <w:vAlign w:val="center"/>
          </w:tcPr>
          <w:p w14:paraId="309D944C">
            <w:pPr>
              <w:adjustRightInd w:val="0"/>
              <w:snapToGrid w:val="0"/>
              <w:jc w:val="center"/>
              <w:rPr>
                <w:rFonts w:ascii="宋体" w:hAnsi="宋体"/>
                <w:szCs w:val="21"/>
                <w:highlight w:val="none"/>
              </w:rPr>
            </w:pPr>
            <w:r>
              <w:rPr>
                <w:rFonts w:hint="eastAsia" w:ascii="宋体" w:hAnsi="宋体"/>
                <w:szCs w:val="21"/>
                <w:highlight w:val="none"/>
              </w:rPr>
              <w:t>开标补救措施</w:t>
            </w:r>
          </w:p>
        </w:tc>
        <w:tc>
          <w:tcPr>
            <w:tcW w:w="7094" w:type="dxa"/>
            <w:vAlign w:val="center"/>
          </w:tcPr>
          <w:p w14:paraId="76D5F221">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开标过程中因本章第5.3.2项、第5.3.3项所列原因，导致系统无法正常运行，将由“电子交易平台”技术人员采取补救措施。</w:t>
            </w:r>
          </w:p>
        </w:tc>
      </w:tr>
      <w:tr w14:paraId="22AC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1B33FBA6">
            <w:pPr>
              <w:adjustRightInd w:val="0"/>
              <w:snapToGrid w:val="0"/>
              <w:jc w:val="center"/>
              <w:rPr>
                <w:rFonts w:ascii="宋体" w:hAnsi="宋体"/>
                <w:szCs w:val="21"/>
                <w:highlight w:val="none"/>
              </w:rPr>
            </w:pPr>
            <w:r>
              <w:rPr>
                <w:rFonts w:hint="eastAsia" w:ascii="宋体" w:hAnsi="宋体"/>
                <w:szCs w:val="21"/>
                <w:highlight w:val="none"/>
              </w:rPr>
              <w:t>6.1.1</w:t>
            </w:r>
          </w:p>
        </w:tc>
        <w:tc>
          <w:tcPr>
            <w:tcW w:w="1801" w:type="dxa"/>
            <w:vAlign w:val="center"/>
          </w:tcPr>
          <w:p w14:paraId="63C03A77">
            <w:pPr>
              <w:adjustRightInd w:val="0"/>
              <w:snapToGrid w:val="0"/>
              <w:jc w:val="center"/>
              <w:rPr>
                <w:rFonts w:ascii="宋体" w:hAnsi="宋体"/>
                <w:szCs w:val="21"/>
                <w:highlight w:val="none"/>
              </w:rPr>
            </w:pPr>
            <w:r>
              <w:rPr>
                <w:rFonts w:hint="eastAsia" w:ascii="宋体" w:hAnsi="宋体"/>
                <w:szCs w:val="21"/>
                <w:highlight w:val="none"/>
              </w:rPr>
              <w:t>评标委员会的组建</w:t>
            </w:r>
          </w:p>
        </w:tc>
        <w:tc>
          <w:tcPr>
            <w:tcW w:w="7094" w:type="dxa"/>
            <w:vAlign w:val="center"/>
          </w:tcPr>
          <w:p w14:paraId="40C24CB5">
            <w:pPr>
              <w:adjustRightInd w:val="0"/>
              <w:snapToGrid w:val="0"/>
              <w:spacing w:line="360" w:lineRule="atLeast"/>
              <w:ind w:firstLine="210" w:firstLineChars="100"/>
              <w:rPr>
                <w:rFonts w:ascii="宋体" w:hAnsi="宋体"/>
                <w:szCs w:val="21"/>
                <w:highlight w:val="none"/>
              </w:rPr>
            </w:pPr>
            <w:r>
              <w:rPr>
                <w:rFonts w:ascii="宋体" w:hAnsi="宋体"/>
                <w:szCs w:val="21"/>
                <w:highlight w:val="none"/>
              </w:rPr>
              <w:t>评标委员会构成：</w:t>
            </w:r>
            <w:r>
              <w:rPr>
                <w:rFonts w:hint="eastAsia" w:ascii="宋体" w:hAnsi="宋体"/>
                <w:szCs w:val="21"/>
                <w:highlight w:val="none"/>
                <w:lang w:val="en-US" w:eastAsia="zh-CN"/>
              </w:rPr>
              <w:t>9</w:t>
            </w:r>
            <w:r>
              <w:rPr>
                <w:rFonts w:ascii="宋体" w:hAnsi="宋体"/>
                <w:szCs w:val="21"/>
                <w:highlight w:val="none"/>
              </w:rPr>
              <w:t>人，其中</w:t>
            </w:r>
            <w:r>
              <w:rPr>
                <w:rFonts w:hint="eastAsia" w:ascii="宋体" w:hAnsi="宋体"/>
                <w:szCs w:val="21"/>
                <w:highlight w:val="none"/>
              </w:rPr>
              <w:t>招标人代表共</w:t>
            </w:r>
            <w:r>
              <w:rPr>
                <w:rFonts w:hint="eastAsia" w:ascii="宋体" w:hAnsi="宋体"/>
                <w:szCs w:val="21"/>
                <w:highlight w:val="none"/>
                <w:lang w:val="en-US" w:eastAsia="zh-CN"/>
              </w:rPr>
              <w:t>3</w:t>
            </w:r>
            <w:r>
              <w:rPr>
                <w:rFonts w:ascii="宋体" w:hAnsi="宋体"/>
                <w:szCs w:val="21"/>
                <w:highlight w:val="none"/>
              </w:rPr>
              <w:t>人，专家</w:t>
            </w:r>
            <w:r>
              <w:rPr>
                <w:rFonts w:hint="eastAsia" w:ascii="宋体" w:hAnsi="宋体"/>
                <w:szCs w:val="21"/>
                <w:highlight w:val="none"/>
                <w:lang w:val="en-US" w:eastAsia="zh-CN"/>
              </w:rPr>
              <w:t>6</w:t>
            </w:r>
            <w:r>
              <w:rPr>
                <w:rFonts w:ascii="宋体" w:hAnsi="宋体"/>
                <w:szCs w:val="21"/>
                <w:highlight w:val="none"/>
              </w:rPr>
              <w:t>人；</w:t>
            </w:r>
          </w:p>
          <w:p w14:paraId="7C750BEA">
            <w:pPr>
              <w:adjustRightInd w:val="0"/>
              <w:snapToGrid w:val="0"/>
              <w:spacing w:line="360" w:lineRule="atLeast"/>
              <w:ind w:firstLine="210" w:firstLineChars="100"/>
              <w:rPr>
                <w:rFonts w:ascii="宋体" w:hAnsi="宋体"/>
                <w:szCs w:val="21"/>
                <w:highlight w:val="none"/>
              </w:rPr>
            </w:pPr>
            <w:r>
              <w:rPr>
                <w:rFonts w:ascii="宋体" w:hAnsi="宋体"/>
                <w:szCs w:val="21"/>
                <w:highlight w:val="none"/>
              </w:rPr>
              <w:t>评标专家确定方式：</w:t>
            </w:r>
            <w:r>
              <w:rPr>
                <w:rFonts w:hint="eastAsia" w:ascii="宋体" w:hAnsi="宋体"/>
                <w:szCs w:val="21"/>
                <w:highlight w:val="none"/>
              </w:rPr>
              <w:t>依法</w:t>
            </w:r>
            <w:r>
              <w:rPr>
                <w:rFonts w:ascii="宋体" w:hAnsi="宋体"/>
                <w:szCs w:val="21"/>
                <w:highlight w:val="none"/>
              </w:rPr>
              <w:t>从</w:t>
            </w:r>
            <w:r>
              <w:rPr>
                <w:rFonts w:hint="eastAsia" w:ascii="宋体" w:hAnsi="宋体"/>
                <w:szCs w:val="21"/>
                <w:highlight w:val="none"/>
              </w:rPr>
              <w:t>相应评标专家库</w:t>
            </w:r>
            <w:r>
              <w:rPr>
                <w:rFonts w:ascii="宋体" w:hAnsi="宋体"/>
                <w:szCs w:val="21"/>
                <w:highlight w:val="none"/>
              </w:rPr>
              <w:t>中随机抽取</w:t>
            </w:r>
            <w:r>
              <w:rPr>
                <w:rFonts w:hint="eastAsia" w:ascii="宋体" w:hAnsi="宋体"/>
                <w:szCs w:val="21"/>
                <w:highlight w:val="none"/>
              </w:rPr>
              <w:t>。</w:t>
            </w:r>
          </w:p>
        </w:tc>
      </w:tr>
      <w:tr w14:paraId="1115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214CA6D4">
            <w:pPr>
              <w:adjustRightInd w:val="0"/>
              <w:snapToGrid w:val="0"/>
              <w:jc w:val="center"/>
              <w:rPr>
                <w:rFonts w:ascii="宋体" w:hAnsi="宋体"/>
                <w:szCs w:val="21"/>
                <w:highlight w:val="none"/>
              </w:rPr>
            </w:pPr>
            <w:r>
              <w:rPr>
                <w:rFonts w:hint="eastAsia" w:ascii="宋体" w:hAnsi="宋体"/>
                <w:szCs w:val="21"/>
                <w:highlight w:val="none"/>
              </w:rPr>
              <w:t>6.3.2</w:t>
            </w:r>
          </w:p>
        </w:tc>
        <w:tc>
          <w:tcPr>
            <w:tcW w:w="1801" w:type="dxa"/>
            <w:vAlign w:val="center"/>
          </w:tcPr>
          <w:p w14:paraId="1D64CE66">
            <w:pPr>
              <w:adjustRightInd w:val="0"/>
              <w:snapToGrid w:val="0"/>
              <w:jc w:val="center"/>
              <w:rPr>
                <w:rFonts w:ascii="宋体" w:hAnsi="宋体"/>
                <w:szCs w:val="21"/>
                <w:highlight w:val="none"/>
              </w:rPr>
            </w:pPr>
            <w:r>
              <w:rPr>
                <w:rFonts w:hint="eastAsia" w:ascii="宋体" w:hAnsi="宋体"/>
                <w:szCs w:val="21"/>
                <w:highlight w:val="none"/>
              </w:rPr>
              <w:t>评标委员会推荐中标候选人的人数</w:t>
            </w:r>
          </w:p>
        </w:tc>
        <w:tc>
          <w:tcPr>
            <w:tcW w:w="7094" w:type="dxa"/>
            <w:vAlign w:val="center"/>
          </w:tcPr>
          <w:p w14:paraId="7FF8BDC6">
            <w:pPr>
              <w:adjustRightInd w:val="0"/>
              <w:snapToGrid w:val="0"/>
              <w:spacing w:line="360" w:lineRule="atLeast"/>
              <w:ind w:firstLine="210" w:firstLineChars="100"/>
              <w:rPr>
                <w:rFonts w:ascii="宋体" w:hAnsi="宋体"/>
                <w:bCs/>
                <w:szCs w:val="21"/>
                <w:highlight w:val="none"/>
              </w:rPr>
            </w:pPr>
            <w:r>
              <w:rPr>
                <w:rFonts w:ascii="宋体" w:hAnsi="宋体"/>
                <w:bCs/>
                <w:szCs w:val="21"/>
                <w:highlight w:val="none"/>
              </w:rPr>
              <w:t>3</w:t>
            </w:r>
            <w:r>
              <w:rPr>
                <w:rFonts w:hint="eastAsia" w:ascii="宋体" w:hAnsi="宋体"/>
                <w:bCs/>
                <w:szCs w:val="21"/>
                <w:highlight w:val="none"/>
              </w:rPr>
              <w:t>名</w:t>
            </w:r>
          </w:p>
        </w:tc>
      </w:tr>
      <w:tr w14:paraId="4A8C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144226D4">
            <w:pPr>
              <w:adjustRightInd w:val="0"/>
              <w:snapToGrid w:val="0"/>
              <w:jc w:val="center"/>
              <w:rPr>
                <w:rFonts w:ascii="宋体" w:hAnsi="宋体"/>
                <w:szCs w:val="21"/>
                <w:highlight w:val="none"/>
              </w:rPr>
            </w:pPr>
            <w:r>
              <w:rPr>
                <w:rFonts w:hint="eastAsia" w:ascii="宋体" w:hAnsi="宋体"/>
                <w:szCs w:val="21"/>
                <w:highlight w:val="none"/>
              </w:rPr>
              <w:t>7.1</w:t>
            </w:r>
          </w:p>
        </w:tc>
        <w:tc>
          <w:tcPr>
            <w:tcW w:w="1801" w:type="dxa"/>
            <w:vAlign w:val="center"/>
          </w:tcPr>
          <w:p w14:paraId="137054E7">
            <w:pPr>
              <w:adjustRightInd w:val="0"/>
              <w:snapToGrid w:val="0"/>
              <w:jc w:val="center"/>
              <w:rPr>
                <w:rFonts w:ascii="宋体" w:hAnsi="宋体"/>
                <w:szCs w:val="21"/>
                <w:highlight w:val="none"/>
              </w:rPr>
            </w:pPr>
            <w:r>
              <w:rPr>
                <w:rFonts w:hint="eastAsia" w:ascii="宋体" w:hAnsi="宋体"/>
                <w:szCs w:val="21"/>
                <w:highlight w:val="none"/>
              </w:rPr>
              <w:t>中标候选人公示媒介及期限</w:t>
            </w:r>
          </w:p>
        </w:tc>
        <w:tc>
          <w:tcPr>
            <w:tcW w:w="7094" w:type="dxa"/>
            <w:vAlign w:val="center"/>
          </w:tcPr>
          <w:p w14:paraId="5E3113DB">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公示媒介：同发布招标公告的媒介</w:t>
            </w:r>
          </w:p>
          <w:p w14:paraId="0692659C">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公示期限：不少于3日</w:t>
            </w:r>
          </w:p>
          <w:p w14:paraId="1421A281">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公示的其他内容：/</w:t>
            </w:r>
          </w:p>
        </w:tc>
      </w:tr>
      <w:tr w14:paraId="3B31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71B0157A">
            <w:pPr>
              <w:adjustRightInd w:val="0"/>
              <w:snapToGrid w:val="0"/>
              <w:jc w:val="center"/>
              <w:rPr>
                <w:rFonts w:ascii="宋体" w:hAnsi="宋体"/>
                <w:szCs w:val="21"/>
                <w:highlight w:val="none"/>
              </w:rPr>
            </w:pPr>
            <w:r>
              <w:rPr>
                <w:rFonts w:hint="eastAsia" w:ascii="宋体" w:hAnsi="宋体"/>
                <w:szCs w:val="21"/>
                <w:highlight w:val="none"/>
              </w:rPr>
              <w:t>7.4</w:t>
            </w:r>
          </w:p>
        </w:tc>
        <w:tc>
          <w:tcPr>
            <w:tcW w:w="1801" w:type="dxa"/>
            <w:vAlign w:val="center"/>
          </w:tcPr>
          <w:p w14:paraId="60C31C2E">
            <w:pPr>
              <w:adjustRightInd w:val="0"/>
              <w:snapToGrid w:val="0"/>
              <w:jc w:val="center"/>
              <w:rPr>
                <w:rFonts w:ascii="宋体" w:hAnsi="宋体"/>
                <w:szCs w:val="21"/>
                <w:highlight w:val="none"/>
              </w:rPr>
            </w:pPr>
            <w:r>
              <w:rPr>
                <w:rFonts w:hint="eastAsia" w:ascii="宋体" w:hAnsi="宋体"/>
                <w:szCs w:val="21"/>
                <w:highlight w:val="none"/>
              </w:rPr>
              <w:t>是否授权评标委员会确定中标人</w:t>
            </w:r>
          </w:p>
        </w:tc>
        <w:tc>
          <w:tcPr>
            <w:tcW w:w="7094" w:type="dxa"/>
            <w:vAlign w:val="center"/>
          </w:tcPr>
          <w:p w14:paraId="21207F3E">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否</w:t>
            </w:r>
          </w:p>
        </w:tc>
      </w:tr>
      <w:tr w14:paraId="3473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6F8B16A0">
            <w:pPr>
              <w:adjustRightInd w:val="0"/>
              <w:snapToGrid w:val="0"/>
              <w:jc w:val="center"/>
              <w:rPr>
                <w:rFonts w:ascii="宋体" w:hAnsi="宋体"/>
                <w:szCs w:val="21"/>
                <w:highlight w:val="none"/>
              </w:rPr>
            </w:pPr>
            <w:r>
              <w:rPr>
                <w:rFonts w:hint="eastAsia" w:ascii="宋体" w:hAnsi="宋体"/>
                <w:szCs w:val="21"/>
                <w:highlight w:val="none"/>
              </w:rPr>
              <w:t>7.5</w:t>
            </w:r>
          </w:p>
        </w:tc>
        <w:tc>
          <w:tcPr>
            <w:tcW w:w="1801" w:type="dxa"/>
            <w:vAlign w:val="top"/>
          </w:tcPr>
          <w:p w14:paraId="0C1D0F9E">
            <w:pPr>
              <w:pStyle w:val="8"/>
              <w:spacing w:before="32" w:line="220" w:lineRule="auto"/>
              <w:ind w:left="186"/>
              <w:rPr>
                <w:rFonts w:ascii="宋体" w:hAnsi="宋体"/>
                <w:sz w:val="21"/>
                <w:szCs w:val="22"/>
                <w:highlight w:val="none"/>
              </w:rPr>
            </w:pPr>
            <w:r>
              <w:rPr>
                <w:spacing w:val="-4"/>
                <w:sz w:val="21"/>
                <w:szCs w:val="21"/>
                <w:highlight w:val="none"/>
              </w:rPr>
              <w:t>中标通知书和中</w:t>
            </w:r>
            <w:r>
              <w:rPr>
                <w:spacing w:val="-1"/>
                <w:sz w:val="21"/>
                <w:szCs w:val="21"/>
                <w:highlight w:val="none"/>
              </w:rPr>
              <w:t>标结果通知发出</w:t>
            </w:r>
            <w:r>
              <w:rPr>
                <w:spacing w:val="-5"/>
                <w:sz w:val="21"/>
                <w:szCs w:val="21"/>
                <w:highlight w:val="none"/>
              </w:rPr>
              <w:t>的形式</w:t>
            </w:r>
          </w:p>
        </w:tc>
        <w:tc>
          <w:tcPr>
            <w:tcW w:w="7094" w:type="dxa"/>
            <w:vAlign w:val="top"/>
          </w:tcPr>
          <w:p w14:paraId="00A67B5C">
            <w:pPr>
              <w:pStyle w:val="8"/>
              <w:spacing w:before="168" w:line="282" w:lineRule="auto"/>
              <w:ind w:left="113" w:leftChars="0" w:right="100" w:rightChars="0" w:firstLine="211" w:firstLineChars="0"/>
              <w:rPr>
                <w:rFonts w:ascii="宋体" w:hAnsi="宋体"/>
                <w:sz w:val="21"/>
                <w:szCs w:val="22"/>
                <w:highlight w:val="none"/>
              </w:rPr>
            </w:pPr>
            <w:r>
              <w:rPr>
                <w:spacing w:val="-2"/>
                <w:sz w:val="21"/>
                <w:szCs w:val="21"/>
                <w:highlight w:val="none"/>
              </w:rPr>
              <w:t>招标人以书面形式向中标人发出中标通知书，同时将中标结果公告发布到本章</w:t>
            </w:r>
            <w:r>
              <w:rPr>
                <w:spacing w:val="-36"/>
                <w:sz w:val="21"/>
                <w:szCs w:val="21"/>
                <w:highlight w:val="none"/>
              </w:rPr>
              <w:t xml:space="preserve"> </w:t>
            </w:r>
            <w:r>
              <w:rPr>
                <w:spacing w:val="-2"/>
                <w:sz w:val="21"/>
                <w:szCs w:val="21"/>
                <w:highlight w:val="none"/>
              </w:rPr>
              <w:t>7.6</w:t>
            </w:r>
            <w:r>
              <w:rPr>
                <w:spacing w:val="-43"/>
                <w:sz w:val="21"/>
                <w:szCs w:val="21"/>
                <w:highlight w:val="none"/>
              </w:rPr>
              <w:t xml:space="preserve"> </w:t>
            </w:r>
            <w:r>
              <w:rPr>
                <w:spacing w:val="-2"/>
                <w:sz w:val="21"/>
                <w:szCs w:val="21"/>
                <w:highlight w:val="none"/>
              </w:rPr>
              <w:t>款所列媒介的形式通知未中标的投标人。</w:t>
            </w:r>
          </w:p>
        </w:tc>
      </w:tr>
      <w:tr w14:paraId="24E8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4CE4D40A">
            <w:pPr>
              <w:adjustRightInd w:val="0"/>
              <w:snapToGrid w:val="0"/>
              <w:jc w:val="center"/>
              <w:rPr>
                <w:rFonts w:ascii="宋体" w:hAnsi="宋体"/>
                <w:szCs w:val="21"/>
                <w:highlight w:val="none"/>
              </w:rPr>
            </w:pPr>
            <w:r>
              <w:rPr>
                <w:rFonts w:hint="eastAsia" w:ascii="宋体" w:hAnsi="宋体"/>
                <w:szCs w:val="21"/>
                <w:highlight w:val="none"/>
              </w:rPr>
              <w:t>7.6</w:t>
            </w:r>
          </w:p>
        </w:tc>
        <w:tc>
          <w:tcPr>
            <w:tcW w:w="1801" w:type="dxa"/>
            <w:vAlign w:val="center"/>
          </w:tcPr>
          <w:p w14:paraId="085CA982">
            <w:pPr>
              <w:adjustRightInd w:val="0"/>
              <w:snapToGrid w:val="0"/>
              <w:jc w:val="center"/>
              <w:rPr>
                <w:rFonts w:ascii="宋体" w:hAnsi="宋体"/>
                <w:szCs w:val="21"/>
                <w:highlight w:val="none"/>
              </w:rPr>
            </w:pPr>
            <w:r>
              <w:rPr>
                <w:rFonts w:hint="eastAsia" w:ascii="宋体" w:hAnsi="宋体"/>
                <w:szCs w:val="21"/>
                <w:highlight w:val="none"/>
              </w:rPr>
              <w:t>中标结果公告媒介及期限</w:t>
            </w:r>
          </w:p>
        </w:tc>
        <w:tc>
          <w:tcPr>
            <w:tcW w:w="7094" w:type="dxa"/>
            <w:vAlign w:val="center"/>
          </w:tcPr>
          <w:p w14:paraId="351A3E93">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公告媒介：同发布招标公告的媒介</w:t>
            </w:r>
          </w:p>
          <w:p w14:paraId="7D90953F">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公告期限：不少于3日</w:t>
            </w:r>
          </w:p>
          <w:p w14:paraId="4BBE1B2F">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公告的其他内容：/</w:t>
            </w:r>
          </w:p>
        </w:tc>
      </w:tr>
      <w:tr w14:paraId="24A2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7D03E6EE">
            <w:pPr>
              <w:adjustRightInd w:val="0"/>
              <w:snapToGrid w:val="0"/>
              <w:jc w:val="center"/>
              <w:rPr>
                <w:rFonts w:ascii="宋体" w:hAnsi="宋体"/>
                <w:szCs w:val="21"/>
                <w:highlight w:val="none"/>
              </w:rPr>
            </w:pPr>
            <w:r>
              <w:rPr>
                <w:rFonts w:hint="eastAsia" w:ascii="宋体" w:hAnsi="宋体"/>
                <w:szCs w:val="21"/>
                <w:highlight w:val="none"/>
              </w:rPr>
              <w:t>7.7.1</w:t>
            </w:r>
          </w:p>
        </w:tc>
        <w:tc>
          <w:tcPr>
            <w:tcW w:w="1801" w:type="dxa"/>
            <w:vAlign w:val="center"/>
          </w:tcPr>
          <w:p w14:paraId="2BE5B38A">
            <w:pPr>
              <w:pStyle w:val="8"/>
              <w:spacing w:before="69" w:line="221" w:lineRule="auto"/>
              <w:jc w:val="center"/>
              <w:rPr>
                <w:rFonts w:ascii="宋体" w:hAnsi="宋体"/>
                <w:sz w:val="21"/>
                <w:szCs w:val="22"/>
                <w:highlight w:val="none"/>
              </w:rPr>
            </w:pPr>
            <w:r>
              <w:rPr>
                <w:spacing w:val="-2"/>
                <w:sz w:val="21"/>
                <w:szCs w:val="21"/>
                <w:highlight w:val="none"/>
              </w:rPr>
              <w:t>履约保证金</w:t>
            </w:r>
          </w:p>
        </w:tc>
        <w:tc>
          <w:tcPr>
            <w:tcW w:w="7094" w:type="dxa"/>
            <w:vAlign w:val="top"/>
          </w:tcPr>
          <w:p w14:paraId="295AFDA9">
            <w:pPr>
              <w:pStyle w:val="8"/>
              <w:spacing w:before="125" w:line="360" w:lineRule="auto"/>
              <w:ind w:left="327" w:right="499" w:hanging="2"/>
              <w:rPr>
                <w:sz w:val="21"/>
                <w:szCs w:val="21"/>
                <w:highlight w:val="none"/>
              </w:rPr>
            </w:pPr>
            <w:r>
              <w:rPr>
                <w:spacing w:val="-1"/>
                <w:sz w:val="21"/>
                <w:szCs w:val="21"/>
                <w:highlight w:val="none"/>
              </w:rPr>
              <w:t>要求，履约保证金的形式：现金、支票、银行保函、担</w:t>
            </w:r>
            <w:r>
              <w:rPr>
                <w:spacing w:val="-2"/>
                <w:sz w:val="21"/>
                <w:szCs w:val="21"/>
                <w:highlight w:val="none"/>
              </w:rPr>
              <w:t>保机构保函。</w:t>
            </w:r>
            <w:r>
              <w:rPr>
                <w:spacing w:val="-1"/>
                <w:sz w:val="21"/>
                <w:szCs w:val="21"/>
                <w:highlight w:val="none"/>
              </w:rPr>
              <w:t>履约担保金额：签约合同价</w:t>
            </w:r>
            <w:r>
              <w:rPr>
                <w:rFonts w:hint="eastAsia"/>
                <w:spacing w:val="-1"/>
                <w:sz w:val="21"/>
                <w:szCs w:val="21"/>
                <w:highlight w:val="none"/>
                <w:lang w:val="en-US" w:eastAsia="zh-CN"/>
              </w:rPr>
              <w:t>的</w:t>
            </w:r>
            <w:r>
              <w:rPr>
                <w:spacing w:val="-1"/>
                <w:sz w:val="21"/>
                <w:szCs w:val="21"/>
                <w:highlight w:val="none"/>
              </w:rPr>
              <w:t>3%</w:t>
            </w:r>
          </w:p>
          <w:p w14:paraId="6CE04092">
            <w:pPr>
              <w:pStyle w:val="8"/>
              <w:spacing w:before="1" w:line="360" w:lineRule="auto"/>
              <w:ind w:left="113" w:right="114" w:firstLine="217"/>
              <w:rPr>
                <w:rFonts w:hint="eastAsia" w:eastAsia="宋体"/>
                <w:sz w:val="21"/>
                <w:szCs w:val="21"/>
                <w:highlight w:val="none"/>
                <w:lang w:eastAsia="zh-CN"/>
              </w:rPr>
            </w:pPr>
            <w:r>
              <w:rPr>
                <w:spacing w:val="1"/>
                <w:sz w:val="21"/>
                <w:szCs w:val="21"/>
                <w:highlight w:val="none"/>
              </w:rPr>
              <w:t>（1）采用现金和支票形式时，应由中标人的基本账户汇入发包</w:t>
            </w:r>
            <w:r>
              <w:rPr>
                <w:sz w:val="21"/>
                <w:szCs w:val="21"/>
                <w:highlight w:val="none"/>
              </w:rPr>
              <w:t>人指定开</w:t>
            </w:r>
            <w:r>
              <w:rPr>
                <w:spacing w:val="-3"/>
                <w:sz w:val="21"/>
                <w:szCs w:val="21"/>
                <w:highlight w:val="none"/>
              </w:rPr>
              <w:t>户银行及账号。</w:t>
            </w:r>
          </w:p>
          <w:p w14:paraId="51B457F9">
            <w:pPr>
              <w:pStyle w:val="8"/>
              <w:spacing w:before="1" w:line="360" w:lineRule="auto"/>
              <w:ind w:left="116" w:right="103" w:firstLine="214"/>
              <w:rPr>
                <w:sz w:val="21"/>
                <w:szCs w:val="21"/>
                <w:highlight w:val="none"/>
              </w:rPr>
            </w:pPr>
            <w:r>
              <w:rPr>
                <w:spacing w:val="1"/>
                <w:sz w:val="21"/>
                <w:szCs w:val="21"/>
                <w:highlight w:val="none"/>
              </w:rPr>
              <w:t>（2）采用银行保函时，出具保函的银行级别：应由“工商银行、农业银</w:t>
            </w:r>
            <w:r>
              <w:rPr>
                <w:spacing w:val="-2"/>
                <w:sz w:val="21"/>
                <w:szCs w:val="21"/>
                <w:highlight w:val="none"/>
              </w:rPr>
              <w:t>行、中国银行、建设银行、交通银行、中国邮政储蓄银行”六大国有商业银</w:t>
            </w:r>
            <w:r>
              <w:rPr>
                <w:sz w:val="21"/>
                <w:szCs w:val="21"/>
                <w:highlight w:val="none"/>
              </w:rPr>
              <w:t>行之一或全国性股份制商业银行开具，银行应为地市级支行</w:t>
            </w:r>
            <w:r>
              <w:rPr>
                <w:spacing w:val="-1"/>
                <w:sz w:val="21"/>
                <w:szCs w:val="21"/>
                <w:highlight w:val="none"/>
              </w:rPr>
              <w:t>或以上级别。</w:t>
            </w:r>
          </w:p>
          <w:p w14:paraId="34A0EEBA">
            <w:pPr>
              <w:pStyle w:val="8"/>
              <w:spacing w:before="1" w:line="360" w:lineRule="auto"/>
              <w:ind w:left="113" w:right="117" w:firstLine="217"/>
              <w:rPr>
                <w:sz w:val="21"/>
                <w:szCs w:val="21"/>
                <w:highlight w:val="none"/>
              </w:rPr>
            </w:pPr>
            <w:r>
              <w:rPr>
                <w:spacing w:val="1"/>
                <w:sz w:val="21"/>
                <w:szCs w:val="21"/>
                <w:highlight w:val="none"/>
              </w:rPr>
              <w:t>（3）若采用担保机构保函时，出具保函的担保机构应为</w:t>
            </w:r>
            <w:r>
              <w:rPr>
                <w:sz w:val="21"/>
                <w:szCs w:val="21"/>
                <w:highlight w:val="none"/>
              </w:rPr>
              <w:t>招标人认可并具</w:t>
            </w:r>
            <w:r>
              <w:rPr>
                <w:spacing w:val="-2"/>
                <w:sz w:val="21"/>
                <w:szCs w:val="21"/>
                <w:highlight w:val="none"/>
              </w:rPr>
              <w:t>有相应的担保能力的担保机构。</w:t>
            </w:r>
          </w:p>
          <w:p w14:paraId="358C8ADF">
            <w:pPr>
              <w:pStyle w:val="8"/>
              <w:spacing w:before="1" w:line="360" w:lineRule="auto"/>
              <w:ind w:left="112" w:leftChars="0" w:right="122" w:rightChars="0" w:firstLine="218" w:firstLineChars="0"/>
              <w:rPr>
                <w:rFonts w:ascii="宋体" w:hAnsi="宋体"/>
                <w:sz w:val="21"/>
                <w:szCs w:val="22"/>
                <w:highlight w:val="none"/>
              </w:rPr>
            </w:pPr>
            <w:r>
              <w:rPr>
                <w:spacing w:val="-6"/>
                <w:sz w:val="21"/>
                <w:szCs w:val="21"/>
                <w:highlight w:val="none"/>
              </w:rPr>
              <w:t>（4）办理保函所需费用由中标人承担，中标人应保证保函真实有效，保函</w:t>
            </w:r>
            <w:r>
              <w:rPr>
                <w:sz w:val="21"/>
                <w:szCs w:val="21"/>
                <w:highlight w:val="none"/>
              </w:rPr>
              <w:t>格式见招标文件第四章“合同条款及格式”规定的履约保证金</w:t>
            </w:r>
            <w:r>
              <w:rPr>
                <w:spacing w:val="-1"/>
                <w:sz w:val="21"/>
                <w:szCs w:val="21"/>
                <w:highlight w:val="none"/>
              </w:rPr>
              <w:t>格式。</w:t>
            </w:r>
          </w:p>
        </w:tc>
      </w:tr>
      <w:tr w14:paraId="7DB5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480A4150">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7.7.3</w:t>
            </w:r>
          </w:p>
        </w:tc>
        <w:tc>
          <w:tcPr>
            <w:tcW w:w="1801" w:type="dxa"/>
            <w:vAlign w:val="center"/>
          </w:tcPr>
          <w:p w14:paraId="484EE8BB">
            <w:pPr>
              <w:pStyle w:val="8"/>
              <w:spacing w:before="69" w:line="221" w:lineRule="auto"/>
              <w:jc w:val="center"/>
              <w:rPr>
                <w:rFonts w:hint="eastAsia" w:eastAsia="宋体"/>
                <w:spacing w:val="-1"/>
                <w:sz w:val="21"/>
                <w:szCs w:val="21"/>
                <w:highlight w:val="none"/>
                <w:lang w:val="en-US" w:eastAsia="zh-CN"/>
              </w:rPr>
            </w:pPr>
            <w:r>
              <w:rPr>
                <w:rFonts w:hint="eastAsia"/>
                <w:spacing w:val="-2"/>
                <w:sz w:val="21"/>
                <w:szCs w:val="21"/>
                <w:highlight w:val="none"/>
                <w:lang w:val="en-US" w:eastAsia="zh-CN"/>
              </w:rPr>
              <w:t>价款支付</w:t>
            </w:r>
          </w:p>
        </w:tc>
        <w:tc>
          <w:tcPr>
            <w:tcW w:w="7094" w:type="dxa"/>
            <w:vAlign w:val="top"/>
          </w:tcPr>
          <w:p w14:paraId="7044CFB3">
            <w:pPr>
              <w:pStyle w:val="8"/>
              <w:spacing w:before="125" w:line="316" w:lineRule="auto"/>
              <w:ind w:right="499"/>
              <w:rPr>
                <w:spacing w:val="-1"/>
                <w:sz w:val="21"/>
                <w:szCs w:val="21"/>
                <w:highlight w:val="none"/>
              </w:rPr>
            </w:pPr>
            <w:r>
              <w:rPr>
                <w:rFonts w:hint="eastAsia"/>
                <w:spacing w:val="-1"/>
                <w:sz w:val="21"/>
                <w:szCs w:val="21"/>
                <w:highlight w:val="none"/>
                <w:lang w:val="en-US" w:eastAsia="zh-CN"/>
              </w:rPr>
              <w:t>委托人按施工单位计量支付金额比例，同比例支付监理服务费用。</w:t>
            </w:r>
          </w:p>
        </w:tc>
      </w:tr>
      <w:tr w14:paraId="6C71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10C2E14D">
            <w:pPr>
              <w:adjustRightInd w:val="0"/>
              <w:snapToGrid w:val="0"/>
              <w:jc w:val="center"/>
              <w:rPr>
                <w:rFonts w:ascii="宋体" w:hAnsi="宋体"/>
                <w:szCs w:val="21"/>
                <w:highlight w:val="none"/>
              </w:rPr>
            </w:pPr>
            <w:r>
              <w:rPr>
                <w:rFonts w:hint="eastAsia" w:ascii="宋体" w:hAnsi="宋体"/>
                <w:szCs w:val="21"/>
                <w:highlight w:val="none"/>
              </w:rPr>
              <w:t>8.5.1</w:t>
            </w:r>
          </w:p>
        </w:tc>
        <w:tc>
          <w:tcPr>
            <w:tcW w:w="1801" w:type="dxa"/>
            <w:vAlign w:val="center"/>
          </w:tcPr>
          <w:p w14:paraId="526733A6">
            <w:pPr>
              <w:adjustRightInd w:val="0"/>
              <w:snapToGrid w:val="0"/>
              <w:jc w:val="center"/>
              <w:rPr>
                <w:rFonts w:ascii="宋体" w:hAnsi="宋体"/>
                <w:szCs w:val="21"/>
                <w:highlight w:val="none"/>
              </w:rPr>
            </w:pPr>
            <w:r>
              <w:rPr>
                <w:rFonts w:hint="eastAsia" w:ascii="宋体" w:hAnsi="宋体"/>
                <w:szCs w:val="21"/>
                <w:highlight w:val="none"/>
              </w:rPr>
              <w:t>监督部门</w:t>
            </w:r>
          </w:p>
        </w:tc>
        <w:tc>
          <w:tcPr>
            <w:tcW w:w="7094" w:type="dxa"/>
          </w:tcPr>
          <w:p w14:paraId="05F3BD67">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行政监督：吉林省交通运输厅</w:t>
            </w:r>
          </w:p>
          <w:p w14:paraId="05A93737">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电　　话：0431-</w:t>
            </w:r>
            <w:r>
              <w:rPr>
                <w:rFonts w:ascii="宋体" w:hAnsi="宋体"/>
                <w:szCs w:val="21"/>
                <w:highlight w:val="none"/>
              </w:rPr>
              <w:t>85097551</w:t>
            </w:r>
          </w:p>
          <w:p w14:paraId="74164252">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地　　址：吉林省长春市解放大路2518号交通大厦</w:t>
            </w:r>
          </w:p>
          <w:p w14:paraId="41D71421">
            <w:pPr>
              <w:adjustRightInd w:val="0"/>
              <w:snapToGrid w:val="0"/>
              <w:spacing w:line="360" w:lineRule="atLeast"/>
              <w:ind w:firstLine="210" w:firstLineChars="100"/>
              <w:rPr>
                <w:rFonts w:ascii="宋体" w:hAnsi="宋体"/>
                <w:szCs w:val="21"/>
                <w:highlight w:val="none"/>
              </w:rPr>
            </w:pPr>
            <w:r>
              <w:rPr>
                <w:rFonts w:hint="eastAsia" w:ascii="宋体" w:hAnsi="宋体"/>
                <w:szCs w:val="21"/>
                <w:highlight w:val="none"/>
              </w:rPr>
              <w:t>邮　　编：130021</w:t>
            </w:r>
          </w:p>
        </w:tc>
      </w:tr>
      <w:tr w14:paraId="5A76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527BF22B">
            <w:pPr>
              <w:adjustRightInd w:val="0"/>
              <w:snapToGrid w:val="0"/>
              <w:jc w:val="center"/>
              <w:rPr>
                <w:rFonts w:ascii="宋体" w:hAnsi="宋体"/>
                <w:szCs w:val="21"/>
              </w:rPr>
            </w:pPr>
            <w:r>
              <w:rPr>
                <w:rFonts w:hint="eastAsia" w:ascii="宋体" w:hAnsi="宋体"/>
                <w:szCs w:val="21"/>
              </w:rPr>
              <w:t>9</w:t>
            </w:r>
          </w:p>
        </w:tc>
        <w:tc>
          <w:tcPr>
            <w:tcW w:w="1801" w:type="dxa"/>
            <w:vAlign w:val="center"/>
          </w:tcPr>
          <w:p w14:paraId="6EC7AA56">
            <w:pPr>
              <w:adjustRightInd w:val="0"/>
              <w:snapToGrid w:val="0"/>
              <w:jc w:val="center"/>
              <w:rPr>
                <w:rFonts w:ascii="宋体" w:hAnsi="宋体"/>
                <w:szCs w:val="21"/>
              </w:rPr>
            </w:pPr>
            <w:r>
              <w:rPr>
                <w:rFonts w:hint="eastAsia" w:ascii="宋体" w:hAnsi="宋体"/>
                <w:szCs w:val="21"/>
              </w:rPr>
              <w:t>是否采用</w:t>
            </w:r>
          </w:p>
          <w:p w14:paraId="2BA3C096">
            <w:pPr>
              <w:adjustRightInd w:val="0"/>
              <w:snapToGrid w:val="0"/>
              <w:jc w:val="center"/>
              <w:rPr>
                <w:rFonts w:ascii="宋体" w:hAnsi="宋体"/>
                <w:szCs w:val="21"/>
              </w:rPr>
            </w:pPr>
            <w:r>
              <w:rPr>
                <w:rFonts w:hint="eastAsia" w:ascii="宋体" w:hAnsi="宋体"/>
                <w:szCs w:val="21"/>
              </w:rPr>
              <w:t>电子招标投标</w:t>
            </w:r>
          </w:p>
        </w:tc>
        <w:tc>
          <w:tcPr>
            <w:tcW w:w="7094" w:type="dxa"/>
            <w:vAlign w:val="center"/>
          </w:tcPr>
          <w:p w14:paraId="7E3F672A">
            <w:pPr>
              <w:wordWrap w:val="0"/>
              <w:adjustRightInd w:val="0"/>
              <w:snapToGrid w:val="0"/>
              <w:spacing w:line="360" w:lineRule="atLeast"/>
              <w:ind w:firstLine="210" w:firstLineChars="100"/>
              <w:rPr>
                <w:rFonts w:ascii="宋体" w:hAnsi="宋体"/>
                <w:szCs w:val="21"/>
              </w:rPr>
            </w:pPr>
            <w:r>
              <w:rPr>
                <w:rFonts w:hint="eastAsia" w:ascii="宋体" w:hAnsi="宋体"/>
                <w:szCs w:val="21"/>
              </w:rPr>
              <w:t>9.1 本次招标全程实行电子化招投标。</w:t>
            </w:r>
          </w:p>
          <w:p w14:paraId="0012AA2A">
            <w:pPr>
              <w:wordWrap w:val="0"/>
              <w:adjustRightInd w:val="0"/>
              <w:snapToGrid w:val="0"/>
              <w:spacing w:line="360" w:lineRule="atLeast"/>
              <w:ind w:firstLine="210" w:firstLineChars="100"/>
              <w:rPr>
                <w:rFonts w:ascii="宋体" w:hAnsi="宋体"/>
                <w:szCs w:val="21"/>
              </w:rPr>
            </w:pPr>
            <w:r>
              <w:rPr>
                <w:rFonts w:hint="eastAsia" w:ascii="宋体" w:hAnsi="宋体"/>
                <w:szCs w:val="21"/>
              </w:rPr>
              <w:t>9.2 本次招投标使用的电子交易平台具体要求详见吉林省政务服务和数字化建设管理局《关于做好全省公共资源交易一体化平台全面运行工作的通知》（吉政数联〔2022〕5号）文件。</w:t>
            </w:r>
          </w:p>
          <w:p w14:paraId="1E38B6F9">
            <w:pPr>
              <w:wordWrap w:val="0"/>
              <w:adjustRightInd w:val="0"/>
              <w:snapToGrid w:val="0"/>
              <w:spacing w:line="360" w:lineRule="atLeast"/>
              <w:ind w:firstLine="210" w:firstLineChars="100"/>
              <w:rPr>
                <w:rFonts w:ascii="宋体" w:hAnsi="宋体"/>
                <w:szCs w:val="21"/>
              </w:rPr>
            </w:pPr>
            <w:r>
              <w:rPr>
                <w:rFonts w:hint="eastAsia" w:ascii="宋体" w:hAnsi="宋体"/>
                <w:szCs w:val="21"/>
              </w:rPr>
              <w:t>9.3 招投标交易主体应登录“电子交易平台”（https://www.ggzyyth.jl.cn/EpointSSO）完善主体信息后再开展交易活动。</w:t>
            </w:r>
          </w:p>
          <w:p w14:paraId="4FA844F7">
            <w:pPr>
              <w:wordWrap w:val="0"/>
              <w:adjustRightInd w:val="0"/>
              <w:snapToGrid w:val="0"/>
              <w:spacing w:line="360" w:lineRule="atLeast"/>
              <w:ind w:firstLine="210" w:firstLineChars="100"/>
              <w:rPr>
                <w:rFonts w:ascii="宋体" w:hAnsi="宋体"/>
                <w:szCs w:val="21"/>
              </w:rPr>
            </w:pPr>
            <w:r>
              <w:rPr>
                <w:rFonts w:hint="eastAsia" w:ascii="宋体" w:hAnsi="宋体"/>
                <w:szCs w:val="21"/>
              </w:rPr>
              <w:t>9.4 “电子交易平台”实现数字证书（CA锁，含电子签章）全省互用。“电子交易平台”技术咨询服务电话：0431-82752720。</w:t>
            </w:r>
          </w:p>
          <w:p w14:paraId="33313786">
            <w:pPr>
              <w:wordWrap w:val="0"/>
              <w:adjustRightInd w:val="0"/>
              <w:snapToGrid w:val="0"/>
              <w:spacing w:line="360" w:lineRule="atLeast"/>
              <w:ind w:firstLine="210" w:firstLineChars="100"/>
              <w:rPr>
                <w:rFonts w:ascii="宋体" w:hAnsi="宋体"/>
                <w:szCs w:val="21"/>
              </w:rPr>
            </w:pPr>
            <w:r>
              <w:rPr>
                <w:rFonts w:hint="eastAsia" w:ascii="宋体" w:hAnsi="宋体"/>
                <w:szCs w:val="21"/>
              </w:rPr>
              <w:t>9.5 投标人在“吉林省公路建设市场信用信息服务系统”（以下简称“省公路信息系统”）完成注册及信息填报（仅限具备公路监理资质的企业），具体操作流程详见“吉林省交通运输厅关于《吉林省公路建设市场信用信息服务系统》征集从业企业信息有关情况的公告”（http://jtyst.jl.gov.cn/zw_133208/tzgg/202011/t20201118_7749408.html）和“吉林省交通运输厅关于征集公路养护项目从业企业信息有关情况的公告”（</w:t>
            </w:r>
            <w:r>
              <w:rPr>
                <w:rFonts w:ascii="宋体" w:hAnsi="宋体"/>
                <w:szCs w:val="21"/>
              </w:rPr>
              <w:t>http://jtyst.jl.gov.cn/zw_133208/tzgg/202101/t20210125_7923677.html</w:t>
            </w:r>
            <w:r>
              <w:rPr>
                <w:rFonts w:hint="eastAsia" w:ascii="宋体" w:hAnsi="宋体"/>
                <w:szCs w:val="21"/>
              </w:rPr>
              <w:t>）。投标人宜在投标截止时间15天前完成省公路信息系统注册及信息填报。</w:t>
            </w:r>
          </w:p>
        </w:tc>
      </w:tr>
      <w:tr w14:paraId="0EED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31" w:type="dxa"/>
            <w:gridSpan w:val="3"/>
            <w:vAlign w:val="center"/>
          </w:tcPr>
          <w:p w14:paraId="466E9AAE">
            <w:pPr>
              <w:keepNext/>
              <w:adjustRightInd w:val="0"/>
              <w:snapToGrid w:val="0"/>
              <w:spacing w:line="360" w:lineRule="atLeast"/>
              <w:ind w:firstLine="210" w:firstLineChars="100"/>
              <w:rPr>
                <w:rFonts w:ascii="宋体" w:hAnsi="宋体"/>
                <w:szCs w:val="21"/>
              </w:rPr>
            </w:pPr>
            <w:r>
              <w:rPr>
                <w:rFonts w:hint="eastAsia" w:ascii="宋体" w:hAnsi="宋体"/>
                <w:szCs w:val="21"/>
              </w:rPr>
              <w:t>需要补充的其他内容</w:t>
            </w:r>
          </w:p>
        </w:tc>
      </w:tr>
      <w:tr w14:paraId="72AB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79B27CA7">
            <w:pPr>
              <w:adjustRightInd w:val="0"/>
              <w:snapToGrid w:val="0"/>
              <w:jc w:val="center"/>
              <w:rPr>
                <w:rFonts w:ascii="宋体" w:hAnsi="宋体"/>
                <w:szCs w:val="21"/>
              </w:rPr>
            </w:pPr>
            <w:r>
              <w:rPr>
                <w:rFonts w:hint="eastAsia" w:ascii="宋体" w:hAnsi="宋体"/>
                <w:szCs w:val="21"/>
              </w:rPr>
              <w:t>10.2</w:t>
            </w:r>
          </w:p>
        </w:tc>
        <w:tc>
          <w:tcPr>
            <w:tcW w:w="1801" w:type="dxa"/>
            <w:vAlign w:val="center"/>
          </w:tcPr>
          <w:p w14:paraId="205C0022">
            <w:pPr>
              <w:autoSpaceDE w:val="0"/>
              <w:autoSpaceDN w:val="0"/>
              <w:adjustRightInd w:val="0"/>
              <w:snapToGrid w:val="0"/>
              <w:jc w:val="center"/>
              <w:rPr>
                <w:rFonts w:ascii="宋体" w:hAnsi="宋体"/>
                <w:szCs w:val="21"/>
              </w:rPr>
            </w:pPr>
            <w:r>
              <w:rPr>
                <w:rFonts w:hint="eastAsia" w:ascii="宋体" w:hAnsi="宋体" w:cs="宋体"/>
                <w:szCs w:val="21"/>
              </w:rPr>
              <w:t>词语定义</w:t>
            </w:r>
          </w:p>
        </w:tc>
        <w:tc>
          <w:tcPr>
            <w:tcW w:w="7094" w:type="dxa"/>
            <w:vAlign w:val="center"/>
          </w:tcPr>
          <w:p w14:paraId="6E93A2B9">
            <w:pPr>
              <w:adjustRightInd w:val="0"/>
              <w:snapToGrid w:val="0"/>
              <w:spacing w:line="360" w:lineRule="atLeast"/>
              <w:ind w:firstLine="210" w:firstLineChars="100"/>
              <w:rPr>
                <w:rFonts w:ascii="宋体" w:hAnsi="宋体" w:cs="宋体"/>
                <w:kern w:val="0"/>
                <w:szCs w:val="21"/>
                <w:lang w:val="zh-CN"/>
              </w:rPr>
            </w:pPr>
            <w:r>
              <w:rPr>
                <w:rFonts w:hint="eastAsia" w:ascii="宋体" w:hAnsi="宋体"/>
                <w:szCs w:val="21"/>
              </w:rPr>
              <w:t>（1）本文件中</w:t>
            </w:r>
            <w:r>
              <w:rPr>
                <w:rFonts w:hint="eastAsia" w:ascii="宋体" w:hAnsi="宋体" w:cs="宋体"/>
                <w:kern w:val="0"/>
                <w:szCs w:val="21"/>
                <w:lang w:val="zh-CN"/>
              </w:rPr>
              <w:t>所称的</w:t>
            </w:r>
            <w:r>
              <w:rPr>
                <w:rFonts w:hint="eastAsia" w:ascii="宋体" w:hAnsi="宋体"/>
                <w:b/>
                <w:szCs w:val="21"/>
              </w:rPr>
              <w:t>“</w:t>
            </w:r>
            <w:r>
              <w:rPr>
                <w:rFonts w:hint="eastAsia" w:ascii="宋体" w:hAnsi="宋体"/>
                <w:szCs w:val="21"/>
              </w:rPr>
              <w:t>以上”、“以下”、“以内”</w:t>
            </w:r>
            <w:r>
              <w:rPr>
                <w:rFonts w:hint="eastAsia" w:ascii="宋体" w:hAnsi="宋体" w:cs="宋体"/>
                <w:kern w:val="0"/>
                <w:szCs w:val="21"/>
                <w:lang w:val="zh-CN"/>
              </w:rPr>
              <w:t>，包括本数；所称的</w:t>
            </w:r>
            <w:r>
              <w:rPr>
                <w:rFonts w:hint="eastAsia" w:ascii="宋体" w:hAnsi="宋体"/>
                <w:b/>
                <w:szCs w:val="21"/>
              </w:rPr>
              <w:t>“</w:t>
            </w:r>
            <w:r>
              <w:rPr>
                <w:rFonts w:hint="eastAsia" w:ascii="宋体" w:hAnsi="宋体"/>
                <w:szCs w:val="21"/>
              </w:rPr>
              <w:t>以外</w:t>
            </w:r>
            <w:r>
              <w:rPr>
                <w:rFonts w:hint="eastAsia" w:ascii="宋体" w:hAnsi="宋体"/>
                <w:b/>
                <w:szCs w:val="21"/>
              </w:rPr>
              <w:t>”</w:t>
            </w:r>
            <w:r>
              <w:rPr>
                <w:rFonts w:hint="eastAsia" w:ascii="宋体" w:hAnsi="宋体" w:cs="宋体"/>
                <w:kern w:val="0"/>
                <w:szCs w:val="21"/>
                <w:lang w:val="zh-CN"/>
              </w:rPr>
              <w:t>，不包括本数。</w:t>
            </w:r>
          </w:p>
          <w:p w14:paraId="55B9C1D7">
            <w:pPr>
              <w:adjustRightInd w:val="0"/>
              <w:snapToGrid w:val="0"/>
              <w:spacing w:line="360" w:lineRule="atLeast"/>
              <w:ind w:firstLine="210" w:firstLineChars="100"/>
              <w:rPr>
                <w:rFonts w:ascii="宋体" w:hAnsi="宋体" w:cs="宋体"/>
                <w:kern w:val="0"/>
                <w:szCs w:val="21"/>
                <w:lang w:val="zh-CN"/>
              </w:rPr>
            </w:pPr>
            <w:r>
              <w:rPr>
                <w:rFonts w:hint="eastAsia" w:ascii="宋体" w:hAnsi="宋体"/>
                <w:szCs w:val="21"/>
              </w:rPr>
              <w:t>（2）除有特殊说明外，本文件中</w:t>
            </w:r>
            <w:r>
              <w:rPr>
                <w:rFonts w:hint="eastAsia" w:ascii="宋体" w:hAnsi="宋体" w:cs="宋体"/>
                <w:kern w:val="0"/>
                <w:szCs w:val="21"/>
                <w:lang w:val="zh-CN"/>
              </w:rPr>
              <w:t>所称的“近3年”或“近5年”等，是指自投标截止时间所在年度起逆推3年或5年。如：投标截止时间所在年度为202</w:t>
            </w:r>
            <w:r>
              <w:rPr>
                <w:rFonts w:hint="eastAsia" w:ascii="宋体" w:hAnsi="宋体" w:cs="宋体"/>
                <w:kern w:val="0"/>
                <w:szCs w:val="21"/>
                <w:lang w:val="en-US" w:eastAsia="zh-CN"/>
              </w:rPr>
              <w:t>6</w:t>
            </w:r>
            <w:r>
              <w:rPr>
                <w:rFonts w:hint="eastAsia" w:ascii="宋体" w:hAnsi="宋体" w:cs="宋体"/>
                <w:kern w:val="0"/>
                <w:szCs w:val="21"/>
                <w:lang w:val="zh-CN"/>
              </w:rPr>
              <w:t>年，“近</w:t>
            </w:r>
            <w:r>
              <w:rPr>
                <w:rFonts w:ascii="宋体" w:hAnsi="宋体" w:cs="宋体"/>
                <w:kern w:val="0"/>
                <w:szCs w:val="21"/>
              </w:rPr>
              <w:t>3</w:t>
            </w:r>
            <w:r>
              <w:rPr>
                <w:rFonts w:hint="eastAsia" w:ascii="宋体" w:hAnsi="宋体" w:cs="宋体"/>
                <w:kern w:val="0"/>
                <w:szCs w:val="21"/>
                <w:lang w:val="zh-CN"/>
              </w:rPr>
              <w:t>年”的年限从202</w:t>
            </w:r>
            <w:r>
              <w:rPr>
                <w:rFonts w:hint="eastAsia" w:ascii="宋体" w:hAnsi="宋体" w:cs="宋体"/>
                <w:kern w:val="0"/>
                <w:szCs w:val="21"/>
                <w:lang w:val="en-US" w:eastAsia="zh-CN"/>
              </w:rPr>
              <w:t>3</w:t>
            </w:r>
            <w:r>
              <w:rPr>
                <w:rFonts w:hint="eastAsia" w:ascii="宋体" w:hAnsi="宋体" w:cs="宋体"/>
                <w:kern w:val="0"/>
                <w:szCs w:val="21"/>
                <w:lang w:val="zh-CN"/>
              </w:rPr>
              <w:t>年1月1日算起</w:t>
            </w:r>
            <w:r>
              <w:rPr>
                <w:rFonts w:ascii="宋体" w:hAnsi="宋体" w:cs="宋体"/>
                <w:kern w:val="0"/>
                <w:szCs w:val="21"/>
              </w:rPr>
              <w:t>,</w:t>
            </w:r>
            <w:r>
              <w:rPr>
                <w:rFonts w:hint="eastAsia" w:ascii="宋体" w:hAnsi="宋体" w:cs="宋体"/>
                <w:kern w:val="0"/>
                <w:szCs w:val="21"/>
                <w:lang w:val="zh-CN"/>
              </w:rPr>
              <w:t>“近</w:t>
            </w:r>
            <w:r>
              <w:rPr>
                <w:rFonts w:ascii="宋体" w:hAnsi="宋体" w:cs="宋体"/>
                <w:kern w:val="0"/>
                <w:szCs w:val="21"/>
              </w:rPr>
              <w:t>5</w:t>
            </w:r>
            <w:r>
              <w:rPr>
                <w:rFonts w:hint="eastAsia" w:ascii="宋体" w:hAnsi="宋体" w:cs="宋体"/>
                <w:kern w:val="0"/>
                <w:szCs w:val="21"/>
                <w:lang w:val="zh-CN"/>
              </w:rPr>
              <w:t>年”的年限从202</w:t>
            </w:r>
            <w:r>
              <w:rPr>
                <w:rFonts w:hint="eastAsia" w:ascii="宋体" w:hAnsi="宋体" w:cs="宋体"/>
                <w:kern w:val="0"/>
                <w:szCs w:val="21"/>
                <w:lang w:val="en-US" w:eastAsia="zh-CN"/>
              </w:rPr>
              <w:t>1</w:t>
            </w:r>
            <w:r>
              <w:rPr>
                <w:rFonts w:hint="eastAsia" w:ascii="宋体" w:hAnsi="宋体" w:cs="宋体"/>
                <w:kern w:val="0"/>
                <w:szCs w:val="21"/>
                <w:lang w:val="zh-CN"/>
              </w:rPr>
              <w:t>年1月1日算起。</w:t>
            </w:r>
          </w:p>
          <w:p w14:paraId="0268A3A9">
            <w:pPr>
              <w:adjustRightInd w:val="0"/>
              <w:snapToGrid w:val="0"/>
              <w:spacing w:line="360" w:lineRule="atLeast"/>
              <w:ind w:firstLine="210" w:firstLineChars="100"/>
              <w:rPr>
                <w:rFonts w:ascii="宋体" w:hAnsi="宋体"/>
                <w:szCs w:val="21"/>
              </w:rPr>
            </w:pPr>
            <w:r>
              <w:rPr>
                <w:rFonts w:hint="eastAsia" w:ascii="宋体" w:hAnsi="宋体"/>
                <w:szCs w:val="21"/>
              </w:rPr>
              <w:t>（3）投标人须知中的“电子交易平台”均指“吉林省公共资源交易一体化平台”。</w:t>
            </w:r>
          </w:p>
          <w:p w14:paraId="0AD16611">
            <w:pPr>
              <w:adjustRightInd w:val="0"/>
              <w:snapToGrid w:val="0"/>
              <w:spacing w:line="360" w:lineRule="atLeast"/>
              <w:ind w:firstLine="210" w:firstLineChars="100"/>
              <w:rPr>
                <w:rFonts w:ascii="宋体" w:hAnsi="宋体"/>
                <w:szCs w:val="21"/>
              </w:rPr>
            </w:pPr>
            <w:r>
              <w:rPr>
                <w:rFonts w:hint="eastAsia" w:ascii="宋体" w:hAnsi="宋体"/>
                <w:szCs w:val="21"/>
              </w:rPr>
              <w:t>（4）投标人须知正文中的“全国公路建设市场信用信息管理系统（http：//glxy.mot.gov.cn）”均修改为“全国公路建设市场监督管理系统”（https://hwdms.mot.gov.cn）。</w:t>
            </w:r>
          </w:p>
        </w:tc>
      </w:tr>
      <w:tr w14:paraId="729A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7" w:hRule="atLeast"/>
          <w:jc w:val="center"/>
        </w:trPr>
        <w:tc>
          <w:tcPr>
            <w:tcW w:w="936" w:type="dxa"/>
            <w:vAlign w:val="center"/>
          </w:tcPr>
          <w:p w14:paraId="5E813E6A">
            <w:pPr>
              <w:adjustRightInd w:val="0"/>
              <w:snapToGrid w:val="0"/>
              <w:jc w:val="center"/>
              <w:rPr>
                <w:rFonts w:ascii="宋体" w:hAnsi="宋体"/>
                <w:szCs w:val="21"/>
              </w:rPr>
            </w:pPr>
            <w:r>
              <w:rPr>
                <w:rFonts w:hint="eastAsia" w:ascii="宋体" w:hAnsi="宋体"/>
                <w:szCs w:val="21"/>
              </w:rPr>
              <w:t>10.</w:t>
            </w:r>
            <w:r>
              <w:rPr>
                <w:rFonts w:ascii="宋体" w:hAnsi="宋体"/>
                <w:szCs w:val="21"/>
              </w:rPr>
              <w:t>3</w:t>
            </w:r>
          </w:p>
        </w:tc>
        <w:tc>
          <w:tcPr>
            <w:tcW w:w="1801" w:type="dxa"/>
            <w:vAlign w:val="center"/>
          </w:tcPr>
          <w:p w14:paraId="1641F62F">
            <w:pPr>
              <w:autoSpaceDE w:val="0"/>
              <w:autoSpaceDN w:val="0"/>
              <w:adjustRightInd w:val="0"/>
              <w:snapToGrid w:val="0"/>
              <w:jc w:val="center"/>
              <w:rPr>
                <w:rFonts w:ascii="宋体" w:hAnsi="宋体" w:cs="宋体"/>
                <w:szCs w:val="21"/>
              </w:rPr>
            </w:pPr>
            <w:r>
              <w:rPr>
                <w:rFonts w:hint="eastAsia" w:ascii="宋体" w:hAnsi="宋体"/>
                <w:szCs w:val="21"/>
              </w:rPr>
              <w:t>招标代理服务费</w:t>
            </w:r>
          </w:p>
        </w:tc>
        <w:tc>
          <w:tcPr>
            <w:tcW w:w="7094" w:type="dxa"/>
            <w:vAlign w:val="center"/>
          </w:tcPr>
          <w:p w14:paraId="7D2CAA1C">
            <w:pPr>
              <w:keepLines/>
              <w:adjustRightInd w:val="0"/>
              <w:snapToGrid w:val="0"/>
              <w:spacing w:line="360" w:lineRule="atLeast"/>
              <w:ind w:firstLine="210" w:firstLineChars="100"/>
              <w:rPr>
                <w:rFonts w:ascii="宋体" w:hAnsi="宋体"/>
                <w:kern w:val="0"/>
                <w:szCs w:val="21"/>
                <w:lang w:val="zh-CN"/>
              </w:rPr>
            </w:pPr>
            <w:r>
              <w:rPr>
                <w:rFonts w:hint="eastAsia" w:ascii="宋体" w:hAnsi="宋体"/>
                <w:kern w:val="0"/>
                <w:szCs w:val="21"/>
                <w:lang w:val="zh-CN"/>
              </w:rPr>
              <w:t>用于本项目的招标代理服务费由中标人支付，投标人应将此费用摊入报价之中。参照计价格〔2002〕1980号、发改办价格〔2003〕857号、发改价格〔2015〕299号等文件规定，以中标金额为基准额，适用代理服务费用标准（服务类），并采用差额定率累进法计算基准代理收费额，然后按下表规定的折扣系数采用差额定率累进法计算本项目的招标代理服务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34"/>
              <w:gridCol w:w="850"/>
              <w:gridCol w:w="850"/>
              <w:gridCol w:w="850"/>
              <w:gridCol w:w="1020"/>
            </w:tblGrid>
            <w:tr w14:paraId="3905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34" w:type="dxa"/>
                </w:tcPr>
                <w:p w14:paraId="0D6C3C5A">
                  <w:pPr>
                    <w:adjustRightInd w:val="0"/>
                    <w:snapToGrid w:val="0"/>
                    <w:jc w:val="center"/>
                    <w:rPr>
                      <w:rFonts w:ascii="宋体" w:hAnsi="宋体"/>
                      <w:szCs w:val="21"/>
                    </w:rPr>
                  </w:pPr>
                  <w:r>
                    <w:rPr>
                      <w:rFonts w:hint="eastAsia" w:ascii="宋体" w:hAnsi="宋体"/>
                      <w:szCs w:val="21"/>
                    </w:rPr>
                    <w:t>基准代理费</w:t>
                  </w:r>
                </w:p>
              </w:tc>
              <w:tc>
                <w:tcPr>
                  <w:tcW w:w="850" w:type="dxa"/>
                  <w:vAlign w:val="center"/>
                </w:tcPr>
                <w:p w14:paraId="1006F0E5">
                  <w:pPr>
                    <w:adjustRightInd w:val="0"/>
                    <w:snapToGrid w:val="0"/>
                    <w:jc w:val="center"/>
                    <w:rPr>
                      <w:rFonts w:ascii="宋体" w:hAnsi="宋体" w:cs="宋体"/>
                      <w:szCs w:val="21"/>
                    </w:rPr>
                  </w:pPr>
                  <w:r>
                    <w:rPr>
                      <w:rFonts w:hint="eastAsia" w:ascii="宋体" w:hAnsi="宋体" w:cs="宋体"/>
                      <w:szCs w:val="21"/>
                    </w:rPr>
                    <w:t>2万以下</w:t>
                  </w:r>
                </w:p>
              </w:tc>
              <w:tc>
                <w:tcPr>
                  <w:tcW w:w="850" w:type="dxa"/>
                  <w:vAlign w:val="center"/>
                </w:tcPr>
                <w:p w14:paraId="1ED51C60">
                  <w:pPr>
                    <w:adjustRightInd w:val="0"/>
                    <w:snapToGrid w:val="0"/>
                    <w:jc w:val="center"/>
                    <w:rPr>
                      <w:rFonts w:ascii="宋体" w:hAnsi="宋体" w:cs="宋体"/>
                      <w:szCs w:val="21"/>
                    </w:rPr>
                  </w:pPr>
                  <w:r>
                    <w:rPr>
                      <w:rFonts w:hint="eastAsia" w:ascii="宋体" w:hAnsi="宋体" w:cs="宋体"/>
                      <w:szCs w:val="21"/>
                    </w:rPr>
                    <w:t>2～5万</w:t>
                  </w:r>
                </w:p>
              </w:tc>
              <w:tc>
                <w:tcPr>
                  <w:tcW w:w="850" w:type="dxa"/>
                  <w:vAlign w:val="center"/>
                </w:tcPr>
                <w:p w14:paraId="6DB8BE0A">
                  <w:pPr>
                    <w:adjustRightInd w:val="0"/>
                    <w:snapToGrid w:val="0"/>
                    <w:jc w:val="center"/>
                    <w:rPr>
                      <w:rFonts w:ascii="宋体" w:hAnsi="宋体" w:cs="宋体"/>
                      <w:szCs w:val="21"/>
                    </w:rPr>
                  </w:pPr>
                  <w:r>
                    <w:rPr>
                      <w:rFonts w:hint="eastAsia" w:ascii="宋体" w:hAnsi="宋体" w:cs="宋体"/>
                      <w:szCs w:val="21"/>
                    </w:rPr>
                    <w:t>5～10万</w:t>
                  </w:r>
                </w:p>
              </w:tc>
              <w:tc>
                <w:tcPr>
                  <w:tcW w:w="1020" w:type="dxa"/>
                  <w:vAlign w:val="center"/>
                </w:tcPr>
                <w:p w14:paraId="48370DF4">
                  <w:pPr>
                    <w:adjustRightInd w:val="0"/>
                    <w:snapToGrid w:val="0"/>
                    <w:jc w:val="center"/>
                    <w:rPr>
                      <w:rFonts w:ascii="宋体" w:hAnsi="宋体" w:cs="宋体"/>
                      <w:szCs w:val="21"/>
                    </w:rPr>
                  </w:pPr>
                  <w:r>
                    <w:rPr>
                      <w:rFonts w:ascii="宋体" w:hAnsi="宋体" w:cs="宋体"/>
                      <w:szCs w:val="21"/>
                    </w:rPr>
                    <w:t>10</w:t>
                  </w:r>
                  <w:r>
                    <w:rPr>
                      <w:rFonts w:hint="eastAsia" w:ascii="宋体" w:hAnsi="宋体" w:cs="宋体"/>
                      <w:szCs w:val="21"/>
                    </w:rPr>
                    <w:t>万以上</w:t>
                  </w:r>
                </w:p>
              </w:tc>
            </w:tr>
            <w:tr w14:paraId="4689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34" w:type="dxa"/>
                </w:tcPr>
                <w:p w14:paraId="1A0D631E">
                  <w:pPr>
                    <w:adjustRightInd w:val="0"/>
                    <w:snapToGrid w:val="0"/>
                    <w:jc w:val="center"/>
                    <w:rPr>
                      <w:rFonts w:ascii="宋体" w:hAnsi="宋体"/>
                      <w:szCs w:val="21"/>
                    </w:rPr>
                  </w:pPr>
                  <w:r>
                    <w:rPr>
                      <w:rFonts w:hint="eastAsia" w:ascii="宋体" w:hAnsi="宋体"/>
                      <w:szCs w:val="21"/>
                    </w:rPr>
                    <w:t>折扣系数</w:t>
                  </w:r>
                </w:p>
              </w:tc>
              <w:tc>
                <w:tcPr>
                  <w:tcW w:w="850" w:type="dxa"/>
                  <w:vAlign w:val="center"/>
                </w:tcPr>
                <w:p w14:paraId="3D16BB39">
                  <w:pPr>
                    <w:adjustRightInd w:val="0"/>
                    <w:snapToGrid w:val="0"/>
                    <w:jc w:val="center"/>
                    <w:rPr>
                      <w:rFonts w:ascii="宋体" w:hAnsi="宋体" w:cs="宋体"/>
                      <w:szCs w:val="21"/>
                    </w:rPr>
                  </w:pPr>
                  <w:r>
                    <w:rPr>
                      <w:rFonts w:hint="eastAsia" w:ascii="宋体" w:hAnsi="宋体" w:cs="宋体"/>
                      <w:szCs w:val="21"/>
                    </w:rPr>
                    <w:t>1.0</w:t>
                  </w:r>
                </w:p>
              </w:tc>
              <w:tc>
                <w:tcPr>
                  <w:tcW w:w="850" w:type="dxa"/>
                  <w:vAlign w:val="center"/>
                </w:tcPr>
                <w:p w14:paraId="755F528B">
                  <w:pPr>
                    <w:adjustRightInd w:val="0"/>
                    <w:snapToGrid w:val="0"/>
                    <w:jc w:val="center"/>
                    <w:rPr>
                      <w:rFonts w:ascii="宋体" w:hAnsi="宋体" w:cs="宋体"/>
                      <w:szCs w:val="21"/>
                    </w:rPr>
                  </w:pPr>
                  <w:r>
                    <w:rPr>
                      <w:rFonts w:hint="eastAsia" w:ascii="宋体" w:hAnsi="宋体" w:cs="宋体"/>
                      <w:szCs w:val="21"/>
                    </w:rPr>
                    <w:t>0.9</w:t>
                  </w:r>
                </w:p>
              </w:tc>
              <w:tc>
                <w:tcPr>
                  <w:tcW w:w="850" w:type="dxa"/>
                  <w:vAlign w:val="center"/>
                </w:tcPr>
                <w:p w14:paraId="4C7F5AA6">
                  <w:pPr>
                    <w:adjustRightInd w:val="0"/>
                    <w:snapToGrid w:val="0"/>
                    <w:jc w:val="center"/>
                    <w:rPr>
                      <w:rFonts w:ascii="宋体" w:hAnsi="宋体" w:cs="宋体"/>
                      <w:szCs w:val="21"/>
                    </w:rPr>
                  </w:pPr>
                  <w:r>
                    <w:rPr>
                      <w:rFonts w:hint="eastAsia" w:ascii="宋体" w:hAnsi="宋体" w:cs="宋体"/>
                      <w:szCs w:val="21"/>
                    </w:rPr>
                    <w:t>0.8</w:t>
                  </w:r>
                </w:p>
              </w:tc>
              <w:tc>
                <w:tcPr>
                  <w:tcW w:w="1020" w:type="dxa"/>
                </w:tcPr>
                <w:p w14:paraId="4453E192">
                  <w:pPr>
                    <w:adjustRightInd w:val="0"/>
                    <w:snapToGrid w:val="0"/>
                    <w:jc w:val="center"/>
                    <w:rPr>
                      <w:rFonts w:ascii="宋体" w:hAnsi="宋体" w:cs="宋体"/>
                      <w:szCs w:val="21"/>
                    </w:rPr>
                  </w:pPr>
                  <w:r>
                    <w:rPr>
                      <w:rFonts w:hint="eastAsia" w:ascii="宋体" w:hAnsi="宋体" w:cs="宋体"/>
                      <w:szCs w:val="21"/>
                    </w:rPr>
                    <w:t>0</w:t>
                  </w:r>
                  <w:r>
                    <w:rPr>
                      <w:rFonts w:ascii="宋体" w:hAnsi="宋体" w:cs="宋体"/>
                      <w:szCs w:val="21"/>
                    </w:rPr>
                    <w:t>.</w:t>
                  </w:r>
                  <w:r>
                    <w:rPr>
                      <w:rFonts w:hint="eastAsia" w:ascii="宋体" w:hAnsi="宋体" w:cs="宋体"/>
                      <w:szCs w:val="21"/>
                    </w:rPr>
                    <w:t>7</w:t>
                  </w:r>
                </w:p>
              </w:tc>
            </w:tr>
          </w:tbl>
          <w:p w14:paraId="1AA34BC8">
            <w:pPr>
              <w:adjustRightInd w:val="0"/>
              <w:snapToGrid w:val="0"/>
              <w:spacing w:line="360" w:lineRule="atLeast"/>
              <w:ind w:firstLine="210" w:firstLineChars="100"/>
              <w:rPr>
                <w:rFonts w:ascii="宋体" w:hAnsi="宋体"/>
                <w:szCs w:val="21"/>
              </w:rPr>
            </w:pPr>
            <w:r>
              <w:rPr>
                <w:rFonts w:hint="eastAsia" w:ascii="宋体" w:hAnsi="宋体"/>
                <w:szCs w:val="21"/>
              </w:rPr>
              <w:t>在签订合同前，中标人应将招标代理服务费以电汇形式或招标代理机构认可的其他方式提交至</w:t>
            </w:r>
            <w:r>
              <w:rPr>
                <w:rFonts w:hint="eastAsia" w:ascii="宋体" w:hAnsi="宋体"/>
                <w:szCs w:val="21"/>
                <w:lang w:eastAsia="zh-CN"/>
              </w:rPr>
              <w:t>中高建项目管理有限公司</w:t>
            </w:r>
            <w:r>
              <w:rPr>
                <w:rFonts w:hint="eastAsia" w:ascii="宋体" w:hAnsi="宋体"/>
                <w:szCs w:val="21"/>
              </w:rPr>
              <w:t>的以下账户：</w:t>
            </w:r>
          </w:p>
          <w:p w14:paraId="3F3ADE4F">
            <w:pPr>
              <w:pStyle w:val="9"/>
              <w:spacing w:line="40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收款人全称：中高建项目管理有限公司</w:t>
            </w:r>
          </w:p>
          <w:p w14:paraId="7055F08B">
            <w:pPr>
              <w:pStyle w:val="9"/>
              <w:spacing w:line="40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账号:4200223109000018307 </w:t>
            </w:r>
          </w:p>
          <w:p w14:paraId="15892293">
            <w:pPr>
              <w:pStyle w:val="9"/>
              <w:spacing w:line="40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开户行:工行长春新区支行</w:t>
            </w:r>
          </w:p>
          <w:p w14:paraId="2A0D25CC">
            <w:pPr>
              <w:pStyle w:val="9"/>
              <w:spacing w:line="40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行号：102241000404 </w:t>
            </w:r>
          </w:p>
          <w:p w14:paraId="02F20927">
            <w:pPr>
              <w:pStyle w:val="9"/>
              <w:spacing w:line="40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招标代理服务费的支付：现金、银行转账、电汇均可。</w:t>
            </w:r>
          </w:p>
          <w:p w14:paraId="125DAFBF">
            <w:pPr>
              <w:autoSpaceDE w:val="0"/>
              <w:autoSpaceDN w:val="0"/>
              <w:spacing w:line="360" w:lineRule="exact"/>
              <w:rPr>
                <w:rFonts w:hint="default" w:ascii="宋体" w:hAnsi="宋体"/>
                <w:szCs w:val="21"/>
                <w:lang w:val="en-US"/>
              </w:rPr>
            </w:pPr>
            <w:r>
              <w:rPr>
                <w:rFonts w:hint="eastAsia" w:ascii="宋体" w:hAnsi="宋体" w:eastAsia="宋体" w:cs="宋体"/>
                <w:color w:val="auto"/>
                <w:kern w:val="0"/>
                <w:sz w:val="21"/>
                <w:szCs w:val="21"/>
                <w:highlight w:val="none"/>
                <w:lang w:val="zh-CN" w:eastAsia="zh-CN" w:bidi="ar-SA"/>
              </w:rPr>
              <w:t>联系电话：</w:t>
            </w:r>
            <w:r>
              <w:rPr>
                <w:rFonts w:hint="eastAsia" w:ascii="宋体" w:hAnsi="宋体" w:cs="宋体"/>
                <w:color w:val="auto"/>
                <w:kern w:val="0"/>
                <w:sz w:val="21"/>
                <w:szCs w:val="21"/>
                <w:highlight w:val="none"/>
                <w:lang w:val="en-US" w:eastAsia="zh-CN" w:bidi="ar-SA"/>
              </w:rPr>
              <w:t>0431-81101867</w:t>
            </w:r>
          </w:p>
        </w:tc>
      </w:tr>
      <w:tr w14:paraId="34A4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4B1878A8">
            <w:pPr>
              <w:adjustRightInd w:val="0"/>
              <w:snapToGrid w:val="0"/>
              <w:jc w:val="center"/>
              <w:rPr>
                <w:rFonts w:ascii="宋体" w:hAnsi="宋体"/>
                <w:szCs w:val="21"/>
              </w:rPr>
            </w:pPr>
            <w:r>
              <w:rPr>
                <w:rFonts w:hint="eastAsia" w:ascii="宋体" w:hAnsi="宋体"/>
                <w:szCs w:val="21"/>
              </w:rPr>
              <w:t>10.4</w:t>
            </w:r>
          </w:p>
        </w:tc>
        <w:tc>
          <w:tcPr>
            <w:tcW w:w="1801" w:type="dxa"/>
            <w:vAlign w:val="center"/>
          </w:tcPr>
          <w:p w14:paraId="7001F5E9">
            <w:pPr>
              <w:adjustRightInd w:val="0"/>
              <w:snapToGrid w:val="0"/>
              <w:jc w:val="center"/>
              <w:rPr>
                <w:rFonts w:ascii="宋体" w:hAnsi="宋体"/>
                <w:szCs w:val="21"/>
              </w:rPr>
            </w:pPr>
            <w:r>
              <w:rPr>
                <w:rFonts w:hint="eastAsia" w:ascii="宋体" w:hAnsi="宋体"/>
                <w:szCs w:val="21"/>
              </w:rPr>
              <w:t>编制投标文件</w:t>
            </w:r>
          </w:p>
          <w:p w14:paraId="071BCE5A">
            <w:pPr>
              <w:adjustRightInd w:val="0"/>
              <w:snapToGrid w:val="0"/>
              <w:jc w:val="center"/>
              <w:rPr>
                <w:rFonts w:ascii="宋体" w:hAnsi="宋体"/>
                <w:szCs w:val="21"/>
              </w:rPr>
            </w:pPr>
            <w:r>
              <w:rPr>
                <w:rFonts w:hint="eastAsia" w:ascii="宋体" w:hAnsi="宋体"/>
                <w:szCs w:val="21"/>
              </w:rPr>
              <w:t>提示</w:t>
            </w:r>
          </w:p>
        </w:tc>
        <w:tc>
          <w:tcPr>
            <w:tcW w:w="7094" w:type="dxa"/>
            <w:vAlign w:val="center"/>
          </w:tcPr>
          <w:p w14:paraId="5EA3AF0E">
            <w:pPr>
              <w:adjustRightInd w:val="0"/>
              <w:snapToGrid w:val="0"/>
              <w:spacing w:line="360" w:lineRule="atLeast"/>
              <w:ind w:firstLine="210" w:firstLineChars="100"/>
              <w:rPr>
                <w:rFonts w:ascii="宋体" w:hAnsi="宋体"/>
                <w:kern w:val="0"/>
                <w:szCs w:val="21"/>
                <w:lang w:val="zh-CN"/>
              </w:rPr>
            </w:pPr>
            <w:r>
              <w:rPr>
                <w:rFonts w:hint="eastAsia" w:ascii="宋体" w:hAnsi="宋体"/>
                <w:kern w:val="0"/>
                <w:szCs w:val="21"/>
                <w:lang w:val="zh-CN"/>
              </w:rPr>
              <w:t>有关《新点投标文件制作软件（吉林省一体化）》的操作问题请咨询国泰新点软件股份有限公司。</w:t>
            </w:r>
          </w:p>
          <w:p w14:paraId="06752ECB">
            <w:pPr>
              <w:adjustRightInd w:val="0"/>
              <w:snapToGrid w:val="0"/>
              <w:spacing w:line="360" w:lineRule="atLeast"/>
              <w:ind w:firstLine="210" w:firstLineChars="100"/>
              <w:rPr>
                <w:rFonts w:ascii="宋体" w:hAnsi="宋体"/>
                <w:kern w:val="0"/>
                <w:szCs w:val="21"/>
                <w:lang w:val="zh-CN"/>
              </w:rPr>
            </w:pPr>
            <w:r>
              <w:rPr>
                <w:rFonts w:hint="eastAsia" w:ascii="宋体" w:hAnsi="宋体"/>
                <w:kern w:val="0"/>
                <w:szCs w:val="21"/>
                <w:lang w:val="zh-CN"/>
              </w:rPr>
              <w:t>《新点投标文件制作软件（吉林省一体化）》下载地址如下（仅供参考）：</w:t>
            </w:r>
          </w:p>
          <w:p w14:paraId="4896F155">
            <w:pPr>
              <w:adjustRightInd w:val="0"/>
              <w:snapToGrid w:val="0"/>
              <w:spacing w:line="360" w:lineRule="atLeast"/>
              <w:ind w:firstLine="210" w:firstLineChars="100"/>
              <w:rPr>
                <w:rFonts w:ascii="宋体" w:hAnsi="宋体"/>
                <w:kern w:val="0"/>
                <w:szCs w:val="21"/>
                <w:lang w:val="zh-CN"/>
              </w:rPr>
            </w:pPr>
            <w:r>
              <w:rPr>
                <w:rFonts w:hint="eastAsia" w:ascii="宋体" w:hAnsi="宋体"/>
                <w:kern w:val="0"/>
                <w:szCs w:val="21"/>
                <w:lang w:val="zh-CN"/>
              </w:rPr>
              <w:t>标桥/下载中心/招投标制作软件/吉林省/新点投标文件制作软件（吉林省一体化）</w:t>
            </w:r>
          </w:p>
          <w:p w14:paraId="103D03AD">
            <w:pPr>
              <w:adjustRightInd w:val="0"/>
              <w:snapToGrid w:val="0"/>
              <w:spacing w:line="360" w:lineRule="atLeast"/>
              <w:ind w:firstLine="210" w:firstLineChars="100"/>
              <w:rPr>
                <w:rFonts w:ascii="宋体" w:hAnsi="宋体"/>
                <w:szCs w:val="21"/>
              </w:rPr>
            </w:pPr>
            <w:r>
              <w:rPr>
                <w:rFonts w:ascii="宋体" w:hAnsi="宋体"/>
                <w:kern w:val="0"/>
                <w:szCs w:val="21"/>
                <w:lang w:val="zh-CN"/>
              </w:rPr>
              <w:t>https://download.bqpoint.com/?SourceFrom=Ztb&amp;ZtbSoftXiaQuCode=2326&amp;ZtbSoftType=tballinclusive&amp;SoftGuid=23b593b4-ac65-444a-bc93-5d1e86aaf7a7&amp;RootGuid=fd2e6da4-6068-4b6a-8cfa-91f8e3c23667</w:t>
            </w:r>
          </w:p>
        </w:tc>
      </w:tr>
      <w:tr w14:paraId="56FD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14:paraId="6DC1D7C1">
            <w:pPr>
              <w:adjustRightInd w:val="0"/>
              <w:snapToGrid w:val="0"/>
              <w:jc w:val="center"/>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5</w:t>
            </w:r>
          </w:p>
        </w:tc>
        <w:tc>
          <w:tcPr>
            <w:tcW w:w="1801" w:type="dxa"/>
            <w:vAlign w:val="center"/>
          </w:tcPr>
          <w:p w14:paraId="43902744">
            <w:pPr>
              <w:adjustRightInd w:val="0"/>
              <w:snapToGrid w:val="0"/>
              <w:jc w:val="center"/>
              <w:rPr>
                <w:rFonts w:ascii="宋体" w:hAnsi="宋体"/>
                <w:szCs w:val="21"/>
              </w:rPr>
            </w:pPr>
            <w:r>
              <w:rPr>
                <w:rFonts w:hint="eastAsia" w:ascii="宋体" w:hAnsi="宋体"/>
                <w:szCs w:val="21"/>
              </w:rPr>
              <w:t>开标</w:t>
            </w:r>
          </w:p>
        </w:tc>
        <w:tc>
          <w:tcPr>
            <w:tcW w:w="7094" w:type="dxa"/>
            <w:vAlign w:val="center"/>
          </w:tcPr>
          <w:p w14:paraId="156B5859">
            <w:pPr>
              <w:adjustRightInd w:val="0"/>
              <w:snapToGrid w:val="0"/>
              <w:spacing w:line="360" w:lineRule="atLeast"/>
              <w:ind w:firstLine="210" w:firstLineChars="100"/>
              <w:rPr>
                <w:rFonts w:ascii="宋体" w:hAnsi="宋体"/>
                <w:kern w:val="0"/>
                <w:szCs w:val="21"/>
              </w:rPr>
            </w:pPr>
            <w:r>
              <w:rPr>
                <w:rFonts w:hint="eastAsia" w:ascii="宋体" w:hAnsi="宋体"/>
                <w:kern w:val="0"/>
                <w:szCs w:val="21"/>
                <w:lang w:val="zh-CN"/>
              </w:rPr>
              <w:t>本项目在</w:t>
            </w:r>
            <w:r>
              <w:rPr>
                <w:rFonts w:hint="eastAsia" w:ascii="宋体" w:hAnsi="宋体"/>
                <w:kern w:val="0"/>
                <w:szCs w:val="21"/>
              </w:rPr>
              <w:t>“</w:t>
            </w:r>
            <w:r>
              <w:rPr>
                <w:rFonts w:hint="eastAsia" w:ascii="宋体" w:hAnsi="宋体"/>
                <w:kern w:val="0"/>
                <w:szCs w:val="21"/>
                <w:lang w:val="zh-CN"/>
              </w:rPr>
              <w:t>电子交易平台</w:t>
            </w:r>
            <w:r>
              <w:rPr>
                <w:rFonts w:hint="eastAsia" w:ascii="宋体" w:hAnsi="宋体"/>
                <w:kern w:val="0"/>
                <w:szCs w:val="21"/>
              </w:rPr>
              <w:t>”</w:t>
            </w:r>
            <w:r>
              <w:rPr>
                <w:rFonts w:hint="eastAsia" w:ascii="宋体" w:hAnsi="宋体"/>
                <w:kern w:val="0"/>
                <w:szCs w:val="21"/>
                <w:lang w:val="zh-CN"/>
              </w:rPr>
              <w:t>中的</w:t>
            </w:r>
            <w:r>
              <w:rPr>
                <w:rFonts w:hint="eastAsia" w:ascii="宋体" w:hAnsi="宋体"/>
                <w:kern w:val="0"/>
                <w:szCs w:val="21"/>
              </w:rPr>
              <w:t>“</w:t>
            </w:r>
            <w:r>
              <w:rPr>
                <w:rFonts w:hint="eastAsia" w:ascii="宋体" w:hAnsi="宋体"/>
                <w:kern w:val="0"/>
                <w:szCs w:val="21"/>
                <w:lang w:val="zh-CN"/>
              </w:rPr>
              <w:t>吉林省不见面开标大厅</w:t>
            </w:r>
            <w:r>
              <w:rPr>
                <w:rFonts w:hint="eastAsia" w:ascii="宋体" w:hAnsi="宋体"/>
                <w:kern w:val="0"/>
                <w:szCs w:val="21"/>
              </w:rPr>
              <w:t>”（</w:t>
            </w:r>
            <w:r>
              <w:rPr>
                <w:rFonts w:ascii="宋体" w:hAnsi="宋体"/>
                <w:kern w:val="0"/>
                <w:szCs w:val="21"/>
              </w:rPr>
              <w:t>https://www.ggzyyth.jl.cn/BidOpeningHallNew</w:t>
            </w:r>
            <w:r>
              <w:rPr>
                <w:rFonts w:hint="eastAsia" w:ascii="宋体" w:hAnsi="宋体"/>
                <w:kern w:val="0"/>
                <w:szCs w:val="21"/>
              </w:rPr>
              <w:t>）</w:t>
            </w:r>
            <w:r>
              <w:rPr>
                <w:rFonts w:hint="eastAsia" w:ascii="宋体" w:hAnsi="宋体"/>
                <w:kern w:val="0"/>
                <w:szCs w:val="21"/>
                <w:lang w:val="zh-CN"/>
              </w:rPr>
              <w:t>实施网上远程开标</w:t>
            </w:r>
            <w:r>
              <w:rPr>
                <w:rFonts w:hint="eastAsia" w:ascii="宋体" w:hAnsi="宋体"/>
                <w:kern w:val="0"/>
                <w:szCs w:val="21"/>
              </w:rPr>
              <w:t>，</w:t>
            </w:r>
            <w:r>
              <w:rPr>
                <w:rFonts w:hint="eastAsia" w:ascii="宋体" w:hAnsi="宋体"/>
                <w:kern w:val="0"/>
                <w:szCs w:val="21"/>
                <w:lang w:val="zh-CN"/>
              </w:rPr>
              <w:t>投标人</w:t>
            </w:r>
            <w:r>
              <w:rPr>
                <w:rFonts w:hint="eastAsia" w:ascii="宋体" w:hAnsi="宋体"/>
                <w:kern w:val="0"/>
                <w:szCs w:val="21"/>
              </w:rPr>
              <w:t>（</w:t>
            </w:r>
            <w:r>
              <w:rPr>
                <w:rFonts w:hint="eastAsia" w:ascii="宋体" w:hAnsi="宋体"/>
                <w:kern w:val="0"/>
                <w:szCs w:val="21"/>
                <w:lang w:val="zh-CN"/>
              </w:rPr>
              <w:t>如为联合体则为联合体牵头人</w:t>
            </w:r>
            <w:r>
              <w:rPr>
                <w:rFonts w:hint="eastAsia" w:ascii="宋体" w:hAnsi="宋体"/>
                <w:kern w:val="0"/>
                <w:szCs w:val="21"/>
              </w:rPr>
              <w:t>）</w:t>
            </w:r>
            <w:r>
              <w:rPr>
                <w:rFonts w:hint="eastAsia" w:ascii="宋体" w:hAnsi="宋体"/>
                <w:kern w:val="0"/>
                <w:szCs w:val="21"/>
                <w:lang w:val="zh-CN"/>
              </w:rPr>
              <w:t>通过</w:t>
            </w:r>
            <w:r>
              <w:rPr>
                <w:rFonts w:hint="eastAsia" w:ascii="宋体" w:hAnsi="宋体"/>
                <w:kern w:val="0"/>
                <w:szCs w:val="21"/>
              </w:rPr>
              <w:t>“</w:t>
            </w:r>
            <w:r>
              <w:rPr>
                <w:rFonts w:hint="eastAsia" w:ascii="宋体" w:hAnsi="宋体"/>
                <w:kern w:val="0"/>
                <w:szCs w:val="21"/>
                <w:lang w:val="zh-CN"/>
              </w:rPr>
              <w:t>吉林省不见面开标大厅</w:t>
            </w:r>
            <w:r>
              <w:rPr>
                <w:rFonts w:hint="eastAsia" w:ascii="宋体" w:hAnsi="宋体"/>
                <w:kern w:val="0"/>
                <w:szCs w:val="21"/>
              </w:rPr>
              <w:t>”</w:t>
            </w:r>
            <w:r>
              <w:rPr>
                <w:rFonts w:hint="eastAsia" w:ascii="宋体" w:hAnsi="宋体"/>
                <w:kern w:val="0"/>
                <w:szCs w:val="21"/>
                <w:lang w:val="zh-CN"/>
              </w:rPr>
              <w:t>进行远程投标文件解密、签章。</w:t>
            </w:r>
          </w:p>
          <w:p w14:paraId="6A896872">
            <w:pPr>
              <w:adjustRightInd w:val="0"/>
              <w:snapToGrid w:val="0"/>
              <w:spacing w:line="360" w:lineRule="atLeast"/>
              <w:ind w:firstLine="210" w:firstLineChars="100"/>
              <w:rPr>
                <w:rFonts w:ascii="宋体" w:hAnsi="宋体"/>
                <w:kern w:val="0"/>
                <w:szCs w:val="21"/>
                <w:lang w:val="zh-CN"/>
              </w:rPr>
            </w:pPr>
            <w:r>
              <w:rPr>
                <w:rFonts w:hint="eastAsia" w:ascii="宋体" w:hAnsi="宋体"/>
                <w:kern w:val="0"/>
                <w:szCs w:val="21"/>
                <w:lang w:val="zh-CN"/>
              </w:rPr>
              <w:t>开标前，投标人应在准备解密、签章的电脑端提前安装好CA驱动并且能正常登录“吉林省不见面开标大厅”系统。建议投标人使用</w:t>
            </w:r>
            <w:r>
              <w:rPr>
                <w:rFonts w:ascii="宋体" w:hAnsi="宋体"/>
                <w:kern w:val="0"/>
                <w:szCs w:val="21"/>
                <w:lang w:val="zh-CN"/>
              </w:rPr>
              <w:t>Windows7</w:t>
            </w:r>
            <w:r>
              <w:rPr>
                <w:rFonts w:hint="eastAsia" w:ascii="宋体" w:hAnsi="宋体"/>
                <w:kern w:val="0"/>
                <w:szCs w:val="21"/>
                <w:lang w:val="zh-CN"/>
              </w:rPr>
              <w:t>操作系统的I</w:t>
            </w:r>
            <w:r>
              <w:rPr>
                <w:rFonts w:ascii="宋体" w:hAnsi="宋体"/>
                <w:kern w:val="0"/>
                <w:szCs w:val="21"/>
                <w:lang w:val="zh-CN"/>
              </w:rPr>
              <w:t>E</w:t>
            </w:r>
            <w:r>
              <w:rPr>
                <w:rFonts w:hint="eastAsia" w:ascii="宋体" w:hAnsi="宋体"/>
                <w:kern w:val="0"/>
                <w:szCs w:val="21"/>
                <w:lang w:val="zh-CN"/>
              </w:rPr>
              <w:t>浏览器进行解密、签章操作。如使用</w:t>
            </w:r>
            <w:r>
              <w:rPr>
                <w:rFonts w:ascii="宋体" w:hAnsi="宋体"/>
                <w:kern w:val="0"/>
                <w:szCs w:val="21"/>
                <w:lang w:val="zh-CN"/>
              </w:rPr>
              <w:t>Windows10</w:t>
            </w:r>
            <w:r>
              <w:rPr>
                <w:rFonts w:hint="eastAsia" w:ascii="宋体" w:hAnsi="宋体"/>
                <w:kern w:val="0"/>
                <w:szCs w:val="21"/>
                <w:lang w:val="zh-CN"/>
              </w:rPr>
              <w:t>、</w:t>
            </w:r>
            <w:r>
              <w:rPr>
                <w:rFonts w:ascii="宋体" w:hAnsi="宋体"/>
                <w:kern w:val="0"/>
                <w:szCs w:val="21"/>
                <w:lang w:val="zh-CN"/>
              </w:rPr>
              <w:t>11</w:t>
            </w:r>
            <w:r>
              <w:rPr>
                <w:rFonts w:hint="eastAsia" w:ascii="宋体" w:hAnsi="宋体"/>
                <w:kern w:val="0"/>
                <w:szCs w:val="21"/>
                <w:lang w:val="zh-CN"/>
              </w:rPr>
              <w:t>等无法正常使用IE浏览器的操作系统，则建议使用以下两种方式进行操作：（1）使用3</w:t>
            </w:r>
            <w:r>
              <w:rPr>
                <w:rFonts w:ascii="宋体" w:hAnsi="宋体"/>
                <w:kern w:val="0"/>
                <w:szCs w:val="21"/>
                <w:lang w:val="zh-CN"/>
              </w:rPr>
              <w:t>60</w:t>
            </w:r>
            <w:r>
              <w:rPr>
                <w:rFonts w:hint="eastAsia" w:ascii="宋体" w:hAnsi="宋体"/>
                <w:kern w:val="0"/>
                <w:szCs w:val="21"/>
                <w:lang w:val="zh-CN"/>
              </w:rPr>
              <w:t>安全浏览器（32位）中的“兼容模式”；（2）通过手机下载并登录“新点标证通A</w:t>
            </w:r>
            <w:r>
              <w:rPr>
                <w:rFonts w:ascii="宋体" w:hAnsi="宋体"/>
                <w:kern w:val="0"/>
                <w:szCs w:val="21"/>
                <w:lang w:val="zh-CN"/>
              </w:rPr>
              <w:t>PP</w:t>
            </w:r>
            <w:r>
              <w:rPr>
                <w:rFonts w:hint="eastAsia" w:ascii="宋体" w:hAnsi="宋体"/>
                <w:kern w:val="0"/>
                <w:szCs w:val="21"/>
                <w:lang w:val="zh-CN"/>
              </w:rPr>
              <w:t>”，申领对应的数字证书，通过扫码解密、签章。</w:t>
            </w:r>
          </w:p>
          <w:p w14:paraId="098DEDE8">
            <w:pPr>
              <w:adjustRightInd w:val="0"/>
              <w:snapToGrid w:val="0"/>
              <w:spacing w:line="360" w:lineRule="atLeast"/>
              <w:ind w:firstLine="210" w:firstLineChars="100"/>
              <w:rPr>
                <w:rFonts w:ascii="宋体" w:hAnsi="宋体"/>
                <w:kern w:val="0"/>
                <w:szCs w:val="21"/>
                <w:lang w:val="zh-CN"/>
              </w:rPr>
            </w:pPr>
            <w:r>
              <w:rPr>
                <w:rFonts w:hint="eastAsia" w:ascii="宋体" w:hAnsi="宋体"/>
                <w:kern w:val="0"/>
                <w:szCs w:val="21"/>
                <w:lang w:val="zh-CN"/>
              </w:rPr>
              <w:t>开标时，在代理机构工作人员公布投标人名单后，按顺序进行投标文件解密。由投标人选择对应的项目，进入“开标远程解密”菜单，点击远程解密（投标人解密时，需插上生成投标文件所用的CA锁并正确输入CA密码，或是使用“新点标证通APP”扫码），成功解密后状态会显示“已解密”。投标人未在规定的时间内完成解密的，该投标视为无效投标。投标人由于数字证书遗失、损坏、更换、续期等自身原因情况导致投标文件无法解密，由投标人自行承担责任。</w:t>
            </w:r>
          </w:p>
          <w:p w14:paraId="0BEB6679">
            <w:pPr>
              <w:adjustRightInd w:val="0"/>
              <w:snapToGrid w:val="0"/>
              <w:spacing w:line="360" w:lineRule="atLeast"/>
              <w:ind w:firstLine="210" w:firstLineChars="100"/>
              <w:rPr>
                <w:rFonts w:ascii="宋体" w:hAnsi="宋体"/>
                <w:szCs w:val="21"/>
              </w:rPr>
            </w:pPr>
            <w:r>
              <w:rPr>
                <w:rFonts w:hint="eastAsia" w:ascii="宋体" w:hAnsi="宋体"/>
                <w:kern w:val="0"/>
                <w:szCs w:val="21"/>
                <w:lang w:val="zh-CN"/>
              </w:rPr>
              <w:t>本项目采用“吉林省不见面开标大厅”直播开标活动。投标人若未派法定代表人或委托代理人参加视频开标会议的，或未全程参加视频开标会议的，视为默认开标结果。</w:t>
            </w:r>
          </w:p>
        </w:tc>
      </w:tr>
      <w:tr w14:paraId="0A6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936" w:type="dxa"/>
            <w:vAlign w:val="center"/>
          </w:tcPr>
          <w:p w14:paraId="6A87E398">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10.6</w:t>
            </w:r>
          </w:p>
        </w:tc>
        <w:tc>
          <w:tcPr>
            <w:tcW w:w="1801" w:type="dxa"/>
            <w:vAlign w:val="center"/>
          </w:tcPr>
          <w:p w14:paraId="521B46DE">
            <w:pPr>
              <w:adjustRightInd w:val="0"/>
              <w:snapToGrid w:val="0"/>
              <w:spacing w:line="360" w:lineRule="auto"/>
              <w:jc w:val="center"/>
              <w:rPr>
                <w:rFonts w:hint="eastAsia" w:ascii="宋体" w:hAnsi="宋体"/>
                <w:szCs w:val="21"/>
              </w:rPr>
            </w:pPr>
            <w:r>
              <w:rPr>
                <w:rFonts w:hint="eastAsia"/>
              </w:rPr>
              <w:t>是否采用“双盲”</w:t>
            </w:r>
          </w:p>
        </w:tc>
        <w:tc>
          <w:tcPr>
            <w:tcW w:w="7094" w:type="dxa"/>
            <w:vAlign w:val="center"/>
          </w:tcPr>
          <w:p w14:paraId="05295218">
            <w:pPr>
              <w:spacing w:line="360" w:lineRule="auto"/>
              <w:rPr>
                <w:rFonts w:hint="eastAsia" w:ascii="宋体" w:hAnsi="宋体" w:eastAsia="宋体"/>
                <w:kern w:val="0"/>
                <w:szCs w:val="21"/>
                <w:lang w:val="en-US" w:eastAsia="zh-CN"/>
              </w:rPr>
            </w:pPr>
            <w:r>
              <w:rPr>
                <w:rFonts w:hint="eastAsia"/>
                <w:lang w:val="en-US" w:eastAsia="zh-CN"/>
              </w:rPr>
              <w:t>评</w:t>
            </w:r>
            <w:r>
              <w:rPr>
                <w:rFonts w:hint="eastAsia"/>
              </w:rPr>
              <w:t>审方式</w:t>
            </w:r>
            <w:r>
              <w:rPr>
                <w:rFonts w:hint="eastAsia"/>
                <w:lang w:eastAsia="zh-CN"/>
              </w:rPr>
              <w:t>：</w:t>
            </w:r>
            <w:r>
              <w:rPr>
                <w:rFonts w:hint="eastAsia"/>
              </w:rPr>
              <w:t>本项目采用“双盲”评审，即评标专家“盲抽”和“盲评”，投标文件的技术建议书部分采用“暗标”形式，投标人应严格按照“第七章投标文件格式”中的要求编制技术建议书。如果技术建议书出现能识别投标人的内容，经评标委员会确定后，将否决其投标。</w:t>
            </w:r>
            <w:r>
              <w:rPr>
                <w:rFonts w:hint="eastAsia"/>
                <w:highlight w:val="none"/>
              </w:rPr>
              <w:t>技术建议书</w:t>
            </w:r>
            <w:r>
              <w:rPr>
                <w:rFonts w:hint="eastAsia" w:ascii="宋体" w:hAnsi="宋体" w:eastAsia="宋体" w:cs="宋体"/>
                <w:szCs w:val="21"/>
                <w:highlight w:val="none"/>
              </w:rPr>
              <w:t>页数控制在</w:t>
            </w:r>
            <w:r>
              <w:rPr>
                <w:rFonts w:hint="eastAsia" w:ascii="宋体" w:hAnsi="宋体" w:cs="宋体"/>
                <w:szCs w:val="21"/>
                <w:highlight w:val="none"/>
                <w:lang w:val="en-US" w:eastAsia="zh-CN"/>
              </w:rPr>
              <w:t>2</w:t>
            </w:r>
            <w:r>
              <w:rPr>
                <w:rFonts w:hint="eastAsia" w:ascii="宋体" w:hAnsi="宋体" w:eastAsia="宋体" w:cs="宋体"/>
                <w:szCs w:val="21"/>
                <w:highlight w:val="none"/>
              </w:rPr>
              <w:t>00页以内</w:t>
            </w:r>
            <w:r>
              <w:rPr>
                <w:rFonts w:hint="eastAsia" w:ascii="宋体" w:hAnsi="宋体" w:cs="宋体"/>
                <w:szCs w:val="21"/>
                <w:highlight w:val="none"/>
                <w:lang w:eastAsia="zh-CN"/>
              </w:rPr>
              <w:t>。</w:t>
            </w:r>
          </w:p>
        </w:tc>
      </w:tr>
    </w:tbl>
    <w:p w14:paraId="7CB0A544">
      <w:pPr>
        <w:rPr>
          <w:sz w:val="20"/>
        </w:rPr>
      </w:pPr>
      <w:r>
        <w:br w:type="page"/>
      </w:r>
      <w:bookmarkStart w:id="13" w:name="EBc549bd72791c4c438b3a35a74dc3293d"/>
      <w:r>
        <w:rPr>
          <w:rFonts w:hint="eastAsia"/>
          <w:sz w:val="20"/>
        </w:rPr>
        <w:t xml:space="preserve"> </w:t>
      </w:r>
      <w:bookmarkEnd w:id="13"/>
    </w:p>
    <w:p w14:paraId="6D27DC31">
      <w:pPr>
        <w:spacing w:before="97" w:line="212" w:lineRule="auto"/>
        <w:ind w:left="2099"/>
        <w:rPr>
          <w:rFonts w:ascii="黑体" w:hAnsi="黑体" w:eastAsia="黑体" w:cs="黑体"/>
          <w:sz w:val="30"/>
          <w:szCs w:val="30"/>
        </w:rPr>
      </w:pPr>
      <w:r>
        <w:rPr>
          <w:rFonts w:ascii="黑体" w:hAnsi="黑体" w:eastAsia="黑体" w:cs="黑体"/>
          <w:b/>
          <w:bCs/>
          <w:spacing w:val="-5"/>
          <w:sz w:val="30"/>
          <w:szCs w:val="30"/>
        </w:rPr>
        <w:t>附录</w:t>
      </w:r>
      <w:r>
        <w:rPr>
          <w:rFonts w:ascii="黑体" w:hAnsi="黑体" w:eastAsia="黑体" w:cs="黑体"/>
          <w:spacing w:val="-38"/>
          <w:sz w:val="30"/>
          <w:szCs w:val="30"/>
        </w:rPr>
        <w:t xml:space="preserve"> </w:t>
      </w:r>
      <w:r>
        <w:rPr>
          <w:rFonts w:ascii="黑体" w:hAnsi="黑体" w:eastAsia="黑体" w:cs="黑体"/>
          <w:b/>
          <w:bCs/>
          <w:spacing w:val="-5"/>
          <w:sz w:val="30"/>
          <w:szCs w:val="30"/>
        </w:rPr>
        <w:t>1</w:t>
      </w:r>
      <w:r>
        <w:rPr>
          <w:rFonts w:ascii="黑体" w:hAnsi="黑体" w:eastAsia="黑体" w:cs="黑体"/>
          <w:spacing w:val="-5"/>
          <w:sz w:val="30"/>
          <w:szCs w:val="30"/>
        </w:rPr>
        <w:t xml:space="preserve">   </w:t>
      </w:r>
      <w:r>
        <w:rPr>
          <w:rFonts w:ascii="黑体" w:hAnsi="黑体" w:eastAsia="黑体" w:cs="黑体"/>
          <w:b/>
          <w:bCs/>
          <w:spacing w:val="-5"/>
          <w:sz w:val="30"/>
          <w:szCs w:val="30"/>
        </w:rPr>
        <w:t>资格审查条件（资质最低要求）</w:t>
      </w:r>
    </w:p>
    <w:tbl>
      <w:tblPr>
        <w:tblStyle w:val="10"/>
        <w:tblW w:w="82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0"/>
      </w:tblGrid>
      <w:tr w14:paraId="0AD67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200" w:type="dxa"/>
            <w:vAlign w:val="top"/>
          </w:tcPr>
          <w:p w14:paraId="298E49E7">
            <w:pPr>
              <w:pStyle w:val="8"/>
              <w:spacing w:before="163" w:line="221" w:lineRule="auto"/>
              <w:ind w:left="3564"/>
            </w:pPr>
            <w:r>
              <w:rPr>
                <w:spacing w:val="-1"/>
              </w:rPr>
              <w:t>监理企业资质等级最低要求</w:t>
            </w:r>
          </w:p>
        </w:tc>
      </w:tr>
      <w:tr w14:paraId="03E54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4" w:hRule="atLeast"/>
        </w:trPr>
        <w:tc>
          <w:tcPr>
            <w:tcW w:w="8200" w:type="dxa"/>
            <w:vAlign w:val="top"/>
          </w:tcPr>
          <w:p w14:paraId="603DC78A">
            <w:pPr>
              <w:pStyle w:val="8"/>
              <w:spacing w:before="121" w:line="360" w:lineRule="auto"/>
              <w:ind w:left="330"/>
              <w:rPr>
                <w:sz w:val="21"/>
                <w:szCs w:val="21"/>
              </w:rPr>
            </w:pPr>
            <w:r>
              <w:rPr>
                <w:spacing w:val="-1"/>
                <w:sz w:val="21"/>
                <w:szCs w:val="21"/>
              </w:rPr>
              <w:t>本次招标要求投标人须同时具备以下资质：</w:t>
            </w:r>
          </w:p>
          <w:p w14:paraId="26D1E890">
            <w:pPr>
              <w:pStyle w:val="8"/>
              <w:spacing w:before="1" w:line="360" w:lineRule="auto"/>
              <w:ind w:left="353"/>
              <w:rPr>
                <w:rFonts w:hint="eastAsia"/>
              </w:rPr>
            </w:pPr>
            <w:r>
              <w:rPr>
                <w:rFonts w:hint="eastAsia"/>
              </w:rPr>
              <w:t>（1）公路工程甲级</w:t>
            </w:r>
            <w:r>
              <w:rPr>
                <w:rFonts w:hint="eastAsia"/>
                <w:lang w:val="en-US" w:eastAsia="zh-CN"/>
              </w:rPr>
              <w:t>监理资质</w:t>
            </w:r>
            <w:r>
              <w:rPr>
                <w:rFonts w:hint="eastAsia"/>
              </w:rPr>
              <w:t>；</w:t>
            </w:r>
          </w:p>
          <w:p w14:paraId="16547A4D">
            <w:pPr>
              <w:pStyle w:val="8"/>
              <w:spacing w:before="1" w:line="360" w:lineRule="auto"/>
              <w:ind w:left="353"/>
              <w:rPr>
                <w:rFonts w:hint="eastAsia"/>
              </w:rPr>
            </w:pPr>
            <w:r>
              <w:rPr>
                <w:rFonts w:hint="eastAsia"/>
              </w:rPr>
              <w:t>（2）公路工程机电专项</w:t>
            </w:r>
            <w:r>
              <w:rPr>
                <w:rFonts w:hint="eastAsia"/>
                <w:lang w:val="en-US" w:eastAsia="zh-CN"/>
              </w:rPr>
              <w:t>监理资质</w:t>
            </w:r>
            <w:r>
              <w:rPr>
                <w:rFonts w:hint="eastAsia"/>
              </w:rPr>
              <w:t>；</w:t>
            </w:r>
          </w:p>
          <w:p w14:paraId="3D15D3EE">
            <w:pPr>
              <w:pStyle w:val="8"/>
              <w:spacing w:before="1" w:line="360" w:lineRule="auto"/>
              <w:ind w:left="353"/>
              <w:rPr>
                <w:rFonts w:hint="eastAsia"/>
              </w:rPr>
            </w:pPr>
            <w:r>
              <w:rPr>
                <w:rFonts w:hint="eastAsia"/>
              </w:rPr>
              <w:t>（3）房屋建筑工程专业乙级</w:t>
            </w:r>
            <w:r>
              <w:rPr>
                <w:rFonts w:hint="eastAsia"/>
                <w:lang w:val="en-US" w:eastAsia="zh-CN"/>
              </w:rPr>
              <w:t>监理资质</w:t>
            </w:r>
            <w:r>
              <w:rPr>
                <w:rFonts w:hint="eastAsia"/>
              </w:rPr>
              <w:t>；</w:t>
            </w:r>
          </w:p>
          <w:p w14:paraId="17B1D9FA">
            <w:pPr>
              <w:pStyle w:val="8"/>
              <w:spacing w:before="1" w:line="360" w:lineRule="auto"/>
              <w:ind w:left="353"/>
              <w:rPr>
                <w:rFonts w:hint="eastAsia"/>
              </w:rPr>
            </w:pPr>
            <w:r>
              <w:rPr>
                <w:rFonts w:hint="eastAsia"/>
              </w:rPr>
              <w:t>（4）化工石油工程专业乙级监理资质；</w:t>
            </w:r>
          </w:p>
          <w:p w14:paraId="4AF76A6B">
            <w:pPr>
              <w:pStyle w:val="8"/>
              <w:spacing w:before="1" w:line="360" w:lineRule="auto"/>
              <w:ind w:left="353"/>
              <w:rPr>
                <w:rFonts w:hint="eastAsia"/>
              </w:rPr>
            </w:pPr>
            <w:r>
              <w:rPr>
                <w:rFonts w:hint="eastAsia"/>
              </w:rPr>
              <w:t>（</w:t>
            </w:r>
            <w:r>
              <w:rPr>
                <w:rFonts w:hint="eastAsia"/>
                <w:lang w:val="en-US" w:eastAsia="zh-CN"/>
              </w:rPr>
              <w:t>5</w:t>
            </w:r>
            <w:r>
              <w:rPr>
                <w:rFonts w:hint="eastAsia"/>
              </w:rPr>
              <w:t>）投标人（或其下属非独立法人检测机构）须具备交通运输主管部门颁发的公路水运工程质量检测机构公路工程乙级资质。</w:t>
            </w:r>
          </w:p>
          <w:p w14:paraId="20C307CE">
            <w:pPr>
              <w:pStyle w:val="8"/>
              <w:spacing w:before="1" w:line="360" w:lineRule="auto"/>
              <w:ind w:left="353"/>
              <w:rPr>
                <w:rFonts w:hint="eastAsia" w:eastAsia="宋体"/>
                <w:lang w:val="en-US" w:eastAsia="zh-CN"/>
              </w:rPr>
            </w:pPr>
            <w:r>
              <w:rPr>
                <w:rFonts w:hint="eastAsia"/>
              </w:rPr>
              <w:t>以上所列的资质为满足要求的最低资质，其相对应的以上级别资质均符合资格审查条件</w:t>
            </w:r>
            <w:r>
              <w:rPr>
                <w:rFonts w:hint="eastAsia"/>
                <w:lang w:eastAsia="zh-CN"/>
              </w:rPr>
              <w:t>。</w:t>
            </w:r>
          </w:p>
        </w:tc>
      </w:tr>
    </w:tbl>
    <w:p w14:paraId="59FD432D">
      <w:pPr>
        <w:pStyle w:val="2"/>
        <w:spacing w:line="333" w:lineRule="auto"/>
      </w:pPr>
    </w:p>
    <w:p w14:paraId="6402EC9F">
      <w:pPr>
        <w:pStyle w:val="2"/>
        <w:spacing w:line="333" w:lineRule="auto"/>
      </w:pPr>
    </w:p>
    <w:p w14:paraId="2B9F6855">
      <w:pPr>
        <w:spacing w:before="98" w:line="212" w:lineRule="auto"/>
        <w:ind w:left="2099"/>
        <w:rPr>
          <w:rFonts w:ascii="黑体" w:hAnsi="黑体" w:eastAsia="黑体" w:cs="黑体"/>
          <w:sz w:val="30"/>
          <w:szCs w:val="30"/>
        </w:rPr>
      </w:pPr>
      <w:r>
        <w:rPr>
          <w:rFonts w:ascii="黑体" w:hAnsi="黑体" w:eastAsia="黑体" w:cs="黑体"/>
          <w:b/>
          <w:bCs/>
          <w:spacing w:val="-4"/>
          <w:sz w:val="30"/>
          <w:szCs w:val="30"/>
        </w:rPr>
        <w:t>附录</w:t>
      </w:r>
      <w:r>
        <w:rPr>
          <w:rFonts w:ascii="黑体" w:hAnsi="黑体" w:eastAsia="黑体" w:cs="黑体"/>
          <w:spacing w:val="-58"/>
          <w:sz w:val="30"/>
          <w:szCs w:val="30"/>
        </w:rPr>
        <w:t xml:space="preserve"> </w:t>
      </w:r>
      <w:r>
        <w:rPr>
          <w:rFonts w:ascii="黑体" w:hAnsi="黑体" w:eastAsia="黑体" w:cs="黑体"/>
          <w:b/>
          <w:bCs/>
          <w:spacing w:val="-4"/>
          <w:sz w:val="30"/>
          <w:szCs w:val="30"/>
        </w:rPr>
        <w:t>2</w:t>
      </w:r>
      <w:r>
        <w:rPr>
          <w:rFonts w:ascii="黑体" w:hAnsi="黑体" w:eastAsia="黑体" w:cs="黑体"/>
          <w:spacing w:val="-4"/>
          <w:sz w:val="30"/>
          <w:szCs w:val="30"/>
        </w:rPr>
        <w:t xml:space="preserve">   </w:t>
      </w:r>
      <w:r>
        <w:rPr>
          <w:rFonts w:ascii="黑体" w:hAnsi="黑体" w:eastAsia="黑体" w:cs="黑体"/>
          <w:b/>
          <w:bCs/>
          <w:spacing w:val="-4"/>
          <w:sz w:val="30"/>
          <w:szCs w:val="30"/>
        </w:rPr>
        <w:t>资格审查条件（业绩最低要求）</w:t>
      </w:r>
    </w:p>
    <w:tbl>
      <w:tblPr>
        <w:tblStyle w:val="10"/>
        <w:tblW w:w="83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0"/>
      </w:tblGrid>
      <w:tr w14:paraId="16F32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300" w:type="dxa"/>
            <w:vAlign w:val="top"/>
          </w:tcPr>
          <w:p w14:paraId="2866B6CA">
            <w:pPr>
              <w:pStyle w:val="8"/>
              <w:spacing w:before="180" w:line="221" w:lineRule="auto"/>
              <w:ind w:left="4193"/>
            </w:pPr>
            <w:r>
              <w:rPr>
                <w:spacing w:val="-1"/>
              </w:rPr>
              <w:t>业绩最低要求</w:t>
            </w:r>
          </w:p>
        </w:tc>
      </w:tr>
      <w:tr w14:paraId="391BF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8300" w:type="dxa"/>
            <w:vAlign w:val="top"/>
          </w:tcPr>
          <w:p w14:paraId="7EBDE1AC">
            <w:pPr>
              <w:spacing w:line="260" w:lineRule="auto"/>
              <w:rPr>
                <w:rFonts w:ascii="Arial"/>
                <w:sz w:val="21"/>
              </w:rPr>
            </w:pPr>
          </w:p>
          <w:p w14:paraId="2AC90CCD">
            <w:pPr>
              <w:pStyle w:val="8"/>
              <w:spacing w:before="68" w:line="221" w:lineRule="auto"/>
              <w:ind w:left="331"/>
            </w:pPr>
            <w:r>
              <w:rPr>
                <w:sz w:val="21"/>
                <w:szCs w:val="21"/>
              </w:rPr>
              <w:t>无</w:t>
            </w:r>
          </w:p>
        </w:tc>
      </w:tr>
    </w:tbl>
    <w:p w14:paraId="28E93DD1">
      <w:pPr>
        <w:pStyle w:val="2"/>
        <w:spacing w:line="335" w:lineRule="auto"/>
      </w:pPr>
    </w:p>
    <w:p w14:paraId="370C5F77">
      <w:pPr>
        <w:spacing w:before="98" w:line="212" w:lineRule="auto"/>
        <w:ind w:left="2099"/>
        <w:rPr>
          <w:rFonts w:ascii="黑体" w:hAnsi="黑体" w:eastAsia="黑体" w:cs="黑体"/>
          <w:b/>
          <w:bCs/>
          <w:spacing w:val="-4"/>
          <w:sz w:val="30"/>
          <w:szCs w:val="30"/>
        </w:rPr>
      </w:pPr>
    </w:p>
    <w:p w14:paraId="7C7B2B90">
      <w:pPr>
        <w:spacing w:before="98" w:line="212" w:lineRule="auto"/>
        <w:ind w:left="2099"/>
        <w:rPr>
          <w:rFonts w:ascii="黑体" w:hAnsi="黑体" w:eastAsia="黑体" w:cs="黑体"/>
          <w:sz w:val="30"/>
          <w:szCs w:val="30"/>
        </w:rPr>
      </w:pPr>
      <w:r>
        <w:rPr>
          <w:rFonts w:ascii="黑体" w:hAnsi="黑体" w:eastAsia="黑体" w:cs="黑体"/>
          <w:b/>
          <w:bCs/>
          <w:spacing w:val="-4"/>
          <w:sz w:val="30"/>
          <w:szCs w:val="30"/>
        </w:rPr>
        <w:t>附录</w:t>
      </w:r>
      <w:r>
        <w:rPr>
          <w:rFonts w:ascii="黑体" w:hAnsi="黑体" w:eastAsia="黑体" w:cs="黑体"/>
          <w:spacing w:val="-58"/>
          <w:sz w:val="30"/>
          <w:szCs w:val="30"/>
        </w:rPr>
        <w:t xml:space="preserve"> </w:t>
      </w:r>
      <w:r>
        <w:rPr>
          <w:rFonts w:ascii="黑体" w:hAnsi="黑体" w:eastAsia="黑体" w:cs="黑体"/>
          <w:b/>
          <w:bCs/>
          <w:spacing w:val="-4"/>
          <w:sz w:val="30"/>
          <w:szCs w:val="30"/>
        </w:rPr>
        <w:t>3</w:t>
      </w:r>
      <w:r>
        <w:rPr>
          <w:rFonts w:ascii="黑体" w:hAnsi="黑体" w:eastAsia="黑体" w:cs="黑体"/>
          <w:spacing w:val="-4"/>
          <w:sz w:val="30"/>
          <w:szCs w:val="30"/>
        </w:rPr>
        <w:t xml:space="preserve">   </w:t>
      </w:r>
      <w:r>
        <w:rPr>
          <w:rFonts w:ascii="黑体" w:hAnsi="黑体" w:eastAsia="黑体" w:cs="黑体"/>
          <w:b/>
          <w:bCs/>
          <w:spacing w:val="-4"/>
          <w:sz w:val="30"/>
          <w:szCs w:val="30"/>
        </w:rPr>
        <w:t>资格审查条件（信誉最低要求）</w:t>
      </w:r>
    </w:p>
    <w:tbl>
      <w:tblPr>
        <w:tblStyle w:val="10"/>
        <w:tblW w:w="83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0"/>
      </w:tblGrid>
      <w:tr w14:paraId="3A1C7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80" w:type="dxa"/>
            <w:vAlign w:val="top"/>
          </w:tcPr>
          <w:p w14:paraId="4759A335">
            <w:pPr>
              <w:pStyle w:val="8"/>
              <w:spacing w:before="151" w:line="220" w:lineRule="auto"/>
              <w:ind w:left="4194"/>
            </w:pPr>
            <w:r>
              <w:rPr>
                <w:spacing w:val="-1"/>
              </w:rPr>
              <w:t>信誉最低要求</w:t>
            </w:r>
          </w:p>
        </w:tc>
      </w:tr>
      <w:tr w14:paraId="0C82C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8380" w:type="dxa"/>
            <w:vAlign w:val="top"/>
          </w:tcPr>
          <w:p w14:paraId="45A49B97">
            <w:pPr>
              <w:pStyle w:val="8"/>
              <w:spacing w:before="217" w:line="221" w:lineRule="auto"/>
              <w:ind w:left="331"/>
            </w:pPr>
            <w:r>
              <w:rPr>
                <w:sz w:val="21"/>
                <w:szCs w:val="21"/>
              </w:rPr>
              <w:t>无</w:t>
            </w:r>
          </w:p>
        </w:tc>
      </w:tr>
    </w:tbl>
    <w:p w14:paraId="33592EA5">
      <w:pPr>
        <w:pStyle w:val="2"/>
        <w:spacing w:line="333" w:lineRule="auto"/>
      </w:pPr>
    </w:p>
    <w:p w14:paraId="6D80CBEB">
      <w:pPr>
        <w:pStyle w:val="2"/>
        <w:spacing w:line="333" w:lineRule="auto"/>
      </w:pPr>
    </w:p>
    <w:p w14:paraId="13DDCAEF">
      <w:pPr>
        <w:pStyle w:val="2"/>
        <w:spacing w:line="333" w:lineRule="auto"/>
      </w:pPr>
    </w:p>
    <w:p w14:paraId="1F77138E">
      <w:pPr>
        <w:pStyle w:val="2"/>
        <w:spacing w:line="333" w:lineRule="auto"/>
      </w:pPr>
    </w:p>
    <w:p w14:paraId="6B29F065">
      <w:pPr>
        <w:spacing w:before="98" w:line="212" w:lineRule="auto"/>
        <w:ind w:left="1497"/>
        <w:rPr>
          <w:rFonts w:ascii="黑体" w:hAnsi="黑体" w:eastAsia="黑体" w:cs="黑体"/>
          <w:sz w:val="30"/>
          <w:szCs w:val="30"/>
        </w:rPr>
      </w:pPr>
      <w:r>
        <w:rPr>
          <w:rFonts w:ascii="黑体" w:hAnsi="黑体" w:eastAsia="黑体" w:cs="黑体"/>
          <w:b/>
          <w:bCs/>
          <w:spacing w:val="-3"/>
          <w:sz w:val="30"/>
          <w:szCs w:val="30"/>
        </w:rPr>
        <w:t>附录</w:t>
      </w:r>
      <w:r>
        <w:rPr>
          <w:rFonts w:ascii="黑体" w:hAnsi="黑体" w:eastAsia="黑体" w:cs="黑体"/>
          <w:spacing w:val="-72"/>
          <w:sz w:val="30"/>
          <w:szCs w:val="30"/>
        </w:rPr>
        <w:t xml:space="preserve"> </w:t>
      </w:r>
      <w:r>
        <w:rPr>
          <w:rFonts w:ascii="黑体" w:hAnsi="黑体" w:eastAsia="黑体" w:cs="黑体"/>
          <w:b/>
          <w:bCs/>
          <w:spacing w:val="-3"/>
          <w:sz w:val="30"/>
          <w:szCs w:val="30"/>
        </w:rPr>
        <w:t>4</w:t>
      </w:r>
      <w:r>
        <w:rPr>
          <w:rFonts w:ascii="黑体" w:hAnsi="黑体" w:eastAsia="黑体" w:cs="黑体"/>
          <w:spacing w:val="-3"/>
          <w:sz w:val="30"/>
          <w:szCs w:val="30"/>
        </w:rPr>
        <w:t xml:space="preserve">   </w:t>
      </w:r>
      <w:r>
        <w:rPr>
          <w:rFonts w:ascii="黑体" w:hAnsi="黑体" w:eastAsia="黑体" w:cs="黑体"/>
          <w:b/>
          <w:bCs/>
          <w:spacing w:val="-3"/>
          <w:sz w:val="30"/>
          <w:szCs w:val="30"/>
        </w:rPr>
        <w:t>资格审查条件（总监理工程师最低要</w:t>
      </w:r>
      <w:r>
        <w:rPr>
          <w:rFonts w:ascii="黑体" w:hAnsi="黑体" w:eastAsia="黑体" w:cs="黑体"/>
          <w:b/>
          <w:bCs/>
          <w:spacing w:val="-4"/>
          <w:sz w:val="30"/>
          <w:szCs w:val="30"/>
        </w:rPr>
        <w:t>求）</w:t>
      </w:r>
    </w:p>
    <w:tbl>
      <w:tblPr>
        <w:tblStyle w:val="10"/>
        <w:tblW w:w="81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585"/>
        <w:gridCol w:w="6757"/>
      </w:tblGrid>
      <w:tr w14:paraId="57D65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96" w:type="dxa"/>
            <w:vAlign w:val="top"/>
          </w:tcPr>
          <w:p w14:paraId="3A444AAF">
            <w:pPr>
              <w:pStyle w:val="8"/>
              <w:spacing w:before="238" w:line="222" w:lineRule="auto"/>
              <w:ind w:left="271"/>
            </w:pPr>
            <w:r>
              <w:rPr>
                <w:spacing w:val="-2"/>
              </w:rPr>
              <w:t>人员</w:t>
            </w:r>
          </w:p>
        </w:tc>
        <w:tc>
          <w:tcPr>
            <w:tcW w:w="585" w:type="dxa"/>
            <w:vAlign w:val="top"/>
          </w:tcPr>
          <w:p w14:paraId="62AF2D12">
            <w:pPr>
              <w:spacing w:before="233" w:line="228" w:lineRule="auto"/>
              <w:ind w:left="143"/>
              <w:rPr>
                <w:rFonts w:ascii="等线" w:hAnsi="等线" w:eastAsia="等线" w:cs="等线"/>
                <w:sz w:val="21"/>
                <w:szCs w:val="21"/>
              </w:rPr>
            </w:pPr>
            <w:r>
              <w:rPr>
                <w:rFonts w:ascii="等线" w:hAnsi="等线" w:eastAsia="等线" w:cs="等线"/>
                <w:spacing w:val="-3"/>
                <w:sz w:val="21"/>
                <w:szCs w:val="21"/>
              </w:rPr>
              <w:t>数量</w:t>
            </w:r>
          </w:p>
        </w:tc>
        <w:tc>
          <w:tcPr>
            <w:tcW w:w="6757" w:type="dxa"/>
            <w:vAlign w:val="top"/>
          </w:tcPr>
          <w:p w14:paraId="2FD82851">
            <w:pPr>
              <w:pStyle w:val="8"/>
              <w:spacing w:before="237" w:line="221" w:lineRule="auto"/>
              <w:ind w:left="3381"/>
            </w:pPr>
            <w:r>
              <w:rPr>
                <w:spacing w:val="-3"/>
              </w:rPr>
              <w:t>资格最低要求</w:t>
            </w:r>
          </w:p>
        </w:tc>
      </w:tr>
      <w:tr w14:paraId="6852C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7" w:hRule="atLeast"/>
        </w:trPr>
        <w:tc>
          <w:tcPr>
            <w:tcW w:w="796" w:type="dxa"/>
            <w:vAlign w:val="top"/>
          </w:tcPr>
          <w:p w14:paraId="71DABB3B">
            <w:pPr>
              <w:spacing w:line="263" w:lineRule="auto"/>
              <w:rPr>
                <w:rFonts w:ascii="Arial"/>
                <w:sz w:val="21"/>
                <w:szCs w:val="21"/>
              </w:rPr>
            </w:pPr>
          </w:p>
          <w:p w14:paraId="7D9BDCD8">
            <w:pPr>
              <w:spacing w:line="263" w:lineRule="auto"/>
              <w:rPr>
                <w:rFonts w:ascii="Arial"/>
                <w:sz w:val="21"/>
                <w:szCs w:val="21"/>
              </w:rPr>
            </w:pPr>
          </w:p>
          <w:p w14:paraId="687894E0">
            <w:pPr>
              <w:spacing w:line="263" w:lineRule="auto"/>
              <w:rPr>
                <w:rFonts w:ascii="Arial"/>
                <w:sz w:val="21"/>
                <w:szCs w:val="21"/>
              </w:rPr>
            </w:pPr>
          </w:p>
          <w:p w14:paraId="04AD31D5">
            <w:pPr>
              <w:spacing w:line="263" w:lineRule="auto"/>
              <w:rPr>
                <w:rFonts w:ascii="Arial"/>
                <w:sz w:val="21"/>
                <w:szCs w:val="21"/>
              </w:rPr>
            </w:pPr>
          </w:p>
          <w:p w14:paraId="044F8165">
            <w:pPr>
              <w:spacing w:line="263" w:lineRule="auto"/>
              <w:rPr>
                <w:rFonts w:ascii="Arial"/>
                <w:sz w:val="21"/>
                <w:szCs w:val="21"/>
              </w:rPr>
            </w:pPr>
          </w:p>
          <w:p w14:paraId="19F6FFCF">
            <w:pPr>
              <w:spacing w:line="263" w:lineRule="auto"/>
              <w:rPr>
                <w:rFonts w:ascii="Arial"/>
                <w:sz w:val="21"/>
                <w:szCs w:val="21"/>
              </w:rPr>
            </w:pPr>
          </w:p>
          <w:p w14:paraId="1FBE6123">
            <w:pPr>
              <w:spacing w:line="263" w:lineRule="auto"/>
              <w:rPr>
                <w:rFonts w:ascii="Arial"/>
                <w:sz w:val="21"/>
                <w:szCs w:val="21"/>
              </w:rPr>
            </w:pPr>
          </w:p>
          <w:p w14:paraId="645C53A2">
            <w:pPr>
              <w:pStyle w:val="8"/>
              <w:spacing w:before="68" w:line="318" w:lineRule="auto"/>
              <w:ind w:left="167" w:right="148" w:firstLine="3"/>
              <w:rPr>
                <w:sz w:val="21"/>
                <w:szCs w:val="21"/>
              </w:rPr>
            </w:pPr>
            <w:r>
              <w:rPr>
                <w:spacing w:val="-4"/>
                <w:sz w:val="21"/>
                <w:szCs w:val="21"/>
              </w:rPr>
              <w:t>总监理</w:t>
            </w:r>
            <w:r>
              <w:rPr>
                <w:spacing w:val="-3"/>
                <w:sz w:val="21"/>
                <w:szCs w:val="21"/>
              </w:rPr>
              <w:t>工程师</w:t>
            </w:r>
          </w:p>
        </w:tc>
        <w:tc>
          <w:tcPr>
            <w:tcW w:w="585" w:type="dxa"/>
            <w:vAlign w:val="top"/>
          </w:tcPr>
          <w:p w14:paraId="2A820236">
            <w:pPr>
              <w:spacing w:line="250" w:lineRule="auto"/>
              <w:rPr>
                <w:rFonts w:ascii="Arial"/>
                <w:sz w:val="21"/>
                <w:szCs w:val="21"/>
              </w:rPr>
            </w:pPr>
          </w:p>
          <w:p w14:paraId="681495E4">
            <w:pPr>
              <w:spacing w:line="250" w:lineRule="auto"/>
              <w:rPr>
                <w:rFonts w:ascii="Arial"/>
                <w:sz w:val="21"/>
                <w:szCs w:val="21"/>
              </w:rPr>
            </w:pPr>
          </w:p>
          <w:p w14:paraId="0B967700">
            <w:pPr>
              <w:spacing w:line="250" w:lineRule="auto"/>
              <w:rPr>
                <w:rFonts w:ascii="Arial"/>
                <w:sz w:val="21"/>
                <w:szCs w:val="21"/>
              </w:rPr>
            </w:pPr>
          </w:p>
          <w:p w14:paraId="7AD9A320">
            <w:pPr>
              <w:spacing w:line="251" w:lineRule="auto"/>
              <w:rPr>
                <w:rFonts w:ascii="Arial"/>
                <w:sz w:val="21"/>
                <w:szCs w:val="21"/>
              </w:rPr>
            </w:pPr>
          </w:p>
          <w:p w14:paraId="0C60B85B">
            <w:pPr>
              <w:spacing w:line="251" w:lineRule="auto"/>
              <w:rPr>
                <w:rFonts w:ascii="Arial"/>
                <w:sz w:val="21"/>
                <w:szCs w:val="21"/>
              </w:rPr>
            </w:pPr>
          </w:p>
          <w:p w14:paraId="648F634C">
            <w:pPr>
              <w:spacing w:line="251" w:lineRule="auto"/>
              <w:rPr>
                <w:rFonts w:ascii="Arial"/>
                <w:sz w:val="21"/>
                <w:szCs w:val="21"/>
              </w:rPr>
            </w:pPr>
          </w:p>
          <w:p w14:paraId="32327F92">
            <w:pPr>
              <w:spacing w:line="251" w:lineRule="auto"/>
              <w:rPr>
                <w:rFonts w:ascii="Arial"/>
                <w:sz w:val="21"/>
                <w:szCs w:val="21"/>
              </w:rPr>
            </w:pPr>
          </w:p>
          <w:p w14:paraId="0A181EA2">
            <w:pPr>
              <w:spacing w:line="251" w:lineRule="auto"/>
              <w:rPr>
                <w:rFonts w:ascii="Arial"/>
                <w:sz w:val="21"/>
                <w:szCs w:val="21"/>
              </w:rPr>
            </w:pPr>
          </w:p>
          <w:p w14:paraId="5DA106A7">
            <w:pPr>
              <w:spacing w:before="71" w:line="293" w:lineRule="exact"/>
              <w:ind w:left="302"/>
              <w:rPr>
                <w:rFonts w:ascii="等线" w:hAnsi="等线" w:eastAsia="等线" w:cs="等线"/>
                <w:sz w:val="21"/>
                <w:szCs w:val="21"/>
              </w:rPr>
            </w:pPr>
            <w:r>
              <w:rPr>
                <w:rFonts w:ascii="等线" w:hAnsi="等线" w:eastAsia="等线" w:cs="等线"/>
                <w:position w:val="2"/>
                <w:sz w:val="21"/>
                <w:szCs w:val="21"/>
              </w:rPr>
              <w:t>1</w:t>
            </w:r>
          </w:p>
        </w:tc>
        <w:tc>
          <w:tcPr>
            <w:tcW w:w="6757" w:type="dxa"/>
            <w:vAlign w:val="top"/>
          </w:tcPr>
          <w:p w14:paraId="3039C779">
            <w:pPr>
              <w:pStyle w:val="8"/>
              <w:spacing w:before="119" w:line="220" w:lineRule="auto"/>
              <w:ind w:left="329"/>
              <w:rPr>
                <w:sz w:val="21"/>
                <w:szCs w:val="21"/>
              </w:rPr>
            </w:pPr>
            <w:r>
              <w:rPr>
                <w:spacing w:val="-2"/>
                <w:sz w:val="21"/>
                <w:szCs w:val="21"/>
              </w:rPr>
              <w:t>（1）投标人（如为联合体则为联合体牵头人）自有人员；</w:t>
            </w:r>
          </w:p>
          <w:p w14:paraId="16EC6139">
            <w:pPr>
              <w:pStyle w:val="8"/>
              <w:spacing w:before="109" w:line="221" w:lineRule="auto"/>
              <w:ind w:left="329"/>
              <w:rPr>
                <w:sz w:val="21"/>
                <w:szCs w:val="21"/>
              </w:rPr>
            </w:pPr>
            <w:r>
              <w:rPr>
                <w:spacing w:val="-1"/>
                <w:sz w:val="21"/>
                <w:szCs w:val="21"/>
              </w:rPr>
              <w:t>（2）具有公路工程相关专业高级技术职称；</w:t>
            </w:r>
          </w:p>
          <w:p w14:paraId="2AC56FBA">
            <w:pPr>
              <w:pStyle w:val="8"/>
              <w:spacing w:before="110" w:line="316" w:lineRule="auto"/>
              <w:ind w:left="121" w:right="113" w:firstLine="208"/>
              <w:rPr>
                <w:sz w:val="21"/>
                <w:szCs w:val="21"/>
              </w:rPr>
            </w:pPr>
            <w:r>
              <w:rPr>
                <w:spacing w:val="-2"/>
                <w:sz w:val="21"/>
                <w:szCs w:val="21"/>
              </w:rPr>
              <w:t>（3）具备《公路工程施工监理规范》（JTG</w:t>
            </w:r>
            <w:r>
              <w:rPr>
                <w:spacing w:val="-20"/>
                <w:sz w:val="21"/>
                <w:szCs w:val="21"/>
              </w:rPr>
              <w:t xml:space="preserve"> </w:t>
            </w:r>
            <w:r>
              <w:rPr>
                <w:spacing w:val="-2"/>
                <w:sz w:val="21"/>
                <w:szCs w:val="21"/>
              </w:rPr>
              <w:t>G10-2016）</w:t>
            </w:r>
            <w:r>
              <w:rPr>
                <w:spacing w:val="-3"/>
                <w:sz w:val="21"/>
                <w:szCs w:val="21"/>
              </w:rPr>
              <w:t>规定的公路工程监理工程师</w:t>
            </w:r>
            <w:r>
              <w:rPr>
                <w:spacing w:val="-15"/>
                <w:sz w:val="21"/>
                <w:szCs w:val="21"/>
              </w:rPr>
              <w:t>资格；</w:t>
            </w:r>
          </w:p>
          <w:p w14:paraId="4A822F5B">
            <w:pPr>
              <w:pStyle w:val="8"/>
              <w:spacing w:before="2" w:line="316" w:lineRule="auto"/>
              <w:ind w:left="113" w:right="105" w:firstLine="216"/>
              <w:rPr>
                <w:sz w:val="21"/>
                <w:szCs w:val="21"/>
              </w:rPr>
            </w:pPr>
            <w:r>
              <w:rPr>
                <w:spacing w:val="-3"/>
                <w:sz w:val="21"/>
                <w:szCs w:val="21"/>
              </w:rPr>
              <w:t>（4）无在岗项目（指目前未在其他项目上任职，或虽在其他项目任职但本项目中标</w:t>
            </w:r>
            <w:r>
              <w:rPr>
                <w:sz w:val="21"/>
                <w:szCs w:val="21"/>
              </w:rPr>
              <w:t>后能够从该项目撤离。如总监理工程师目前仍在其他项目上任职，则投标人须出具总</w:t>
            </w:r>
            <w:r>
              <w:rPr>
                <w:spacing w:val="-1"/>
                <w:sz w:val="21"/>
                <w:szCs w:val="21"/>
              </w:rPr>
              <w:t>监理工程师能够从该项目撤离的书面承诺）。</w:t>
            </w:r>
          </w:p>
          <w:p w14:paraId="17F6EEEB">
            <w:pPr>
              <w:spacing w:line="295" w:lineRule="auto"/>
              <w:ind w:left="112" w:right="24" w:firstLine="221"/>
              <w:jc w:val="both"/>
              <w:rPr>
                <w:rFonts w:ascii="楷体" w:hAnsi="楷体" w:eastAsia="楷体" w:cs="楷体"/>
                <w:sz w:val="21"/>
                <w:szCs w:val="21"/>
              </w:rPr>
            </w:pPr>
            <w:r>
              <w:rPr>
                <w:rFonts w:ascii="楷体" w:hAnsi="楷体" w:eastAsia="楷体" w:cs="楷体"/>
                <w:sz w:val="21"/>
                <w:szCs w:val="21"/>
              </w:rPr>
              <w:t>注：“投标人自有人员”指投标人为其申报社会保险登记，并为其缴纳</w:t>
            </w:r>
            <w:r>
              <w:rPr>
                <w:rFonts w:ascii="楷体" w:hAnsi="楷体" w:eastAsia="楷体" w:cs="楷体"/>
                <w:spacing w:val="-1"/>
                <w:sz w:val="21"/>
                <w:szCs w:val="21"/>
              </w:rPr>
              <w:t>社会保险费</w:t>
            </w:r>
            <w:r>
              <w:rPr>
                <w:rFonts w:ascii="楷体" w:hAnsi="楷体" w:eastAsia="楷体" w:cs="楷体"/>
                <w:sz w:val="21"/>
                <w:szCs w:val="21"/>
              </w:rPr>
              <w:t>的人员（分公司缴纳的社会保险可以予以认可，上级公司、子公司、人力资源服务机</w:t>
            </w:r>
            <w:r>
              <w:rPr>
                <w:rFonts w:ascii="楷体" w:hAnsi="楷体" w:eastAsia="楷体" w:cs="楷体"/>
                <w:spacing w:val="-1"/>
                <w:sz w:val="21"/>
                <w:szCs w:val="21"/>
              </w:rPr>
              <w:t>构等其他单位缴纳或个人缴纳社会保险均不予认可</w:t>
            </w:r>
            <w:r>
              <w:rPr>
                <w:rFonts w:ascii="楷体" w:hAnsi="楷体" w:eastAsia="楷体" w:cs="楷体"/>
                <w:spacing w:val="-17"/>
                <w:sz w:val="21"/>
                <w:szCs w:val="21"/>
              </w:rPr>
              <w:t>），</w:t>
            </w:r>
            <w:r>
              <w:rPr>
                <w:rFonts w:ascii="楷体" w:hAnsi="楷体" w:eastAsia="楷体" w:cs="楷体"/>
                <w:spacing w:val="-1"/>
                <w:sz w:val="21"/>
                <w:szCs w:val="21"/>
              </w:rPr>
              <w:t>社保缴费截止时</w:t>
            </w:r>
            <w:r>
              <w:rPr>
                <w:rFonts w:ascii="楷体" w:hAnsi="楷体" w:eastAsia="楷体" w:cs="楷体"/>
                <w:spacing w:val="-2"/>
                <w:sz w:val="21"/>
                <w:szCs w:val="21"/>
              </w:rPr>
              <w:t>间为</w:t>
            </w:r>
            <w:r>
              <w:rPr>
                <w:rFonts w:ascii="楷体" w:hAnsi="楷体" w:eastAsia="楷体" w:cs="楷体"/>
                <w:spacing w:val="-45"/>
                <w:sz w:val="21"/>
                <w:szCs w:val="21"/>
              </w:rPr>
              <w:t xml:space="preserve"> </w:t>
            </w:r>
            <w:r>
              <w:rPr>
                <w:rFonts w:hint="eastAsia" w:ascii="楷体" w:hAnsi="楷体" w:eastAsia="楷体" w:cs="楷体"/>
                <w:spacing w:val="-2"/>
                <w:sz w:val="21"/>
                <w:szCs w:val="21"/>
                <w:lang w:val="en-US" w:eastAsia="zh-CN"/>
              </w:rPr>
              <w:t>2026</w:t>
            </w:r>
            <w:r>
              <w:rPr>
                <w:rFonts w:ascii="楷体" w:hAnsi="楷体" w:eastAsia="楷体" w:cs="楷体"/>
                <w:spacing w:val="-2"/>
                <w:sz w:val="21"/>
                <w:szCs w:val="21"/>
              </w:rPr>
              <w:t>年</w:t>
            </w:r>
            <w:r>
              <w:rPr>
                <w:rFonts w:hint="eastAsia" w:ascii="楷体" w:hAnsi="楷体" w:eastAsia="楷体" w:cs="楷体"/>
                <w:spacing w:val="-36"/>
                <w:sz w:val="21"/>
                <w:szCs w:val="21"/>
                <w:lang w:val="en-US" w:eastAsia="zh-CN"/>
              </w:rPr>
              <w:t>4</w:t>
            </w:r>
            <w:r>
              <w:rPr>
                <w:rFonts w:ascii="楷体" w:hAnsi="楷体" w:eastAsia="楷体" w:cs="楷体"/>
                <w:spacing w:val="-2"/>
                <w:sz w:val="21"/>
                <w:szCs w:val="21"/>
              </w:rPr>
              <w:t>月</w:t>
            </w:r>
            <w:r>
              <w:rPr>
                <w:rFonts w:ascii="楷体" w:hAnsi="楷体" w:eastAsia="楷体" w:cs="楷体"/>
                <w:spacing w:val="-21"/>
                <w:sz w:val="21"/>
                <w:szCs w:val="21"/>
              </w:rPr>
              <w:t xml:space="preserve"> </w:t>
            </w:r>
            <w:r>
              <w:rPr>
                <w:rFonts w:ascii="楷体" w:hAnsi="楷体" w:eastAsia="楷体" w:cs="楷体"/>
                <w:spacing w:val="-2"/>
                <w:sz w:val="21"/>
                <w:szCs w:val="21"/>
              </w:rPr>
              <w:t>1 日以后。如果投标人属事业法人单位，则应由投标人的上级行政主管部门出具拟</w:t>
            </w:r>
            <w:r>
              <w:rPr>
                <w:rFonts w:ascii="楷体" w:hAnsi="楷体" w:eastAsia="楷体" w:cs="楷体"/>
                <w:spacing w:val="-3"/>
                <w:sz w:val="21"/>
                <w:szCs w:val="21"/>
              </w:rPr>
              <w:t>委任的总监理工程师是投标人单位在职人员的有效书面证明材</w:t>
            </w:r>
            <w:r>
              <w:rPr>
                <w:rFonts w:ascii="楷体" w:hAnsi="楷体" w:eastAsia="楷体" w:cs="楷体"/>
                <w:spacing w:val="-4"/>
                <w:sz w:val="21"/>
                <w:szCs w:val="21"/>
              </w:rPr>
              <w:t>料。退休人员不予认可。</w:t>
            </w:r>
          </w:p>
        </w:tc>
      </w:tr>
    </w:tbl>
    <w:p w14:paraId="2BE5B9E5">
      <w:pPr>
        <w:pStyle w:val="2"/>
        <w:spacing w:line="333" w:lineRule="auto"/>
      </w:pPr>
    </w:p>
    <w:bookmarkEnd w:id="0"/>
    <w:bookmarkEnd w:id="1"/>
    <w:bookmarkEnd w:id="2"/>
    <w:p w14:paraId="71C2A168">
      <w:pPr>
        <w:rPr>
          <w:rFonts w:hint="eastAsia" w:ascii="黑体" w:hAnsi="黑体" w:eastAsia="黑体"/>
          <w:sz w:val="28"/>
          <w:szCs w:val="28"/>
          <w:lang w:val="en-US" w:eastAsia="zh-CN"/>
        </w:rPr>
      </w:pPr>
      <w:bookmarkStart w:id="14" w:name="_Toc234382663"/>
      <w:r>
        <w:rPr>
          <w:rFonts w:hint="eastAsia" w:ascii="黑体" w:hAnsi="黑体" w:eastAsia="黑体"/>
          <w:sz w:val="28"/>
          <w:szCs w:val="28"/>
          <w:lang w:val="en-US" w:eastAsia="zh-CN"/>
        </w:rPr>
        <w:br w:type="page"/>
      </w:r>
    </w:p>
    <w:p w14:paraId="091F7D07">
      <w:pPr>
        <w:spacing w:line="360" w:lineRule="auto"/>
        <w:rPr>
          <w:rFonts w:ascii="黑体" w:hAnsi="黑体" w:eastAsia="黑体"/>
          <w:sz w:val="28"/>
          <w:szCs w:val="28"/>
        </w:rPr>
      </w:pPr>
      <w:r>
        <w:rPr>
          <w:rFonts w:hint="eastAsia" w:ascii="黑体" w:hAnsi="黑体" w:eastAsia="黑体"/>
          <w:sz w:val="28"/>
          <w:szCs w:val="28"/>
          <w:lang w:val="en-US" w:eastAsia="zh-CN"/>
        </w:rPr>
        <w:t>五、</w:t>
      </w:r>
      <w:r>
        <w:rPr>
          <w:rFonts w:ascii="黑体" w:hAnsi="黑体" w:eastAsia="黑体"/>
          <w:sz w:val="28"/>
          <w:szCs w:val="28"/>
        </w:rPr>
        <w:t>评标办法前附表</w:t>
      </w:r>
      <w:bookmarkEnd w:id="14"/>
      <w:r>
        <w:rPr>
          <w:rFonts w:ascii="黑体" w:hAnsi="黑体" w:eastAsia="黑体"/>
          <w:sz w:val="28"/>
          <w:szCs w:val="28"/>
          <w:vertAlign w:val="superscript"/>
        </w:rPr>
        <w:footnoteReference w:id="2"/>
      </w:r>
    </w:p>
    <w:tbl>
      <w:tblPr>
        <w:tblStyle w:val="5"/>
        <w:tblW w:w="5020" w:type="pct"/>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0" w:type="dxa"/>
          <w:bottom w:w="0" w:type="dxa"/>
          <w:right w:w="0" w:type="dxa"/>
        </w:tblCellMar>
      </w:tblPr>
      <w:tblGrid>
        <w:gridCol w:w="673"/>
        <w:gridCol w:w="1181"/>
        <w:gridCol w:w="6505"/>
      </w:tblGrid>
      <w:tr w14:paraId="2932E2C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tblHeader/>
          <w:jc w:val="center"/>
        </w:trPr>
        <w:tc>
          <w:tcPr>
            <w:tcW w:w="1109" w:type="pct"/>
            <w:gridSpan w:val="2"/>
            <w:vAlign w:val="center"/>
          </w:tcPr>
          <w:p w14:paraId="3AF4A27E">
            <w:pPr>
              <w:snapToGrid w:val="0"/>
              <w:jc w:val="center"/>
              <w:rPr>
                <w:rFonts w:ascii="宋体" w:hAnsi="宋体"/>
                <w:b/>
                <w:szCs w:val="21"/>
              </w:rPr>
            </w:pPr>
            <w:r>
              <w:rPr>
                <w:rFonts w:ascii="宋体" w:hAnsi="宋体"/>
                <w:b/>
                <w:szCs w:val="21"/>
              </w:rPr>
              <w:t>条款号</w:t>
            </w:r>
          </w:p>
        </w:tc>
        <w:tc>
          <w:tcPr>
            <w:tcW w:w="3890" w:type="pct"/>
            <w:vAlign w:val="center"/>
          </w:tcPr>
          <w:p w14:paraId="08FF4D6D">
            <w:pPr>
              <w:snapToGrid w:val="0"/>
              <w:jc w:val="center"/>
              <w:rPr>
                <w:rFonts w:ascii="宋体" w:hAnsi="宋体"/>
                <w:b/>
                <w:szCs w:val="21"/>
              </w:rPr>
            </w:pPr>
            <w:r>
              <w:rPr>
                <w:rFonts w:ascii="宋体" w:hAnsi="宋体"/>
                <w:b/>
                <w:szCs w:val="21"/>
              </w:rPr>
              <w:t>评审因素</w:t>
            </w:r>
            <w:r>
              <w:rPr>
                <w:rFonts w:hint="eastAsia" w:ascii="宋体" w:hAnsi="宋体"/>
                <w:b/>
                <w:szCs w:val="21"/>
              </w:rPr>
              <w:t>与评审标准</w:t>
            </w:r>
          </w:p>
        </w:tc>
      </w:tr>
      <w:tr w14:paraId="55EEB26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03" w:type="pct"/>
            <w:vAlign w:val="center"/>
          </w:tcPr>
          <w:p w14:paraId="7BD33D3E">
            <w:pPr>
              <w:jc w:val="center"/>
              <w:rPr>
                <w:rFonts w:ascii="宋体" w:hAnsi="宋体"/>
                <w:szCs w:val="21"/>
              </w:rPr>
            </w:pPr>
            <w:r>
              <w:rPr>
                <w:rFonts w:hint="eastAsia" w:ascii="宋体" w:hAnsi="宋体"/>
                <w:szCs w:val="21"/>
              </w:rPr>
              <w:t>1</w:t>
            </w:r>
          </w:p>
        </w:tc>
        <w:tc>
          <w:tcPr>
            <w:tcW w:w="706" w:type="pct"/>
            <w:vAlign w:val="center"/>
          </w:tcPr>
          <w:p w14:paraId="459CC2B8">
            <w:pPr>
              <w:jc w:val="center"/>
              <w:rPr>
                <w:rFonts w:ascii="宋体" w:hAnsi="宋体"/>
                <w:szCs w:val="21"/>
              </w:rPr>
            </w:pPr>
            <w:r>
              <w:rPr>
                <w:rFonts w:hint="eastAsia" w:ascii="宋体" w:hAnsi="宋体"/>
                <w:szCs w:val="21"/>
              </w:rPr>
              <w:t>评标方法</w:t>
            </w:r>
          </w:p>
        </w:tc>
        <w:tc>
          <w:tcPr>
            <w:tcW w:w="3890" w:type="pct"/>
            <w:vAlign w:val="center"/>
          </w:tcPr>
          <w:p w14:paraId="213C7788">
            <w:pPr>
              <w:snapToGrid w:val="0"/>
              <w:spacing w:line="360" w:lineRule="atLeast"/>
              <w:ind w:firstLine="210" w:firstLineChars="100"/>
              <w:rPr>
                <w:rFonts w:ascii="宋体" w:hAnsi="宋体"/>
                <w:szCs w:val="21"/>
              </w:rPr>
            </w:pPr>
            <w:r>
              <w:rPr>
                <w:rFonts w:hint="eastAsia" w:ascii="宋体" w:hAnsi="宋体"/>
                <w:szCs w:val="21"/>
              </w:rPr>
              <w:t>综合评分相等时，评标委员会依次按照以下优先顺序推荐中标候选人：</w:t>
            </w:r>
          </w:p>
          <w:p w14:paraId="2F658EE1">
            <w:pPr>
              <w:snapToGrid w:val="0"/>
              <w:spacing w:line="360" w:lineRule="atLeast"/>
              <w:ind w:firstLine="210" w:firstLineChars="100"/>
              <w:rPr>
                <w:rFonts w:ascii="宋体" w:hAnsi="宋体"/>
                <w:szCs w:val="21"/>
              </w:rPr>
            </w:pPr>
            <w:r>
              <w:rPr>
                <w:rFonts w:hint="eastAsia" w:ascii="宋体" w:hAnsi="宋体"/>
                <w:szCs w:val="21"/>
              </w:rPr>
              <w:t>（1）评标价低的投标人优先；</w:t>
            </w:r>
          </w:p>
          <w:p w14:paraId="1C042C66">
            <w:pPr>
              <w:snapToGrid w:val="0"/>
              <w:spacing w:line="360" w:lineRule="atLeast"/>
              <w:ind w:firstLine="210" w:firstLineChars="100"/>
              <w:rPr>
                <w:rFonts w:ascii="宋体" w:hAnsi="宋体"/>
                <w:szCs w:val="21"/>
              </w:rPr>
            </w:pPr>
            <w:r>
              <w:rPr>
                <w:rFonts w:hint="eastAsia" w:ascii="宋体" w:hAnsi="宋体"/>
                <w:szCs w:val="21"/>
              </w:rPr>
              <w:t>（2）履约信誉得分较高者优先；</w:t>
            </w:r>
          </w:p>
          <w:p w14:paraId="7F4CF4A4">
            <w:pPr>
              <w:snapToGrid w:val="0"/>
              <w:spacing w:line="360" w:lineRule="atLeast"/>
              <w:ind w:firstLine="210" w:firstLineChars="100"/>
              <w:rPr>
                <w:rFonts w:ascii="宋体" w:hAnsi="宋体"/>
                <w:szCs w:val="21"/>
              </w:rPr>
            </w:pPr>
            <w:r>
              <w:rPr>
                <w:rFonts w:hint="eastAsia" w:ascii="宋体" w:hAnsi="宋体"/>
                <w:szCs w:val="21"/>
              </w:rPr>
              <w:t>（3）主要人员得分较高者优先；</w:t>
            </w:r>
          </w:p>
          <w:p w14:paraId="225DE489">
            <w:pPr>
              <w:snapToGrid w:val="0"/>
              <w:spacing w:line="360" w:lineRule="atLeast"/>
              <w:ind w:firstLine="210" w:firstLineChars="100"/>
              <w:rPr>
                <w:rFonts w:ascii="宋体" w:hAnsi="宋体"/>
                <w:szCs w:val="21"/>
              </w:rPr>
            </w:pPr>
            <w:r>
              <w:rPr>
                <w:rFonts w:hint="eastAsia" w:ascii="宋体" w:hAnsi="宋体"/>
                <w:szCs w:val="21"/>
              </w:rPr>
              <w:t>（4）业绩得分较高者优先。</w:t>
            </w:r>
          </w:p>
          <w:p w14:paraId="7CA56684">
            <w:pPr>
              <w:snapToGrid w:val="0"/>
              <w:spacing w:line="360" w:lineRule="atLeast"/>
              <w:ind w:firstLine="210" w:firstLineChars="100"/>
              <w:rPr>
                <w:rFonts w:ascii="宋体" w:hAnsi="宋体"/>
                <w:szCs w:val="21"/>
              </w:rPr>
            </w:pPr>
            <w:r>
              <w:rPr>
                <w:rFonts w:hint="eastAsia" w:ascii="宋体" w:hAnsi="宋体"/>
                <w:szCs w:val="21"/>
              </w:rPr>
              <w:t>若以上均相等，则由评标委员会表决确定其排序先后。</w:t>
            </w:r>
          </w:p>
          <w:p w14:paraId="0803A13B">
            <w:pPr>
              <w:snapToGrid w:val="0"/>
              <w:spacing w:line="360" w:lineRule="atLeast"/>
              <w:ind w:firstLine="210" w:firstLineChars="100"/>
              <w:rPr>
                <w:rFonts w:ascii="楷体" w:hAnsi="楷体" w:eastAsia="楷体" w:cs="楷体"/>
                <w:szCs w:val="21"/>
              </w:rPr>
            </w:pPr>
            <w:r>
              <w:rPr>
                <w:rFonts w:hint="eastAsia" w:ascii="楷体" w:hAnsi="楷体" w:eastAsia="楷体" w:cs="楷体"/>
                <w:szCs w:val="21"/>
              </w:rPr>
              <w:t>注：各评分因素（评标价和履约信誉评分项除外）得分一般不得低于其权重分值的60%，且各评分因素得分应以评标委员会各成员的打分平均值确定，评标委员会成员总数为7人以上时，该平均值以去掉一个最高分和一个最低分后计算。评标委员会成员对某一项评分因素的评分低于权重分值60%的，应在评标报告中作出说明。</w:t>
            </w:r>
          </w:p>
        </w:tc>
      </w:tr>
      <w:tr w14:paraId="46175D2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03" w:type="pct"/>
            <w:vAlign w:val="center"/>
          </w:tcPr>
          <w:p w14:paraId="4AE78219">
            <w:pPr>
              <w:jc w:val="center"/>
              <w:rPr>
                <w:rFonts w:ascii="宋体" w:hAnsi="宋体"/>
                <w:szCs w:val="21"/>
              </w:rPr>
            </w:pPr>
            <w:r>
              <w:rPr>
                <w:rFonts w:ascii="宋体" w:hAnsi="宋体"/>
                <w:szCs w:val="21"/>
              </w:rPr>
              <w:t>2.1.1</w:t>
            </w:r>
          </w:p>
          <w:p w14:paraId="420D5FE5">
            <w:pPr>
              <w:jc w:val="center"/>
              <w:rPr>
                <w:rFonts w:ascii="宋体" w:hAnsi="宋体"/>
                <w:szCs w:val="21"/>
              </w:rPr>
            </w:pPr>
            <w:r>
              <w:rPr>
                <w:rFonts w:hint="eastAsia" w:ascii="宋体" w:hAnsi="宋体"/>
                <w:szCs w:val="21"/>
              </w:rPr>
              <w:t>2.1.3</w:t>
            </w:r>
          </w:p>
        </w:tc>
        <w:tc>
          <w:tcPr>
            <w:tcW w:w="706" w:type="pct"/>
            <w:vAlign w:val="center"/>
          </w:tcPr>
          <w:p w14:paraId="265503FB">
            <w:pPr>
              <w:jc w:val="center"/>
              <w:rPr>
                <w:rFonts w:ascii="宋体" w:hAnsi="宋体"/>
                <w:szCs w:val="21"/>
              </w:rPr>
            </w:pPr>
            <w:r>
              <w:rPr>
                <w:rFonts w:hint="eastAsia" w:ascii="宋体" w:hAnsi="宋体"/>
                <w:szCs w:val="21"/>
              </w:rPr>
              <w:t>形式评审与</w:t>
            </w:r>
          </w:p>
          <w:p w14:paraId="68E46B83">
            <w:pPr>
              <w:jc w:val="center"/>
              <w:rPr>
                <w:rFonts w:ascii="宋体" w:hAnsi="宋体"/>
                <w:szCs w:val="21"/>
              </w:rPr>
            </w:pPr>
            <w:r>
              <w:rPr>
                <w:rFonts w:hint="eastAsia" w:ascii="宋体" w:hAnsi="宋体"/>
                <w:szCs w:val="21"/>
              </w:rPr>
              <w:t>响应性评审</w:t>
            </w:r>
          </w:p>
          <w:p w14:paraId="04302E27">
            <w:pPr>
              <w:jc w:val="center"/>
              <w:rPr>
                <w:rFonts w:ascii="宋体" w:hAnsi="宋体"/>
                <w:szCs w:val="21"/>
              </w:rPr>
            </w:pPr>
            <w:r>
              <w:rPr>
                <w:rFonts w:hint="eastAsia" w:ascii="宋体" w:hAnsi="宋体"/>
                <w:szCs w:val="21"/>
              </w:rPr>
              <w:t>标准</w:t>
            </w:r>
          </w:p>
        </w:tc>
        <w:tc>
          <w:tcPr>
            <w:tcW w:w="3890" w:type="pct"/>
            <w:vAlign w:val="center"/>
          </w:tcPr>
          <w:p w14:paraId="6BAA5BA2">
            <w:pPr>
              <w:keepLines/>
              <w:snapToGrid w:val="0"/>
              <w:spacing w:line="360" w:lineRule="atLeast"/>
              <w:ind w:right="113"/>
              <w:rPr>
                <w:rFonts w:ascii="黑体" w:hAnsi="黑体" w:eastAsia="黑体"/>
                <w:b/>
                <w:szCs w:val="21"/>
              </w:rPr>
            </w:pPr>
            <w:r>
              <w:rPr>
                <w:rFonts w:hint="eastAsia" w:ascii="黑体" w:hAnsi="黑体" w:eastAsia="黑体"/>
                <w:b/>
                <w:szCs w:val="21"/>
              </w:rPr>
              <w:t>第一个信封（商务及技术文件）评审标准：</w:t>
            </w:r>
          </w:p>
          <w:p w14:paraId="520B47C9">
            <w:pPr>
              <w:keepLines/>
              <w:snapToGrid w:val="0"/>
              <w:spacing w:line="360" w:lineRule="atLeast"/>
              <w:ind w:firstLine="210" w:firstLineChars="100"/>
              <w:rPr>
                <w:rFonts w:ascii="宋体" w:hAnsi="宋体"/>
                <w:szCs w:val="21"/>
              </w:rPr>
            </w:pPr>
            <w:r>
              <w:rPr>
                <w:rFonts w:hint="eastAsia" w:ascii="宋体" w:hAnsi="宋体"/>
                <w:szCs w:val="21"/>
              </w:rPr>
              <w:t>（1）投标文件按照招标文件规定的格式、内容填写，字迹清晰可辨；</w:t>
            </w:r>
          </w:p>
          <w:p w14:paraId="5765EAEC">
            <w:pPr>
              <w:keepLines/>
              <w:snapToGrid w:val="0"/>
              <w:spacing w:line="360" w:lineRule="atLeast"/>
              <w:ind w:firstLine="525" w:firstLineChars="250"/>
              <w:rPr>
                <w:rFonts w:ascii="宋体" w:hAnsi="宋体"/>
                <w:szCs w:val="21"/>
              </w:rPr>
            </w:pPr>
            <w:r>
              <w:rPr>
                <w:rFonts w:hint="eastAsia" w:ascii="宋体" w:hAnsi="宋体"/>
                <w:szCs w:val="21"/>
              </w:rPr>
              <w:t>a.投标函按招标文件规定填报了项目名称、标段号、补遗书编号（如有）、监理服务期限、工程质量要求及安全目标；</w:t>
            </w:r>
          </w:p>
          <w:p w14:paraId="0CA651CF">
            <w:pPr>
              <w:keepLines/>
              <w:snapToGrid w:val="0"/>
              <w:spacing w:line="360" w:lineRule="atLeast"/>
              <w:ind w:firstLine="525" w:firstLineChars="250"/>
              <w:rPr>
                <w:rFonts w:ascii="宋体" w:hAnsi="宋体"/>
                <w:szCs w:val="21"/>
              </w:rPr>
            </w:pPr>
            <w:r>
              <w:rPr>
                <w:rFonts w:hint="eastAsia" w:ascii="宋体" w:hAnsi="宋体"/>
                <w:szCs w:val="21"/>
              </w:rPr>
              <w:t>b.投标文件组成齐全完整，内容均按规定填写。</w:t>
            </w:r>
          </w:p>
          <w:p w14:paraId="373D18A5">
            <w:pPr>
              <w:keepLines/>
              <w:snapToGrid w:val="0"/>
              <w:spacing w:line="360" w:lineRule="atLeast"/>
              <w:ind w:firstLine="210" w:firstLineChars="100"/>
              <w:rPr>
                <w:rFonts w:ascii="宋体" w:hAnsi="宋体"/>
                <w:szCs w:val="21"/>
              </w:rPr>
            </w:pPr>
            <w:r>
              <w:rPr>
                <w:rFonts w:hint="eastAsia" w:ascii="宋体" w:hAnsi="宋体"/>
                <w:szCs w:val="21"/>
              </w:rPr>
              <w:t>（2）投标文件上法定代表人或其委托代理人的签字、投标人的单位章盖章齐全，符合招标文件规定。</w:t>
            </w:r>
          </w:p>
          <w:p w14:paraId="3C8F06CF">
            <w:pPr>
              <w:keepLines/>
              <w:snapToGrid w:val="0"/>
              <w:spacing w:line="360" w:lineRule="atLeast"/>
              <w:ind w:firstLine="210" w:firstLineChars="100"/>
              <w:rPr>
                <w:rFonts w:ascii="宋体" w:hAnsi="宋体"/>
                <w:szCs w:val="21"/>
              </w:rPr>
            </w:pPr>
            <w:r>
              <w:rPr>
                <w:rFonts w:hint="eastAsia" w:ascii="宋体" w:hAnsi="宋体"/>
                <w:szCs w:val="21"/>
              </w:rPr>
              <w:t>（3）投标人按照招标文件的规定提供了投标保证金：</w:t>
            </w:r>
          </w:p>
          <w:p w14:paraId="07665DAE">
            <w:pPr>
              <w:keepLines/>
              <w:snapToGrid w:val="0"/>
              <w:spacing w:line="360" w:lineRule="atLeast"/>
              <w:ind w:firstLine="525" w:firstLineChars="250"/>
              <w:rPr>
                <w:rFonts w:ascii="宋体" w:hAnsi="宋体"/>
                <w:szCs w:val="21"/>
              </w:rPr>
            </w:pPr>
            <w:r>
              <w:rPr>
                <w:rFonts w:hint="eastAsia" w:ascii="宋体" w:hAnsi="宋体"/>
                <w:szCs w:val="21"/>
              </w:rPr>
              <w:t>a.投标保证金金额符合招标文件规定的金额，且投标保证金有效期不少于投标有效期；</w:t>
            </w:r>
          </w:p>
          <w:p w14:paraId="0A4F9D8A">
            <w:pPr>
              <w:keepLines/>
              <w:snapToGrid w:val="0"/>
              <w:spacing w:line="360" w:lineRule="atLeast"/>
              <w:ind w:firstLine="525" w:firstLineChars="250"/>
              <w:rPr>
                <w:rFonts w:ascii="宋体" w:hAnsi="宋体"/>
                <w:szCs w:val="21"/>
              </w:rPr>
            </w:pPr>
            <w:r>
              <w:rPr>
                <w:rFonts w:hint="eastAsia" w:ascii="宋体" w:hAnsi="宋体"/>
                <w:szCs w:val="21"/>
              </w:rPr>
              <w:t>b.若投标保证金采用现金或支票形式提交，投标人应在递交投标文件截止时间之前，将投标保证金由投标人的基本账户转入招标人指定账户；</w:t>
            </w:r>
          </w:p>
          <w:p w14:paraId="4E9AB828">
            <w:pPr>
              <w:keepLines/>
              <w:snapToGrid w:val="0"/>
              <w:spacing w:line="360" w:lineRule="atLeast"/>
              <w:ind w:firstLine="525" w:firstLineChars="250"/>
              <w:rPr>
                <w:rFonts w:ascii="宋体" w:hAnsi="宋体"/>
                <w:szCs w:val="21"/>
              </w:rPr>
            </w:pPr>
            <w:r>
              <w:rPr>
                <w:rFonts w:hint="eastAsia" w:ascii="宋体" w:hAnsi="宋体"/>
                <w:szCs w:val="21"/>
              </w:rPr>
              <w:t>c.若投标保证金采用保函形式提交，银行保函的格式、开具保函的机构均满足招标文件要求。</w:t>
            </w:r>
          </w:p>
          <w:p w14:paraId="20F5A039">
            <w:pPr>
              <w:keepLines/>
              <w:snapToGrid w:val="0"/>
              <w:spacing w:line="360" w:lineRule="atLeast"/>
              <w:ind w:firstLine="210" w:firstLineChars="100"/>
              <w:rPr>
                <w:rFonts w:ascii="宋体" w:hAnsi="宋体"/>
                <w:szCs w:val="21"/>
              </w:rPr>
            </w:pPr>
            <w:r>
              <w:rPr>
                <w:rFonts w:hint="eastAsia" w:ascii="宋体" w:hAnsi="宋体"/>
                <w:szCs w:val="21"/>
              </w:rPr>
              <w:t>（4）投标人法定代表人授权委托代理人签署投标文件的，须提交授权委托书，且授权人和被授权人均在授权委托书上签名（可使用CA数字证书加盖电子签名章）。</w:t>
            </w:r>
          </w:p>
          <w:p w14:paraId="75739805">
            <w:pPr>
              <w:keepLines/>
              <w:snapToGrid w:val="0"/>
              <w:spacing w:line="360" w:lineRule="atLeast"/>
              <w:ind w:firstLine="210" w:firstLineChars="100"/>
              <w:rPr>
                <w:rFonts w:ascii="宋体" w:hAnsi="宋体"/>
                <w:szCs w:val="21"/>
              </w:rPr>
            </w:pPr>
            <w:r>
              <w:rPr>
                <w:rFonts w:hint="eastAsia" w:ascii="宋体" w:hAnsi="宋体"/>
                <w:szCs w:val="21"/>
              </w:rPr>
              <w:t>（5）投标人法定代表人亲自签署投标文件的，提供了法定代表人身份证明，且法定代表人在法定代表人身份证明上签名（可使用CA数字证书加盖电子签名章）。</w:t>
            </w:r>
          </w:p>
          <w:p w14:paraId="5D75EB59">
            <w:pPr>
              <w:keepLines/>
              <w:snapToGrid w:val="0"/>
              <w:spacing w:line="360" w:lineRule="atLeast"/>
              <w:ind w:firstLine="210" w:firstLineChars="100"/>
              <w:rPr>
                <w:rFonts w:ascii="宋体" w:hAnsi="宋体"/>
                <w:szCs w:val="21"/>
              </w:rPr>
            </w:pPr>
            <w:r>
              <w:rPr>
                <w:rFonts w:hint="eastAsia" w:ascii="宋体" w:hAnsi="宋体"/>
                <w:szCs w:val="21"/>
              </w:rPr>
              <w:t>（6）投标人以联合体形式投标时，联合体满足招标文件的要求：投标人按照招标文件提供的格式签订了联合体协议书，明确各方承担连带责任，并明确了联合体牵头人。</w:t>
            </w:r>
          </w:p>
          <w:p w14:paraId="55CD1DF4">
            <w:pPr>
              <w:keepLines/>
              <w:snapToGrid w:val="0"/>
              <w:spacing w:line="360" w:lineRule="atLeast"/>
              <w:ind w:firstLine="210" w:firstLineChars="100"/>
              <w:rPr>
                <w:rFonts w:ascii="宋体" w:hAnsi="宋体"/>
                <w:szCs w:val="21"/>
              </w:rPr>
            </w:pPr>
            <w:r>
              <w:rPr>
                <w:rFonts w:hint="eastAsia" w:ascii="宋体" w:hAnsi="宋体"/>
                <w:szCs w:val="21"/>
              </w:rPr>
              <w:t>（7）投标文件中未出现有关投标报价的内容。</w:t>
            </w:r>
          </w:p>
          <w:p w14:paraId="4C012BCF">
            <w:pPr>
              <w:keepLines/>
              <w:snapToGrid w:val="0"/>
              <w:spacing w:line="360" w:lineRule="atLeast"/>
              <w:ind w:firstLine="210" w:firstLineChars="10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）投标文件载明的招标项目完成期限符合招标文件规定。</w:t>
            </w:r>
          </w:p>
          <w:p w14:paraId="16DFFF47">
            <w:pPr>
              <w:keepLines/>
              <w:snapToGrid w:val="0"/>
              <w:spacing w:line="360" w:lineRule="atLeast"/>
              <w:ind w:firstLine="210" w:firstLineChars="1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）投标文件对招标文件的实质性要求和条件作出响应。</w:t>
            </w:r>
          </w:p>
          <w:p w14:paraId="21055EFD">
            <w:pPr>
              <w:keepLines/>
              <w:snapToGrid w:val="0"/>
              <w:spacing w:line="360" w:lineRule="atLeast"/>
              <w:ind w:firstLine="210" w:firstLineChars="10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）权利义务符合招标文件规定：</w:t>
            </w:r>
          </w:p>
          <w:p w14:paraId="6AE9CDCD">
            <w:pPr>
              <w:keepLines/>
              <w:snapToGrid w:val="0"/>
              <w:spacing w:line="360" w:lineRule="atLeast"/>
              <w:ind w:firstLine="525" w:firstLineChars="250"/>
              <w:rPr>
                <w:rFonts w:ascii="宋体" w:hAnsi="宋体"/>
                <w:szCs w:val="21"/>
              </w:rPr>
            </w:pPr>
            <w:r>
              <w:rPr>
                <w:rFonts w:hint="eastAsia" w:ascii="宋体" w:hAnsi="宋体"/>
                <w:szCs w:val="21"/>
              </w:rPr>
              <w:t>a.投标人应接受招标文件规定的风险划分原则，未提出新的风险划分办法；</w:t>
            </w:r>
          </w:p>
          <w:p w14:paraId="582A6B29">
            <w:pPr>
              <w:keepLines/>
              <w:snapToGrid w:val="0"/>
              <w:spacing w:line="360" w:lineRule="atLeast"/>
              <w:ind w:firstLine="525" w:firstLineChars="250"/>
              <w:rPr>
                <w:rFonts w:ascii="宋体" w:hAnsi="宋体"/>
                <w:szCs w:val="21"/>
              </w:rPr>
            </w:pPr>
            <w:r>
              <w:rPr>
                <w:rFonts w:hint="eastAsia" w:ascii="宋体" w:hAnsi="宋体"/>
                <w:szCs w:val="21"/>
              </w:rPr>
              <w:t>b.投标人未增加委托人的责任范围，或减少投标人义务；</w:t>
            </w:r>
          </w:p>
          <w:p w14:paraId="255D3AD1">
            <w:pPr>
              <w:keepLines/>
              <w:snapToGrid w:val="0"/>
              <w:spacing w:line="360" w:lineRule="atLeast"/>
              <w:ind w:firstLine="525" w:firstLineChars="250"/>
              <w:rPr>
                <w:rFonts w:ascii="宋体" w:hAnsi="宋体"/>
                <w:szCs w:val="21"/>
              </w:rPr>
            </w:pPr>
            <w:r>
              <w:rPr>
                <w:rFonts w:hint="eastAsia" w:ascii="宋体" w:hAnsi="宋体"/>
                <w:szCs w:val="21"/>
              </w:rPr>
              <w:t>c.投标人未提出不同的支付办法；</w:t>
            </w:r>
          </w:p>
          <w:p w14:paraId="7BDC478E">
            <w:pPr>
              <w:keepLines/>
              <w:snapToGrid w:val="0"/>
              <w:spacing w:line="360" w:lineRule="atLeast"/>
              <w:ind w:firstLine="525" w:firstLineChars="250"/>
              <w:rPr>
                <w:rFonts w:ascii="宋体" w:hAnsi="宋体"/>
                <w:szCs w:val="21"/>
              </w:rPr>
            </w:pPr>
            <w:r>
              <w:rPr>
                <w:rFonts w:hint="eastAsia" w:ascii="宋体" w:hAnsi="宋体"/>
                <w:szCs w:val="21"/>
              </w:rPr>
              <w:t>d.投标人对合同纠纷、事故处理办法未提出异议；</w:t>
            </w:r>
          </w:p>
          <w:p w14:paraId="032B3177">
            <w:pPr>
              <w:keepLines/>
              <w:snapToGrid w:val="0"/>
              <w:spacing w:line="360" w:lineRule="atLeast"/>
              <w:ind w:firstLine="525" w:firstLineChars="250"/>
              <w:rPr>
                <w:rFonts w:ascii="宋体" w:hAnsi="宋体"/>
                <w:szCs w:val="21"/>
              </w:rPr>
            </w:pPr>
            <w:r>
              <w:rPr>
                <w:rFonts w:hint="eastAsia" w:ascii="宋体" w:hAnsi="宋体"/>
                <w:szCs w:val="21"/>
              </w:rPr>
              <w:t>e.投标人在投标活动中无欺诈行为；</w:t>
            </w:r>
          </w:p>
          <w:p w14:paraId="7794816C">
            <w:pPr>
              <w:keepLines/>
              <w:snapToGrid w:val="0"/>
              <w:spacing w:line="360" w:lineRule="atLeast"/>
              <w:ind w:firstLine="525" w:firstLineChars="250"/>
              <w:rPr>
                <w:rFonts w:ascii="宋体" w:hAnsi="宋体"/>
                <w:szCs w:val="21"/>
              </w:rPr>
            </w:pPr>
            <w:r>
              <w:rPr>
                <w:rFonts w:hint="eastAsia" w:ascii="宋体" w:hAnsi="宋体"/>
                <w:szCs w:val="21"/>
              </w:rPr>
              <w:t>f.投标人未对合同条款有重要保留。</w:t>
            </w:r>
          </w:p>
        </w:tc>
      </w:tr>
      <w:tr w14:paraId="4A4270B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03" w:type="pct"/>
            <w:vAlign w:val="center"/>
          </w:tcPr>
          <w:p w14:paraId="49870227">
            <w:pPr>
              <w:jc w:val="center"/>
              <w:rPr>
                <w:rFonts w:ascii="宋体" w:hAnsi="宋体"/>
                <w:szCs w:val="21"/>
              </w:rPr>
            </w:pPr>
            <w:r>
              <w:rPr>
                <w:rFonts w:ascii="宋体" w:hAnsi="宋体"/>
                <w:szCs w:val="21"/>
              </w:rPr>
              <w:t>2.1.1</w:t>
            </w:r>
          </w:p>
          <w:p w14:paraId="1E553BBB">
            <w:pPr>
              <w:jc w:val="center"/>
              <w:rPr>
                <w:rFonts w:ascii="宋体" w:hAnsi="宋体"/>
                <w:szCs w:val="21"/>
              </w:rPr>
            </w:pPr>
            <w:r>
              <w:rPr>
                <w:rFonts w:hint="eastAsia" w:ascii="宋体" w:hAnsi="宋体"/>
                <w:szCs w:val="21"/>
              </w:rPr>
              <w:t>2.1.3</w:t>
            </w:r>
          </w:p>
        </w:tc>
        <w:tc>
          <w:tcPr>
            <w:tcW w:w="706" w:type="pct"/>
            <w:vAlign w:val="center"/>
          </w:tcPr>
          <w:p w14:paraId="48D7D0FA">
            <w:pPr>
              <w:jc w:val="center"/>
              <w:rPr>
                <w:rFonts w:ascii="宋体" w:hAnsi="宋体"/>
                <w:szCs w:val="21"/>
              </w:rPr>
            </w:pPr>
            <w:r>
              <w:rPr>
                <w:rFonts w:hint="eastAsia" w:ascii="宋体" w:hAnsi="宋体"/>
                <w:szCs w:val="21"/>
              </w:rPr>
              <w:t>形式评审与</w:t>
            </w:r>
          </w:p>
          <w:p w14:paraId="5035EA46">
            <w:pPr>
              <w:jc w:val="center"/>
              <w:rPr>
                <w:rFonts w:ascii="宋体" w:hAnsi="宋体"/>
                <w:szCs w:val="21"/>
              </w:rPr>
            </w:pPr>
            <w:r>
              <w:rPr>
                <w:rFonts w:hint="eastAsia" w:ascii="宋体" w:hAnsi="宋体"/>
                <w:szCs w:val="21"/>
              </w:rPr>
              <w:t>响应性评审</w:t>
            </w:r>
          </w:p>
          <w:p w14:paraId="3F9B1746">
            <w:pPr>
              <w:jc w:val="center"/>
              <w:rPr>
                <w:rFonts w:ascii="宋体" w:hAnsi="宋体"/>
                <w:szCs w:val="21"/>
              </w:rPr>
            </w:pPr>
            <w:r>
              <w:rPr>
                <w:rFonts w:hint="eastAsia" w:ascii="宋体" w:hAnsi="宋体"/>
                <w:szCs w:val="21"/>
              </w:rPr>
              <w:t>标准</w:t>
            </w:r>
          </w:p>
        </w:tc>
        <w:tc>
          <w:tcPr>
            <w:tcW w:w="3890" w:type="pct"/>
          </w:tcPr>
          <w:p w14:paraId="30F385DF">
            <w:pPr>
              <w:snapToGrid w:val="0"/>
              <w:spacing w:line="360" w:lineRule="atLeast"/>
              <w:ind w:right="113"/>
              <w:rPr>
                <w:rFonts w:ascii="黑体" w:hAnsi="黑体" w:eastAsia="黑体"/>
                <w:b/>
                <w:szCs w:val="21"/>
              </w:rPr>
            </w:pPr>
            <w:r>
              <w:rPr>
                <w:rFonts w:hint="eastAsia" w:ascii="黑体" w:hAnsi="黑体" w:eastAsia="黑体"/>
                <w:b/>
                <w:szCs w:val="21"/>
              </w:rPr>
              <w:t>第二个信封（报价文件）评审标准：</w:t>
            </w:r>
          </w:p>
          <w:p w14:paraId="17E80B84">
            <w:pPr>
              <w:snapToGrid w:val="0"/>
              <w:spacing w:line="360" w:lineRule="atLeast"/>
              <w:ind w:firstLine="210" w:firstLineChars="100"/>
              <w:rPr>
                <w:rFonts w:ascii="宋体" w:hAnsi="宋体"/>
                <w:szCs w:val="21"/>
              </w:rPr>
            </w:pPr>
            <w:r>
              <w:rPr>
                <w:rFonts w:hint="eastAsia" w:ascii="宋体" w:hAnsi="宋体"/>
                <w:szCs w:val="21"/>
              </w:rPr>
              <w:t>（1）投标文件按照招标文件规定的格式、内容填写，字迹清晰可辨，内容齐全完整：</w:t>
            </w:r>
          </w:p>
          <w:p w14:paraId="41B6033A">
            <w:pPr>
              <w:snapToGrid w:val="0"/>
              <w:spacing w:line="360" w:lineRule="atLeast"/>
              <w:ind w:firstLine="525" w:firstLineChars="250"/>
              <w:rPr>
                <w:rFonts w:ascii="宋体" w:hAnsi="宋体"/>
                <w:szCs w:val="21"/>
              </w:rPr>
            </w:pPr>
            <w:r>
              <w:rPr>
                <w:rFonts w:hint="eastAsia" w:ascii="宋体" w:hAnsi="宋体"/>
                <w:szCs w:val="21"/>
              </w:rPr>
              <w:t>a.投标函按招标文件规定填报了项目名称、标段号、补遗书编号（如有）、投标价（包括大写金额和小写金额）；</w:t>
            </w:r>
          </w:p>
          <w:p w14:paraId="361D3AB8">
            <w:pPr>
              <w:snapToGrid w:val="0"/>
              <w:spacing w:line="360" w:lineRule="atLeast"/>
              <w:ind w:firstLine="525" w:firstLineChars="250"/>
              <w:rPr>
                <w:rFonts w:ascii="宋体" w:hAnsi="宋体"/>
                <w:szCs w:val="21"/>
              </w:rPr>
            </w:pPr>
            <w:r>
              <w:rPr>
                <w:rFonts w:hint="eastAsia" w:ascii="宋体" w:hAnsi="宋体"/>
                <w:szCs w:val="21"/>
              </w:rPr>
              <w:t>b.已标价报价清单说明文字与招标文件规定一致，未进行实质性修改和删减；</w:t>
            </w:r>
          </w:p>
          <w:p w14:paraId="5A0C9DED">
            <w:pPr>
              <w:snapToGrid w:val="0"/>
              <w:spacing w:line="360" w:lineRule="atLeast"/>
              <w:ind w:firstLine="525" w:firstLineChars="250"/>
              <w:rPr>
                <w:rFonts w:ascii="宋体" w:hAnsi="宋体"/>
                <w:szCs w:val="21"/>
              </w:rPr>
            </w:pPr>
            <w:r>
              <w:rPr>
                <w:rFonts w:hint="eastAsia" w:ascii="宋体" w:hAnsi="宋体"/>
                <w:szCs w:val="21"/>
              </w:rPr>
              <w:t>c.投标文件组成齐全完整，内容均按规定填写。</w:t>
            </w:r>
          </w:p>
          <w:p w14:paraId="7BDD9CD9">
            <w:pPr>
              <w:snapToGrid w:val="0"/>
              <w:spacing w:line="360" w:lineRule="atLeast"/>
              <w:ind w:firstLine="210" w:firstLineChars="100"/>
              <w:rPr>
                <w:rFonts w:ascii="宋体" w:hAnsi="宋体"/>
                <w:szCs w:val="21"/>
              </w:rPr>
            </w:pPr>
            <w:r>
              <w:rPr>
                <w:rFonts w:hint="eastAsia" w:ascii="宋体" w:hAnsi="宋体"/>
                <w:szCs w:val="21"/>
              </w:rPr>
              <w:t>（2）投标文件上法定代表人或其委托代理人的签字、投标人的单位章盖章齐全，符合招标文件规定。</w:t>
            </w:r>
          </w:p>
          <w:p w14:paraId="0B429C96">
            <w:pPr>
              <w:snapToGrid w:val="0"/>
              <w:spacing w:line="360" w:lineRule="atLeast"/>
              <w:ind w:firstLine="210" w:firstLineChars="100"/>
              <w:rPr>
                <w:rFonts w:ascii="宋体" w:hAnsi="宋体"/>
                <w:szCs w:val="21"/>
              </w:rPr>
            </w:pPr>
            <w:r>
              <w:rPr>
                <w:rFonts w:hint="eastAsia" w:ascii="宋体" w:hAnsi="宋体"/>
                <w:szCs w:val="21"/>
              </w:rPr>
              <w:t>（3）投标报价（含总报价和分项报价）未超过招标文件设定的最高投标限价。</w:t>
            </w:r>
          </w:p>
          <w:p w14:paraId="72C10124">
            <w:pPr>
              <w:snapToGrid w:val="0"/>
              <w:spacing w:line="360" w:lineRule="atLeast"/>
              <w:ind w:firstLine="210" w:firstLineChars="100"/>
              <w:rPr>
                <w:rFonts w:ascii="宋体" w:hAnsi="宋体"/>
                <w:szCs w:val="21"/>
              </w:rPr>
            </w:pPr>
            <w:r>
              <w:rPr>
                <w:rFonts w:hint="eastAsia" w:ascii="宋体" w:hAnsi="宋体"/>
                <w:szCs w:val="21"/>
              </w:rPr>
              <w:t>（4）投标报价的大写金额能够确定具体数值。</w:t>
            </w:r>
          </w:p>
          <w:p w14:paraId="6CDBEFC7">
            <w:pPr>
              <w:snapToGrid w:val="0"/>
              <w:spacing w:line="360" w:lineRule="atLeast"/>
              <w:ind w:firstLine="210" w:firstLineChars="100"/>
              <w:rPr>
                <w:rFonts w:ascii="宋体" w:hAnsi="宋体"/>
                <w:szCs w:val="21"/>
              </w:rPr>
            </w:pPr>
            <w:r>
              <w:rPr>
                <w:rFonts w:hint="eastAsia" w:ascii="宋体" w:hAnsi="宋体"/>
                <w:szCs w:val="21"/>
              </w:rPr>
              <w:t>（5）同一投标人未提交两个以上不同的投标报价。</w:t>
            </w:r>
          </w:p>
        </w:tc>
      </w:tr>
      <w:tr w14:paraId="17F9E27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03" w:type="pct"/>
            <w:vAlign w:val="center"/>
          </w:tcPr>
          <w:p w14:paraId="462F27AA">
            <w:pPr>
              <w:jc w:val="center"/>
              <w:rPr>
                <w:rFonts w:ascii="宋体" w:hAnsi="宋体"/>
                <w:szCs w:val="21"/>
              </w:rPr>
            </w:pPr>
            <w:r>
              <w:rPr>
                <w:rFonts w:hint="eastAsia" w:ascii="宋体" w:hAnsi="宋体"/>
                <w:szCs w:val="21"/>
              </w:rPr>
              <w:t>2.1.2</w:t>
            </w:r>
          </w:p>
        </w:tc>
        <w:tc>
          <w:tcPr>
            <w:tcW w:w="706" w:type="pct"/>
            <w:vAlign w:val="center"/>
          </w:tcPr>
          <w:p w14:paraId="6D366592">
            <w:pPr>
              <w:snapToGrid w:val="0"/>
              <w:spacing w:line="360" w:lineRule="atLeast"/>
              <w:ind w:right="113"/>
              <w:jc w:val="center"/>
              <w:rPr>
                <w:rFonts w:ascii="宋体" w:hAnsi="宋体"/>
                <w:szCs w:val="21"/>
              </w:rPr>
            </w:pPr>
            <w:r>
              <w:rPr>
                <w:rFonts w:hint="eastAsia" w:ascii="宋体" w:hAnsi="宋体"/>
                <w:szCs w:val="21"/>
              </w:rPr>
              <w:t>资格评审</w:t>
            </w:r>
          </w:p>
          <w:p w14:paraId="52D405B7">
            <w:pPr>
              <w:jc w:val="center"/>
              <w:rPr>
                <w:rFonts w:ascii="宋体" w:hAnsi="宋体"/>
                <w:szCs w:val="21"/>
              </w:rPr>
            </w:pPr>
            <w:r>
              <w:rPr>
                <w:rFonts w:hint="eastAsia" w:ascii="宋体" w:hAnsi="宋体"/>
                <w:szCs w:val="21"/>
              </w:rPr>
              <w:t>标准</w:t>
            </w:r>
          </w:p>
        </w:tc>
        <w:tc>
          <w:tcPr>
            <w:tcW w:w="3890" w:type="pct"/>
            <w:vAlign w:val="center"/>
          </w:tcPr>
          <w:p w14:paraId="14574CF9">
            <w:pPr>
              <w:snapToGrid w:val="0"/>
              <w:spacing w:line="360" w:lineRule="atLeast"/>
              <w:ind w:firstLine="210" w:firstLineChars="100"/>
              <w:rPr>
                <w:rFonts w:ascii="宋体" w:hAnsi="宋体"/>
                <w:szCs w:val="21"/>
              </w:rPr>
            </w:pPr>
            <w:r>
              <w:rPr>
                <w:rFonts w:hint="eastAsia" w:ascii="宋体" w:hAnsi="宋体"/>
                <w:szCs w:val="21"/>
              </w:rPr>
              <w:t>（1）投标人具备有效的营业执照（或事业单位法人证书）、监理资质证书</w:t>
            </w:r>
            <w:r>
              <w:rPr>
                <w:rFonts w:hint="eastAsia" w:ascii="宋体" w:hAnsi="宋体"/>
                <w:szCs w:val="21"/>
                <w:highlight w:val="none"/>
              </w:rPr>
              <w:t>、质量检测机构资质证书和基</w:t>
            </w:r>
            <w:r>
              <w:rPr>
                <w:rFonts w:hint="eastAsia" w:ascii="宋体" w:hAnsi="宋体"/>
                <w:szCs w:val="21"/>
              </w:rPr>
              <w:t>本账户开户证明资料。</w:t>
            </w:r>
          </w:p>
          <w:p w14:paraId="7AB52CC3">
            <w:pPr>
              <w:snapToGrid w:val="0"/>
              <w:spacing w:line="360" w:lineRule="atLeast"/>
              <w:ind w:firstLine="210" w:firstLineChars="100"/>
              <w:rPr>
                <w:rFonts w:ascii="宋体" w:hAnsi="宋体"/>
                <w:szCs w:val="21"/>
              </w:rPr>
            </w:pPr>
            <w:r>
              <w:rPr>
                <w:rFonts w:hint="eastAsia" w:ascii="宋体" w:hAnsi="宋体"/>
                <w:szCs w:val="21"/>
              </w:rPr>
              <w:t>（2）投标人的资质等级符合招标文件规定。</w:t>
            </w:r>
          </w:p>
          <w:p w14:paraId="1489151B">
            <w:pPr>
              <w:snapToGrid w:val="0"/>
              <w:spacing w:line="360" w:lineRule="atLeast"/>
              <w:ind w:firstLine="210" w:firstLineChars="100"/>
              <w:rPr>
                <w:rFonts w:ascii="宋体" w:hAnsi="宋体"/>
                <w:szCs w:val="21"/>
              </w:rPr>
            </w:pPr>
            <w:r>
              <w:rPr>
                <w:rFonts w:hint="eastAsia" w:ascii="宋体" w:hAnsi="宋体"/>
                <w:szCs w:val="21"/>
              </w:rPr>
              <w:t>（3）投标人的类似项目业绩符合招标文件规定。</w:t>
            </w:r>
          </w:p>
          <w:p w14:paraId="0E0974AD">
            <w:pPr>
              <w:snapToGrid w:val="0"/>
              <w:spacing w:line="360" w:lineRule="atLeast"/>
              <w:ind w:firstLine="210" w:firstLineChars="100"/>
              <w:rPr>
                <w:rFonts w:ascii="宋体" w:hAnsi="宋体"/>
                <w:szCs w:val="21"/>
              </w:rPr>
            </w:pPr>
            <w:r>
              <w:rPr>
                <w:rFonts w:hint="eastAsia" w:ascii="宋体" w:hAnsi="宋体"/>
                <w:szCs w:val="21"/>
              </w:rPr>
              <w:t>（4）投标人的信誉符合招标文件规定。</w:t>
            </w:r>
          </w:p>
          <w:p w14:paraId="28356D63">
            <w:pPr>
              <w:snapToGrid w:val="0"/>
              <w:spacing w:line="360" w:lineRule="atLeast"/>
              <w:ind w:firstLine="210" w:firstLineChars="100"/>
              <w:rPr>
                <w:rFonts w:ascii="宋体" w:hAnsi="宋体"/>
                <w:szCs w:val="21"/>
              </w:rPr>
            </w:pPr>
            <w:r>
              <w:rPr>
                <w:rFonts w:hint="eastAsia" w:ascii="宋体" w:hAnsi="宋体"/>
                <w:szCs w:val="21"/>
              </w:rPr>
              <w:t>（5）投标人的总监理工程师资格、在岗情况符合招标文件规定。</w:t>
            </w:r>
          </w:p>
          <w:p w14:paraId="3E946812">
            <w:pPr>
              <w:snapToGrid w:val="0"/>
              <w:spacing w:line="360" w:lineRule="atLeast"/>
              <w:ind w:firstLine="210" w:firstLineChars="100"/>
              <w:rPr>
                <w:rFonts w:ascii="宋体" w:hAnsi="宋体"/>
                <w:szCs w:val="21"/>
              </w:rPr>
            </w:pPr>
            <w:r>
              <w:rPr>
                <w:rFonts w:hint="eastAsia" w:ascii="宋体" w:hAnsi="宋体"/>
                <w:szCs w:val="21"/>
              </w:rPr>
              <w:t>（6）投标人的其他要求符合招标文件规定。</w:t>
            </w:r>
          </w:p>
          <w:p w14:paraId="7FFB5774">
            <w:pPr>
              <w:snapToGrid w:val="0"/>
              <w:spacing w:line="360" w:lineRule="atLeast"/>
              <w:ind w:firstLine="210" w:firstLineChars="100"/>
              <w:rPr>
                <w:rFonts w:ascii="宋体" w:hAnsi="宋体"/>
                <w:szCs w:val="21"/>
              </w:rPr>
            </w:pPr>
            <w:r>
              <w:rPr>
                <w:rFonts w:hint="eastAsia" w:ascii="宋体" w:hAnsi="宋体"/>
                <w:szCs w:val="21"/>
              </w:rPr>
              <w:t>（7）投标人不存在第二章“投标人须知”第1.4.3项或第1.4.4项规定的任何一种情形。</w:t>
            </w:r>
          </w:p>
          <w:p w14:paraId="3DBEF836">
            <w:pPr>
              <w:snapToGrid w:val="0"/>
              <w:spacing w:line="360" w:lineRule="atLeast"/>
              <w:ind w:firstLine="210" w:firstLineChars="100"/>
              <w:rPr>
                <w:rFonts w:ascii="宋体" w:hAnsi="宋体"/>
                <w:szCs w:val="21"/>
              </w:rPr>
            </w:pPr>
            <w:r>
              <w:rPr>
                <w:rFonts w:hint="eastAsia" w:ascii="宋体" w:hAnsi="宋体"/>
                <w:szCs w:val="21"/>
              </w:rPr>
              <w:t>（8）投标人符合第二章“投标人须知”第1.4.5项规定。</w:t>
            </w:r>
          </w:p>
          <w:p w14:paraId="00EBFA20">
            <w:pPr>
              <w:snapToGrid w:val="0"/>
              <w:spacing w:line="360" w:lineRule="atLeast"/>
              <w:ind w:firstLine="210" w:firstLineChars="100"/>
              <w:rPr>
                <w:rFonts w:ascii="宋体" w:hAnsi="宋体"/>
                <w:szCs w:val="21"/>
              </w:rPr>
            </w:pPr>
            <w:r>
              <w:rPr>
                <w:rFonts w:hint="eastAsia" w:ascii="宋体" w:hAnsi="宋体"/>
                <w:szCs w:val="21"/>
              </w:rPr>
              <w:t>（9）以联合体形式参与投标的，联合体各方均未再以自己名义单独或参加其他联合体在同一标段中投标；独立参与投标的，投标人未同时参加联合体在同一标段中投标。</w:t>
            </w:r>
          </w:p>
        </w:tc>
      </w:tr>
    </w:tbl>
    <w:p w14:paraId="240F2CB1">
      <w:pPr>
        <w:spacing w:line="320" w:lineRule="exact"/>
        <w:jc w:val="right"/>
        <w:rPr>
          <w:rFonts w:ascii="宋体" w:hAnsi="宋体"/>
          <w:szCs w:val="21"/>
        </w:rPr>
      </w:pPr>
      <w:r>
        <w:rPr>
          <w:rFonts w:ascii="宋体" w:hAnsi="宋体"/>
          <w:szCs w:val="21"/>
        </w:rPr>
        <w:br w:type="page"/>
      </w:r>
      <w:r>
        <w:rPr>
          <w:rFonts w:hint="eastAsia" w:ascii="宋体" w:hAnsi="宋体"/>
          <w:szCs w:val="21"/>
        </w:rPr>
        <w:t>续上表</w:t>
      </w:r>
    </w:p>
    <w:tbl>
      <w:tblPr>
        <w:tblStyle w:val="5"/>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99"/>
        <w:gridCol w:w="1402"/>
        <w:gridCol w:w="6125"/>
      </w:tblGrid>
      <w:tr w14:paraId="3DB90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blHeader/>
          <w:jc w:val="center"/>
        </w:trPr>
        <w:tc>
          <w:tcPr>
            <w:tcW w:w="480" w:type="pct"/>
            <w:vAlign w:val="center"/>
          </w:tcPr>
          <w:p w14:paraId="05998389">
            <w:pPr>
              <w:spacing w:line="320" w:lineRule="exact"/>
              <w:ind w:right="27"/>
              <w:jc w:val="center"/>
              <w:rPr>
                <w:rFonts w:ascii="宋体" w:hAnsi="宋体"/>
                <w:b/>
                <w:szCs w:val="21"/>
              </w:rPr>
            </w:pPr>
            <w:r>
              <w:rPr>
                <w:rFonts w:hint="eastAsia" w:ascii="宋体" w:hAnsi="宋体"/>
                <w:b/>
                <w:szCs w:val="21"/>
              </w:rPr>
              <w:t>条款号</w:t>
            </w:r>
          </w:p>
        </w:tc>
        <w:tc>
          <w:tcPr>
            <w:tcW w:w="842" w:type="pct"/>
            <w:vAlign w:val="center"/>
          </w:tcPr>
          <w:p w14:paraId="1455A79F">
            <w:pPr>
              <w:spacing w:line="320" w:lineRule="exact"/>
              <w:ind w:right="113"/>
              <w:jc w:val="center"/>
              <w:rPr>
                <w:rFonts w:ascii="宋体" w:hAnsi="宋体"/>
                <w:b/>
                <w:szCs w:val="21"/>
              </w:rPr>
            </w:pPr>
            <w:r>
              <w:rPr>
                <w:rFonts w:hint="eastAsia" w:ascii="宋体" w:hAnsi="宋体"/>
                <w:b/>
                <w:szCs w:val="21"/>
              </w:rPr>
              <w:t>条款内容</w:t>
            </w:r>
          </w:p>
        </w:tc>
        <w:tc>
          <w:tcPr>
            <w:tcW w:w="3679" w:type="pct"/>
            <w:vAlign w:val="center"/>
          </w:tcPr>
          <w:p w14:paraId="09C79E4C">
            <w:pPr>
              <w:snapToGrid w:val="0"/>
              <w:spacing w:line="360" w:lineRule="atLeast"/>
              <w:ind w:right="113"/>
              <w:jc w:val="center"/>
              <w:rPr>
                <w:rFonts w:ascii="宋体" w:hAnsi="宋体"/>
                <w:b/>
                <w:szCs w:val="21"/>
              </w:rPr>
            </w:pPr>
            <w:r>
              <w:rPr>
                <w:rFonts w:hint="eastAsia" w:ascii="宋体" w:hAnsi="宋体"/>
                <w:b/>
                <w:szCs w:val="21"/>
              </w:rPr>
              <w:t>编列内容</w:t>
            </w:r>
          </w:p>
        </w:tc>
      </w:tr>
      <w:tr w14:paraId="184D61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80" w:type="pct"/>
            <w:vAlign w:val="center"/>
          </w:tcPr>
          <w:p w14:paraId="70F66B17">
            <w:pPr>
              <w:jc w:val="center"/>
              <w:rPr>
                <w:rFonts w:ascii="宋体" w:hAnsi="宋体"/>
                <w:szCs w:val="21"/>
              </w:rPr>
            </w:pPr>
            <w:r>
              <w:rPr>
                <w:rFonts w:hint="eastAsia" w:ascii="宋体" w:hAnsi="宋体"/>
                <w:szCs w:val="21"/>
              </w:rPr>
              <w:t>2.2.1</w:t>
            </w:r>
          </w:p>
        </w:tc>
        <w:tc>
          <w:tcPr>
            <w:tcW w:w="842" w:type="pct"/>
            <w:vAlign w:val="center"/>
          </w:tcPr>
          <w:p w14:paraId="7942A861">
            <w:pPr>
              <w:jc w:val="center"/>
              <w:rPr>
                <w:rFonts w:ascii="宋体" w:hAnsi="宋体"/>
                <w:szCs w:val="21"/>
              </w:rPr>
            </w:pPr>
            <w:r>
              <w:rPr>
                <w:rFonts w:hint="eastAsia" w:ascii="宋体" w:hAnsi="宋体"/>
                <w:szCs w:val="21"/>
              </w:rPr>
              <w:t>分值构成</w:t>
            </w:r>
          </w:p>
          <w:p w14:paraId="7F30CE2C">
            <w:pPr>
              <w:jc w:val="center"/>
              <w:rPr>
                <w:rFonts w:ascii="宋体" w:hAnsi="宋体"/>
                <w:szCs w:val="21"/>
              </w:rPr>
            </w:pPr>
            <w:r>
              <w:rPr>
                <w:rFonts w:hint="eastAsia" w:ascii="宋体" w:hAnsi="宋体"/>
                <w:szCs w:val="21"/>
              </w:rPr>
              <w:t>（总分100分）</w:t>
            </w:r>
          </w:p>
        </w:tc>
        <w:tc>
          <w:tcPr>
            <w:tcW w:w="3679" w:type="pct"/>
          </w:tcPr>
          <w:p w14:paraId="174D2CCF">
            <w:pPr>
              <w:snapToGrid w:val="0"/>
              <w:spacing w:line="360" w:lineRule="atLeast"/>
              <w:ind w:right="113"/>
              <w:rPr>
                <w:rFonts w:ascii="黑体" w:hAnsi="黑体" w:eastAsia="黑体"/>
                <w:b/>
                <w:szCs w:val="21"/>
              </w:rPr>
            </w:pPr>
            <w:r>
              <w:rPr>
                <w:rFonts w:ascii="黑体" w:hAnsi="黑体" w:eastAsia="黑体"/>
                <w:b/>
                <w:szCs w:val="21"/>
              </w:rPr>
              <w:t>第一个信封（商务及技术文件）评分分值构成：</w:t>
            </w:r>
          </w:p>
          <w:p w14:paraId="022F7F42">
            <w:pPr>
              <w:pStyle w:val="11"/>
              <w:keepLines/>
              <w:shd w:val="clear" w:color="auto" w:fill="auto"/>
              <w:tabs>
                <w:tab w:val="right" w:pos="2226"/>
              </w:tabs>
              <w:adjustRightInd w:val="0"/>
              <w:snapToGrid w:val="0"/>
              <w:spacing w:before="0" w:line="360" w:lineRule="atLeast"/>
              <w:ind w:firstLine="210" w:firstLineChars="100"/>
              <w:jc w:val="both"/>
              <w:rPr>
                <w:rFonts w:ascii="宋体" w:hAnsi="宋体"/>
                <w:sz w:val="21"/>
                <w:szCs w:val="21"/>
              </w:rPr>
            </w:pPr>
            <w:r>
              <w:rPr>
                <w:rFonts w:hint="eastAsia" w:ascii="宋体" w:hAnsi="宋体"/>
                <w:kern w:val="2"/>
                <w:sz w:val="21"/>
                <w:szCs w:val="21"/>
                <w:lang w:val="en-US"/>
              </w:rPr>
              <w:t>技术建议书</w:t>
            </w:r>
            <w:r>
              <w:rPr>
                <w:rFonts w:hint="eastAsia" w:ascii="宋体" w:hAnsi="宋体"/>
                <w:sz w:val="21"/>
                <w:szCs w:val="21"/>
              </w:rPr>
              <w:t>：</w:t>
            </w:r>
            <w:r>
              <w:rPr>
                <w:rFonts w:ascii="宋体" w:hAnsi="宋体"/>
                <w:sz w:val="21"/>
                <w:szCs w:val="21"/>
              </w:rPr>
              <w:tab/>
            </w:r>
            <w:r>
              <w:rPr>
                <w:rFonts w:hint="eastAsia" w:ascii="宋体" w:hAnsi="宋体"/>
                <w:sz w:val="21"/>
                <w:szCs w:val="21"/>
                <w:lang w:val="en-US" w:eastAsia="zh-CN"/>
              </w:rPr>
              <w:t>35</w:t>
            </w:r>
            <w:r>
              <w:rPr>
                <w:rFonts w:hint="eastAsia" w:ascii="宋体" w:hAnsi="宋体"/>
                <w:sz w:val="21"/>
                <w:szCs w:val="21"/>
              </w:rPr>
              <w:t>分</w:t>
            </w:r>
          </w:p>
          <w:p w14:paraId="1B39EEE5">
            <w:pPr>
              <w:pStyle w:val="11"/>
              <w:keepLines/>
              <w:shd w:val="clear" w:color="auto" w:fill="auto"/>
              <w:tabs>
                <w:tab w:val="right" w:pos="2226"/>
              </w:tabs>
              <w:adjustRightInd w:val="0"/>
              <w:snapToGrid w:val="0"/>
              <w:spacing w:before="0" w:line="360" w:lineRule="atLeast"/>
              <w:ind w:firstLine="210" w:firstLineChars="100"/>
              <w:jc w:val="both"/>
              <w:rPr>
                <w:rFonts w:ascii="宋体" w:hAnsi="宋体"/>
                <w:sz w:val="21"/>
                <w:szCs w:val="21"/>
              </w:rPr>
            </w:pPr>
            <w:r>
              <w:rPr>
                <w:rFonts w:hint="eastAsia" w:ascii="宋体" w:hAnsi="宋体"/>
                <w:kern w:val="2"/>
                <w:sz w:val="21"/>
                <w:szCs w:val="21"/>
                <w:lang w:val="en-US"/>
              </w:rPr>
              <w:t>主要人员</w:t>
            </w:r>
            <w:r>
              <w:rPr>
                <w:rFonts w:hint="eastAsia" w:ascii="宋体" w:hAnsi="宋体"/>
                <w:sz w:val="21"/>
                <w:szCs w:val="21"/>
              </w:rPr>
              <w:t>：</w:t>
            </w:r>
            <w:r>
              <w:rPr>
                <w:rFonts w:ascii="宋体" w:hAnsi="宋体"/>
                <w:sz w:val="21"/>
                <w:szCs w:val="21"/>
              </w:rPr>
              <w:tab/>
            </w:r>
            <w:r>
              <w:rPr>
                <w:rFonts w:hint="eastAsia" w:ascii="宋体" w:hAnsi="宋体"/>
                <w:sz w:val="21"/>
                <w:szCs w:val="21"/>
                <w:lang w:val="en-US" w:eastAsia="zh-CN"/>
              </w:rPr>
              <w:t>25</w:t>
            </w:r>
            <w:r>
              <w:rPr>
                <w:rFonts w:hint="eastAsia" w:ascii="宋体" w:hAnsi="宋体"/>
                <w:sz w:val="21"/>
                <w:szCs w:val="21"/>
              </w:rPr>
              <w:t>分</w:t>
            </w:r>
          </w:p>
          <w:p w14:paraId="59455ACD">
            <w:pPr>
              <w:pStyle w:val="11"/>
              <w:keepLines/>
              <w:shd w:val="clear" w:color="auto" w:fill="auto"/>
              <w:tabs>
                <w:tab w:val="right" w:pos="2226"/>
              </w:tabs>
              <w:adjustRightInd w:val="0"/>
              <w:snapToGrid w:val="0"/>
              <w:spacing w:before="0" w:line="360" w:lineRule="atLeast"/>
              <w:ind w:firstLine="210" w:firstLineChars="100"/>
              <w:jc w:val="both"/>
              <w:rPr>
                <w:rFonts w:ascii="宋体" w:hAnsi="宋体"/>
                <w:sz w:val="21"/>
                <w:szCs w:val="21"/>
              </w:rPr>
            </w:pPr>
            <w:r>
              <w:rPr>
                <w:rFonts w:hint="eastAsia" w:ascii="宋体" w:hAnsi="宋体"/>
                <w:kern w:val="2"/>
                <w:sz w:val="21"/>
                <w:szCs w:val="21"/>
                <w:lang w:val="en-US"/>
              </w:rPr>
              <w:t>业绩</w:t>
            </w:r>
            <w:r>
              <w:rPr>
                <w:rFonts w:hint="eastAsia" w:ascii="宋体" w:hAnsi="宋体"/>
                <w:sz w:val="21"/>
                <w:szCs w:val="21"/>
              </w:rPr>
              <w:t>：</w:t>
            </w:r>
            <w:r>
              <w:rPr>
                <w:rFonts w:ascii="宋体" w:hAnsi="宋体"/>
                <w:sz w:val="21"/>
                <w:szCs w:val="21"/>
              </w:rPr>
              <w:tab/>
            </w:r>
            <w:r>
              <w:rPr>
                <w:rFonts w:hint="eastAsia" w:ascii="宋体" w:hAnsi="宋体"/>
                <w:sz w:val="21"/>
                <w:szCs w:val="21"/>
                <w:lang w:val="en-US" w:eastAsia="zh-CN"/>
              </w:rPr>
              <w:t>20</w:t>
            </w:r>
            <w:r>
              <w:rPr>
                <w:rFonts w:hint="eastAsia" w:ascii="宋体" w:hAnsi="宋体"/>
                <w:sz w:val="21"/>
                <w:szCs w:val="21"/>
              </w:rPr>
              <w:t>分</w:t>
            </w:r>
          </w:p>
          <w:p w14:paraId="50A007E8">
            <w:pPr>
              <w:pStyle w:val="11"/>
              <w:keepLines/>
              <w:shd w:val="clear" w:color="auto" w:fill="auto"/>
              <w:tabs>
                <w:tab w:val="right" w:pos="2226"/>
              </w:tabs>
              <w:adjustRightInd w:val="0"/>
              <w:snapToGrid w:val="0"/>
              <w:spacing w:before="0" w:line="360" w:lineRule="atLeast"/>
              <w:ind w:firstLine="210" w:firstLineChars="100"/>
              <w:jc w:val="both"/>
              <w:rPr>
                <w:rFonts w:ascii="宋体" w:hAnsi="宋体"/>
                <w:sz w:val="21"/>
                <w:szCs w:val="21"/>
              </w:rPr>
            </w:pPr>
            <w:r>
              <w:rPr>
                <w:rFonts w:hint="eastAsia" w:ascii="宋体" w:hAnsi="宋体"/>
                <w:kern w:val="2"/>
                <w:sz w:val="21"/>
                <w:szCs w:val="21"/>
                <w:lang w:val="en-US"/>
              </w:rPr>
              <w:t>履约信誉</w:t>
            </w:r>
            <w:r>
              <w:rPr>
                <w:rFonts w:hint="eastAsia" w:ascii="宋体" w:hAnsi="宋体"/>
                <w:sz w:val="21"/>
                <w:szCs w:val="21"/>
              </w:rPr>
              <w:t>：</w:t>
            </w:r>
            <w:r>
              <w:rPr>
                <w:rFonts w:ascii="宋体" w:hAnsi="宋体"/>
                <w:sz w:val="21"/>
                <w:szCs w:val="21"/>
              </w:rPr>
              <w:tab/>
            </w:r>
            <w:r>
              <w:rPr>
                <w:rFonts w:hint="eastAsia" w:ascii="宋体" w:hAnsi="宋体"/>
                <w:sz w:val="21"/>
                <w:szCs w:val="21"/>
                <w:lang w:val="en-US"/>
              </w:rPr>
              <w:t>10</w:t>
            </w:r>
            <w:r>
              <w:rPr>
                <w:rFonts w:hint="eastAsia" w:ascii="宋体" w:hAnsi="宋体"/>
                <w:sz w:val="21"/>
                <w:szCs w:val="21"/>
              </w:rPr>
              <w:t>分</w:t>
            </w:r>
          </w:p>
          <w:p w14:paraId="5C384CC5">
            <w:pPr>
              <w:snapToGrid w:val="0"/>
              <w:spacing w:line="360" w:lineRule="atLeast"/>
              <w:ind w:right="113"/>
              <w:rPr>
                <w:rFonts w:ascii="黑体" w:hAnsi="黑体" w:eastAsia="黑体"/>
                <w:b/>
                <w:szCs w:val="21"/>
              </w:rPr>
            </w:pPr>
            <w:r>
              <w:rPr>
                <w:rFonts w:ascii="黑体" w:hAnsi="黑体" w:eastAsia="黑体"/>
                <w:b/>
                <w:szCs w:val="21"/>
              </w:rPr>
              <w:t>第二个信封（报价文件）评分分值构成：</w:t>
            </w:r>
          </w:p>
          <w:p w14:paraId="6F49C51F">
            <w:pPr>
              <w:pStyle w:val="11"/>
              <w:keepLines/>
              <w:shd w:val="clear" w:color="auto" w:fill="auto"/>
              <w:tabs>
                <w:tab w:val="right" w:pos="2226"/>
              </w:tabs>
              <w:adjustRightInd w:val="0"/>
              <w:snapToGrid w:val="0"/>
              <w:spacing w:before="0" w:line="360" w:lineRule="atLeast"/>
              <w:ind w:firstLine="220" w:firstLineChars="100"/>
              <w:jc w:val="both"/>
              <w:rPr>
                <w:rFonts w:ascii="宋体" w:hAnsi="宋体"/>
                <w:szCs w:val="21"/>
              </w:rPr>
            </w:pPr>
            <w:r>
              <w:rPr>
                <w:rFonts w:hint="eastAsia" w:ascii="宋体" w:hAnsi="宋体"/>
                <w:szCs w:val="21"/>
                <w:lang w:bidi="en-US"/>
              </w:rPr>
              <w:t>评标价：</w:t>
            </w:r>
            <w:r>
              <w:rPr>
                <w:rFonts w:ascii="宋体" w:hAnsi="宋体"/>
                <w:szCs w:val="21"/>
                <w:lang w:bidi="en-US"/>
              </w:rPr>
              <w:tab/>
            </w:r>
            <w:r>
              <w:rPr>
                <w:rFonts w:hint="eastAsia" w:ascii="宋体" w:hAnsi="宋体"/>
                <w:szCs w:val="21"/>
                <w:lang w:bidi="en-US"/>
              </w:rPr>
              <w:t>10 分</w:t>
            </w:r>
          </w:p>
        </w:tc>
      </w:tr>
      <w:tr w14:paraId="07F8F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80" w:type="pct"/>
            <w:vAlign w:val="center"/>
          </w:tcPr>
          <w:p w14:paraId="355A1583">
            <w:pPr>
              <w:jc w:val="center"/>
              <w:rPr>
                <w:rFonts w:ascii="宋体" w:hAnsi="宋体"/>
                <w:szCs w:val="21"/>
              </w:rPr>
            </w:pPr>
            <w:r>
              <w:rPr>
                <w:rFonts w:hint="eastAsia" w:ascii="宋体" w:hAnsi="宋体"/>
                <w:szCs w:val="21"/>
              </w:rPr>
              <w:t>2.2.2</w:t>
            </w:r>
          </w:p>
        </w:tc>
        <w:tc>
          <w:tcPr>
            <w:tcW w:w="842" w:type="pct"/>
            <w:vAlign w:val="center"/>
          </w:tcPr>
          <w:p w14:paraId="05D3B516">
            <w:pPr>
              <w:jc w:val="center"/>
              <w:rPr>
                <w:rFonts w:ascii="宋体" w:hAnsi="宋体"/>
                <w:szCs w:val="21"/>
              </w:rPr>
            </w:pPr>
            <w:r>
              <w:rPr>
                <w:rFonts w:hint="eastAsia" w:ascii="宋体" w:hAnsi="宋体"/>
                <w:szCs w:val="21"/>
              </w:rPr>
              <w:t>评标基准价</w:t>
            </w:r>
          </w:p>
          <w:p w14:paraId="102B0D9A">
            <w:pPr>
              <w:jc w:val="center"/>
              <w:rPr>
                <w:rFonts w:ascii="宋体" w:hAnsi="宋体"/>
                <w:szCs w:val="21"/>
              </w:rPr>
            </w:pPr>
            <w:r>
              <w:rPr>
                <w:rFonts w:hint="eastAsia" w:ascii="宋体" w:hAnsi="宋体"/>
                <w:szCs w:val="21"/>
              </w:rPr>
              <w:t>计算方法</w:t>
            </w:r>
          </w:p>
        </w:tc>
        <w:tc>
          <w:tcPr>
            <w:tcW w:w="3679" w:type="pct"/>
            <w:vAlign w:val="center"/>
          </w:tcPr>
          <w:p w14:paraId="712F8AEC">
            <w:pPr>
              <w:snapToGrid w:val="0"/>
              <w:spacing w:line="360" w:lineRule="atLeast"/>
              <w:ind w:right="113"/>
              <w:rPr>
                <w:rFonts w:ascii="黑体" w:hAnsi="黑体" w:eastAsia="黑体"/>
                <w:b/>
                <w:szCs w:val="21"/>
              </w:rPr>
            </w:pPr>
            <w:r>
              <w:rPr>
                <w:rFonts w:hint="eastAsia" w:ascii="黑体" w:hAnsi="黑体" w:eastAsia="黑体"/>
                <w:b/>
                <w:szCs w:val="21"/>
              </w:rPr>
              <w:t>评标基准价的计算：</w:t>
            </w:r>
          </w:p>
          <w:p w14:paraId="5C06C3BA">
            <w:pPr>
              <w:pStyle w:val="11"/>
              <w:keepLines/>
              <w:shd w:val="clear" w:color="auto" w:fill="auto"/>
              <w:tabs>
                <w:tab w:val="left" w:pos="914"/>
              </w:tabs>
              <w:snapToGrid w:val="0"/>
              <w:spacing w:before="0" w:line="360" w:lineRule="atLeast"/>
              <w:ind w:firstLine="210" w:firstLineChars="100"/>
              <w:jc w:val="both"/>
              <w:rPr>
                <w:rFonts w:ascii="宋体" w:hAnsi="宋体"/>
                <w:kern w:val="2"/>
                <w:sz w:val="21"/>
                <w:szCs w:val="21"/>
              </w:rPr>
            </w:pPr>
            <w:r>
              <w:rPr>
                <w:rFonts w:hint="eastAsia" w:ascii="宋体" w:hAnsi="宋体"/>
                <w:kern w:val="2"/>
                <w:sz w:val="21"/>
                <w:szCs w:val="21"/>
              </w:rPr>
              <w:t>在开标现场，招标人将当场计算并宣布评标基准价。</w:t>
            </w:r>
          </w:p>
          <w:p w14:paraId="777885AD">
            <w:pPr>
              <w:pStyle w:val="11"/>
              <w:keepLines/>
              <w:shd w:val="clear" w:color="auto" w:fill="auto"/>
              <w:tabs>
                <w:tab w:val="left" w:pos="914"/>
              </w:tabs>
              <w:snapToGrid w:val="0"/>
              <w:spacing w:before="0" w:line="360" w:lineRule="atLeast"/>
              <w:ind w:firstLine="210" w:firstLineChars="100"/>
              <w:jc w:val="both"/>
              <w:rPr>
                <w:rFonts w:ascii="宋体" w:hAnsi="宋体"/>
                <w:kern w:val="2"/>
                <w:sz w:val="21"/>
                <w:szCs w:val="21"/>
              </w:rPr>
            </w:pPr>
            <w:r>
              <w:rPr>
                <w:rFonts w:hint="eastAsia" w:ascii="宋体" w:hAnsi="宋体"/>
                <w:kern w:val="2"/>
                <w:sz w:val="21"/>
                <w:szCs w:val="21"/>
              </w:rPr>
              <w:t>（1）评标价的确定：评标价＝投标函文字报价</w:t>
            </w:r>
          </w:p>
          <w:p w14:paraId="160A3060">
            <w:pPr>
              <w:pStyle w:val="11"/>
              <w:keepLines/>
              <w:shd w:val="clear" w:color="auto" w:fill="auto"/>
              <w:tabs>
                <w:tab w:val="left" w:pos="914"/>
              </w:tabs>
              <w:snapToGrid w:val="0"/>
              <w:spacing w:before="0" w:line="360" w:lineRule="atLeast"/>
              <w:ind w:firstLine="210" w:firstLineChars="100"/>
              <w:jc w:val="both"/>
              <w:rPr>
                <w:rFonts w:ascii="宋体" w:hAnsi="宋体"/>
                <w:kern w:val="2"/>
                <w:sz w:val="21"/>
                <w:szCs w:val="21"/>
              </w:rPr>
            </w:pPr>
            <w:r>
              <w:rPr>
                <w:rFonts w:hint="eastAsia" w:ascii="宋体" w:hAnsi="宋体"/>
                <w:kern w:val="2"/>
                <w:sz w:val="21"/>
                <w:szCs w:val="21"/>
              </w:rPr>
              <w:t>（2）评标价平均值的计算：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4A0A74D7">
            <w:pPr>
              <w:pStyle w:val="11"/>
              <w:keepLines/>
              <w:shd w:val="clear" w:color="auto" w:fill="auto"/>
              <w:tabs>
                <w:tab w:val="left" w:pos="914"/>
              </w:tabs>
              <w:snapToGrid w:val="0"/>
              <w:spacing w:before="0" w:line="360" w:lineRule="atLeast"/>
              <w:ind w:firstLine="210" w:firstLineChars="100"/>
              <w:jc w:val="both"/>
              <w:rPr>
                <w:rFonts w:ascii="宋体" w:hAnsi="宋体"/>
                <w:kern w:val="2"/>
                <w:sz w:val="21"/>
                <w:szCs w:val="21"/>
              </w:rPr>
            </w:pPr>
            <w:r>
              <w:rPr>
                <w:rFonts w:hint="eastAsia" w:ascii="宋体" w:hAnsi="宋体"/>
                <w:kern w:val="2"/>
                <w:sz w:val="21"/>
                <w:szCs w:val="21"/>
              </w:rPr>
              <w:t>（3）评标基准价的确定：将评标价平均值直接作为评标基准价。</w:t>
            </w:r>
          </w:p>
          <w:p w14:paraId="1CE7A1B7">
            <w:pPr>
              <w:pStyle w:val="11"/>
              <w:keepLines/>
              <w:shd w:val="clear" w:color="auto" w:fill="auto"/>
              <w:tabs>
                <w:tab w:val="left" w:pos="914"/>
              </w:tabs>
              <w:snapToGrid w:val="0"/>
              <w:spacing w:before="0" w:line="360" w:lineRule="atLeast"/>
              <w:ind w:firstLine="210" w:firstLineChars="100"/>
              <w:jc w:val="both"/>
              <w:rPr>
                <w:rFonts w:ascii="宋体" w:hAnsi="宋体"/>
                <w:szCs w:val="21"/>
              </w:rPr>
            </w:pPr>
            <w:r>
              <w:rPr>
                <w:rFonts w:hint="eastAsia" w:ascii="宋体" w:hAnsi="宋体"/>
                <w:kern w:val="2"/>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201BA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80" w:type="pct"/>
            <w:vAlign w:val="center"/>
          </w:tcPr>
          <w:p w14:paraId="7249C6C1">
            <w:pPr>
              <w:jc w:val="center"/>
              <w:rPr>
                <w:rFonts w:ascii="宋体" w:hAnsi="宋体"/>
                <w:szCs w:val="21"/>
              </w:rPr>
            </w:pPr>
            <w:r>
              <w:rPr>
                <w:rFonts w:hint="eastAsia" w:ascii="宋体" w:hAnsi="宋体"/>
                <w:szCs w:val="21"/>
              </w:rPr>
              <w:t>2.2.3</w:t>
            </w:r>
          </w:p>
        </w:tc>
        <w:tc>
          <w:tcPr>
            <w:tcW w:w="842" w:type="pct"/>
            <w:vAlign w:val="center"/>
          </w:tcPr>
          <w:p w14:paraId="65B453E2">
            <w:pPr>
              <w:jc w:val="center"/>
              <w:rPr>
                <w:rFonts w:ascii="宋体" w:hAnsi="宋体"/>
                <w:szCs w:val="21"/>
              </w:rPr>
            </w:pPr>
            <w:r>
              <w:rPr>
                <w:rFonts w:hint="eastAsia" w:ascii="宋体" w:hAnsi="宋体"/>
                <w:szCs w:val="21"/>
              </w:rPr>
              <w:t>评标价的偏差率</w:t>
            </w:r>
          </w:p>
          <w:p w14:paraId="74D65D33">
            <w:pPr>
              <w:jc w:val="center"/>
              <w:rPr>
                <w:rFonts w:ascii="宋体" w:hAnsi="宋体"/>
                <w:szCs w:val="21"/>
              </w:rPr>
            </w:pPr>
            <w:r>
              <w:rPr>
                <w:rFonts w:hint="eastAsia" w:ascii="宋体" w:hAnsi="宋体"/>
                <w:szCs w:val="21"/>
              </w:rPr>
              <w:t>计算公式</w:t>
            </w:r>
          </w:p>
        </w:tc>
        <w:tc>
          <w:tcPr>
            <w:tcW w:w="3679" w:type="pct"/>
            <w:vAlign w:val="center"/>
          </w:tcPr>
          <w:p w14:paraId="5DF0D1F5">
            <w:pPr>
              <w:pStyle w:val="11"/>
              <w:keepLines/>
              <w:shd w:val="clear" w:color="auto" w:fill="auto"/>
              <w:tabs>
                <w:tab w:val="left" w:pos="914"/>
              </w:tabs>
              <w:snapToGrid w:val="0"/>
              <w:spacing w:before="0" w:line="360" w:lineRule="atLeast"/>
              <w:ind w:firstLine="210" w:firstLineChars="100"/>
              <w:jc w:val="both"/>
              <w:rPr>
                <w:rFonts w:ascii="宋体" w:hAnsi="宋体"/>
                <w:kern w:val="2"/>
                <w:sz w:val="21"/>
                <w:szCs w:val="21"/>
              </w:rPr>
            </w:pPr>
            <w:r>
              <w:rPr>
                <w:rFonts w:hint="eastAsia" w:ascii="宋体" w:hAnsi="宋体"/>
                <w:kern w:val="2"/>
                <w:sz w:val="21"/>
                <w:szCs w:val="21"/>
              </w:rPr>
              <w:t>偏差率＝100%×（投标人评标价－评标基准价）/评标基准价</w:t>
            </w:r>
          </w:p>
        </w:tc>
      </w:tr>
    </w:tbl>
    <w:p w14:paraId="3C5FAA7C">
      <w:pPr>
        <w:jc w:val="right"/>
        <w:rPr>
          <w:rFonts w:ascii="宋体" w:hAnsi="宋体"/>
          <w:szCs w:val="21"/>
        </w:rPr>
      </w:pPr>
      <w:r>
        <w:rPr>
          <w:rFonts w:ascii="宋体" w:hAnsi="宋体"/>
          <w:szCs w:val="21"/>
        </w:rPr>
        <w:br w:type="page"/>
      </w:r>
      <w:r>
        <w:rPr>
          <w:rFonts w:hint="eastAsia" w:ascii="宋体" w:hAnsi="宋体"/>
          <w:szCs w:val="21"/>
        </w:rPr>
        <w:t>续上表</w:t>
      </w:r>
    </w:p>
    <w:tbl>
      <w:tblPr>
        <w:tblStyle w:val="5"/>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47"/>
        <w:gridCol w:w="1006"/>
        <w:gridCol w:w="1004"/>
        <w:gridCol w:w="1381"/>
        <w:gridCol w:w="653"/>
        <w:gridCol w:w="3631"/>
      </w:tblGrid>
      <w:tr w14:paraId="588D03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2869" w:type="pct"/>
            <w:gridSpan w:val="5"/>
            <w:vAlign w:val="center"/>
          </w:tcPr>
          <w:p w14:paraId="5A7F139C">
            <w:pPr>
              <w:jc w:val="center"/>
              <w:rPr>
                <w:rFonts w:ascii="宋体" w:hAnsi="宋体"/>
                <w:b/>
                <w:szCs w:val="21"/>
              </w:rPr>
            </w:pPr>
            <w:r>
              <w:rPr>
                <w:rFonts w:hint="eastAsia" w:ascii="宋体" w:hAnsi="宋体"/>
                <w:b/>
                <w:szCs w:val="21"/>
              </w:rPr>
              <w:t>评分因素与权重分值</w:t>
            </w:r>
          </w:p>
        </w:tc>
        <w:tc>
          <w:tcPr>
            <w:tcW w:w="2130" w:type="pct"/>
            <w:vMerge w:val="restart"/>
            <w:vAlign w:val="center"/>
          </w:tcPr>
          <w:p w14:paraId="64D24D95">
            <w:pPr>
              <w:jc w:val="center"/>
              <w:rPr>
                <w:rFonts w:ascii="宋体" w:hAnsi="宋体"/>
                <w:b/>
                <w:szCs w:val="21"/>
              </w:rPr>
            </w:pPr>
            <w:r>
              <w:rPr>
                <w:rFonts w:hint="eastAsia" w:ascii="宋体" w:hAnsi="宋体"/>
                <w:b/>
                <w:szCs w:val="21"/>
              </w:rPr>
              <w:t>评分标准</w:t>
            </w:r>
          </w:p>
        </w:tc>
      </w:tr>
      <w:tr w14:paraId="1869C1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497" w:type="pct"/>
            <w:vAlign w:val="center"/>
          </w:tcPr>
          <w:p w14:paraId="42B2988F">
            <w:pPr>
              <w:jc w:val="center"/>
              <w:rPr>
                <w:rFonts w:ascii="宋体" w:hAnsi="宋体"/>
                <w:b/>
                <w:szCs w:val="21"/>
              </w:rPr>
            </w:pPr>
            <w:r>
              <w:rPr>
                <w:rFonts w:hint="eastAsia" w:ascii="宋体" w:hAnsi="宋体"/>
                <w:b/>
                <w:szCs w:val="21"/>
              </w:rPr>
              <w:t>条款号</w:t>
            </w:r>
          </w:p>
        </w:tc>
        <w:tc>
          <w:tcPr>
            <w:tcW w:w="590" w:type="pct"/>
            <w:vAlign w:val="center"/>
          </w:tcPr>
          <w:p w14:paraId="1E8914D3">
            <w:pPr>
              <w:jc w:val="center"/>
              <w:rPr>
                <w:rFonts w:ascii="宋体" w:hAnsi="宋体"/>
                <w:b/>
                <w:szCs w:val="21"/>
              </w:rPr>
            </w:pPr>
            <w:r>
              <w:rPr>
                <w:rFonts w:hint="eastAsia" w:ascii="宋体" w:hAnsi="宋体"/>
                <w:b/>
                <w:szCs w:val="21"/>
              </w:rPr>
              <w:t>评分因素</w:t>
            </w:r>
          </w:p>
        </w:tc>
        <w:tc>
          <w:tcPr>
            <w:tcW w:w="589" w:type="pct"/>
            <w:vAlign w:val="center"/>
          </w:tcPr>
          <w:p w14:paraId="01FF68CB">
            <w:pPr>
              <w:jc w:val="center"/>
              <w:rPr>
                <w:rFonts w:ascii="宋体" w:hAnsi="宋体"/>
                <w:b/>
                <w:szCs w:val="21"/>
              </w:rPr>
            </w:pPr>
            <w:r>
              <w:rPr>
                <w:rFonts w:hint="eastAsia" w:ascii="宋体" w:hAnsi="宋体"/>
                <w:b/>
                <w:szCs w:val="21"/>
              </w:rPr>
              <w:t>评分因素</w:t>
            </w:r>
          </w:p>
          <w:p w14:paraId="177C54A2">
            <w:pPr>
              <w:jc w:val="center"/>
              <w:rPr>
                <w:rFonts w:ascii="宋体" w:hAnsi="宋体"/>
                <w:b/>
                <w:szCs w:val="21"/>
              </w:rPr>
            </w:pPr>
            <w:r>
              <w:rPr>
                <w:rFonts w:hint="eastAsia" w:ascii="宋体" w:hAnsi="宋体"/>
                <w:b/>
                <w:szCs w:val="21"/>
              </w:rPr>
              <w:t>权重分值</w:t>
            </w:r>
          </w:p>
        </w:tc>
        <w:tc>
          <w:tcPr>
            <w:tcW w:w="810" w:type="pct"/>
            <w:vAlign w:val="center"/>
          </w:tcPr>
          <w:p w14:paraId="5F302E6B">
            <w:pPr>
              <w:jc w:val="center"/>
              <w:rPr>
                <w:rFonts w:ascii="宋体" w:hAnsi="宋体"/>
                <w:b/>
                <w:szCs w:val="21"/>
              </w:rPr>
            </w:pPr>
            <w:r>
              <w:rPr>
                <w:rFonts w:hint="eastAsia" w:ascii="宋体" w:hAnsi="宋体"/>
                <w:b/>
                <w:szCs w:val="21"/>
              </w:rPr>
              <w:t>各评分因素</w:t>
            </w:r>
          </w:p>
          <w:p w14:paraId="042C881E">
            <w:pPr>
              <w:jc w:val="center"/>
              <w:rPr>
                <w:rFonts w:ascii="宋体" w:hAnsi="宋体"/>
                <w:b/>
                <w:szCs w:val="21"/>
              </w:rPr>
            </w:pPr>
            <w:r>
              <w:rPr>
                <w:rFonts w:hint="eastAsia" w:ascii="宋体" w:hAnsi="宋体"/>
                <w:b/>
                <w:szCs w:val="21"/>
              </w:rPr>
              <w:t>细分项</w:t>
            </w:r>
          </w:p>
        </w:tc>
        <w:tc>
          <w:tcPr>
            <w:tcW w:w="382" w:type="pct"/>
            <w:vAlign w:val="center"/>
          </w:tcPr>
          <w:p w14:paraId="35D1EAA0">
            <w:pPr>
              <w:jc w:val="center"/>
              <w:rPr>
                <w:rFonts w:ascii="宋体" w:hAnsi="宋体"/>
                <w:b/>
                <w:szCs w:val="21"/>
              </w:rPr>
            </w:pPr>
            <w:r>
              <w:rPr>
                <w:rFonts w:hint="eastAsia" w:ascii="宋体" w:hAnsi="宋体"/>
                <w:b/>
                <w:szCs w:val="21"/>
              </w:rPr>
              <w:t>分值</w:t>
            </w:r>
          </w:p>
        </w:tc>
        <w:tc>
          <w:tcPr>
            <w:tcW w:w="2130" w:type="pct"/>
            <w:vMerge w:val="continue"/>
            <w:vAlign w:val="center"/>
          </w:tcPr>
          <w:p w14:paraId="04986A57">
            <w:pPr>
              <w:jc w:val="center"/>
              <w:rPr>
                <w:rFonts w:ascii="宋体" w:hAnsi="宋体"/>
                <w:szCs w:val="21"/>
              </w:rPr>
            </w:pPr>
          </w:p>
        </w:tc>
      </w:tr>
      <w:tr w14:paraId="2BFD2A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7" w:type="pct"/>
            <w:vMerge w:val="restart"/>
            <w:vAlign w:val="center"/>
          </w:tcPr>
          <w:p w14:paraId="00FB9139">
            <w:pPr>
              <w:jc w:val="center"/>
              <w:rPr>
                <w:rFonts w:ascii="宋体" w:hAnsi="宋体"/>
                <w:szCs w:val="21"/>
              </w:rPr>
            </w:pPr>
            <w:r>
              <w:rPr>
                <w:rFonts w:hint="eastAsia" w:ascii="宋体" w:hAnsi="宋体"/>
                <w:szCs w:val="21"/>
              </w:rPr>
              <w:t>2.2.4（1）</w:t>
            </w:r>
          </w:p>
        </w:tc>
        <w:tc>
          <w:tcPr>
            <w:tcW w:w="590" w:type="pct"/>
            <w:vMerge w:val="restart"/>
            <w:vAlign w:val="center"/>
          </w:tcPr>
          <w:p w14:paraId="333CB063">
            <w:pPr>
              <w:jc w:val="center"/>
              <w:rPr>
                <w:rFonts w:ascii="宋体" w:hAnsi="宋体"/>
                <w:szCs w:val="21"/>
              </w:rPr>
            </w:pPr>
            <w:r>
              <w:rPr>
                <w:rFonts w:hint="eastAsia" w:ascii="宋体" w:hAnsi="宋体"/>
                <w:szCs w:val="21"/>
              </w:rPr>
              <w:t>技术</w:t>
            </w:r>
            <w:r>
              <w:rPr>
                <w:rFonts w:ascii="宋体" w:hAnsi="宋体"/>
                <w:szCs w:val="21"/>
              </w:rPr>
              <w:br w:type="textWrapping"/>
            </w:r>
            <w:r>
              <w:rPr>
                <w:rFonts w:hint="eastAsia" w:ascii="宋体" w:hAnsi="宋体"/>
                <w:szCs w:val="21"/>
              </w:rPr>
              <w:t>建议书</w:t>
            </w:r>
          </w:p>
        </w:tc>
        <w:tc>
          <w:tcPr>
            <w:tcW w:w="589" w:type="pct"/>
            <w:vMerge w:val="restart"/>
            <w:vAlign w:val="center"/>
          </w:tcPr>
          <w:p w14:paraId="6D0DAFCC">
            <w:pPr>
              <w:jc w:val="center"/>
              <w:rPr>
                <w:rFonts w:ascii="宋体" w:hAnsi="宋体"/>
                <w:szCs w:val="21"/>
              </w:rPr>
            </w:pPr>
            <w:r>
              <w:rPr>
                <w:rFonts w:hint="eastAsia" w:ascii="宋体" w:hAnsi="宋体"/>
                <w:szCs w:val="21"/>
              </w:rPr>
              <w:t>35分</w:t>
            </w:r>
          </w:p>
        </w:tc>
        <w:tc>
          <w:tcPr>
            <w:tcW w:w="810" w:type="pct"/>
            <w:vAlign w:val="center"/>
          </w:tcPr>
          <w:p w14:paraId="44CFAF1B">
            <w:pPr>
              <w:rPr>
                <w:rFonts w:hint="eastAsia" w:ascii="宋体" w:hAnsi="宋体" w:eastAsia="宋体"/>
                <w:szCs w:val="21"/>
                <w:lang w:eastAsia="zh-CN"/>
              </w:rPr>
            </w:pPr>
            <w:r>
              <w:rPr>
                <w:rFonts w:hint="eastAsia" w:ascii="宋体" w:hAnsi="宋体"/>
                <w:szCs w:val="21"/>
              </w:rPr>
              <w:t>监理</w:t>
            </w:r>
            <w:r>
              <w:rPr>
                <w:rFonts w:hint="eastAsia" w:ascii="宋体" w:hAnsi="宋体"/>
                <w:szCs w:val="21"/>
                <w:lang w:val="en-US" w:eastAsia="zh-CN"/>
              </w:rPr>
              <w:t>方案</w:t>
            </w:r>
            <w:r>
              <w:rPr>
                <w:rFonts w:hint="eastAsia" w:ascii="宋体" w:hAnsi="宋体"/>
                <w:szCs w:val="21"/>
              </w:rPr>
              <w:t>（监理计划、监理方法和技术要求等</w:t>
            </w:r>
            <w:r>
              <w:rPr>
                <w:rFonts w:hint="eastAsia" w:ascii="宋体" w:hAnsi="宋体"/>
                <w:szCs w:val="21"/>
                <w:lang w:eastAsia="zh-CN"/>
              </w:rPr>
              <w:t>）</w:t>
            </w:r>
          </w:p>
        </w:tc>
        <w:tc>
          <w:tcPr>
            <w:tcW w:w="382" w:type="pct"/>
            <w:vAlign w:val="center"/>
          </w:tcPr>
          <w:p w14:paraId="3C872DD8">
            <w:pPr>
              <w:jc w:val="center"/>
              <w:rPr>
                <w:rFonts w:ascii="宋体" w:hAnsi="宋体"/>
                <w:szCs w:val="21"/>
              </w:rPr>
            </w:pPr>
            <w:r>
              <w:rPr>
                <w:rFonts w:hint="eastAsia" w:ascii="宋体" w:hAnsi="宋体"/>
                <w:szCs w:val="21"/>
              </w:rPr>
              <w:t>20分</w:t>
            </w:r>
          </w:p>
        </w:tc>
        <w:tc>
          <w:tcPr>
            <w:tcW w:w="2130" w:type="pct"/>
            <w:vAlign w:val="center"/>
          </w:tcPr>
          <w:p w14:paraId="7668A62C">
            <w:pPr>
              <w:pStyle w:val="11"/>
              <w:keepLines/>
              <w:shd w:val="clear" w:color="auto" w:fill="auto"/>
              <w:tabs>
                <w:tab w:val="left" w:pos="914"/>
              </w:tabs>
              <w:snapToGrid w:val="0"/>
              <w:spacing w:before="0" w:line="360" w:lineRule="atLeast"/>
              <w:ind w:firstLine="210" w:firstLineChars="100"/>
              <w:jc w:val="both"/>
              <w:rPr>
                <w:rFonts w:ascii="宋体" w:hAnsi="宋体"/>
                <w:kern w:val="2"/>
                <w:sz w:val="21"/>
                <w:szCs w:val="21"/>
              </w:rPr>
            </w:pPr>
            <w:r>
              <w:rPr>
                <w:rFonts w:ascii="宋体" w:hAnsi="宋体"/>
                <w:kern w:val="2"/>
                <w:sz w:val="21"/>
                <w:szCs w:val="21"/>
              </w:rPr>
              <w:t>满意</w:t>
            </w:r>
            <w:r>
              <w:rPr>
                <w:rFonts w:hint="eastAsia" w:ascii="宋体" w:hAnsi="宋体"/>
                <w:kern w:val="2"/>
                <w:sz w:val="21"/>
                <w:szCs w:val="21"/>
              </w:rPr>
              <w:t xml:space="preserve">   16</w:t>
            </w:r>
            <w:r>
              <w:rPr>
                <w:rFonts w:ascii="宋体" w:hAnsi="宋体"/>
                <w:kern w:val="2"/>
                <w:sz w:val="21"/>
                <w:szCs w:val="21"/>
              </w:rPr>
              <w:t>～2</w:t>
            </w:r>
            <w:r>
              <w:rPr>
                <w:rFonts w:hint="eastAsia" w:ascii="宋体" w:hAnsi="宋体"/>
                <w:kern w:val="2"/>
                <w:sz w:val="21"/>
                <w:szCs w:val="21"/>
              </w:rPr>
              <w:t>0</w:t>
            </w:r>
            <w:r>
              <w:rPr>
                <w:rFonts w:ascii="宋体" w:hAnsi="宋体"/>
                <w:kern w:val="2"/>
                <w:sz w:val="21"/>
                <w:szCs w:val="21"/>
              </w:rPr>
              <w:t>分</w:t>
            </w:r>
          </w:p>
          <w:p w14:paraId="57856026">
            <w:pPr>
              <w:pStyle w:val="11"/>
              <w:keepLines/>
              <w:shd w:val="clear" w:color="auto" w:fill="auto"/>
              <w:tabs>
                <w:tab w:val="left" w:pos="914"/>
              </w:tabs>
              <w:snapToGrid w:val="0"/>
              <w:spacing w:before="0" w:line="360" w:lineRule="atLeast"/>
              <w:ind w:firstLine="210" w:firstLineChars="100"/>
              <w:jc w:val="both"/>
              <w:rPr>
                <w:rFonts w:ascii="宋体" w:hAnsi="宋体"/>
                <w:kern w:val="2"/>
                <w:sz w:val="21"/>
                <w:szCs w:val="21"/>
              </w:rPr>
            </w:pPr>
            <w:r>
              <w:rPr>
                <w:rFonts w:hint="eastAsia" w:ascii="宋体" w:hAnsi="宋体"/>
                <w:kern w:val="2"/>
                <w:sz w:val="21"/>
                <w:szCs w:val="21"/>
                <w:lang w:eastAsia="zh-CN"/>
              </w:rPr>
              <w:t>基本合理、可行</w:t>
            </w:r>
            <w:r>
              <w:rPr>
                <w:rFonts w:hint="eastAsia" w:ascii="宋体" w:hAnsi="宋体"/>
                <w:kern w:val="2"/>
                <w:sz w:val="21"/>
                <w:szCs w:val="21"/>
              </w:rPr>
              <w:t xml:space="preserve">   </w:t>
            </w:r>
            <w:r>
              <w:rPr>
                <w:rFonts w:ascii="宋体" w:hAnsi="宋体"/>
                <w:kern w:val="2"/>
                <w:sz w:val="21"/>
                <w:szCs w:val="21"/>
              </w:rPr>
              <w:t>1</w:t>
            </w:r>
            <w:r>
              <w:rPr>
                <w:rFonts w:hint="eastAsia" w:ascii="宋体" w:hAnsi="宋体"/>
                <w:kern w:val="2"/>
                <w:sz w:val="21"/>
                <w:szCs w:val="21"/>
              </w:rPr>
              <w:t>2</w:t>
            </w:r>
            <w:r>
              <w:rPr>
                <w:rFonts w:ascii="宋体" w:hAnsi="宋体"/>
                <w:kern w:val="2"/>
                <w:sz w:val="21"/>
                <w:szCs w:val="21"/>
              </w:rPr>
              <w:t>～</w:t>
            </w:r>
            <w:r>
              <w:rPr>
                <w:rFonts w:hint="eastAsia" w:ascii="宋体" w:hAnsi="宋体"/>
                <w:kern w:val="2"/>
                <w:sz w:val="21"/>
                <w:szCs w:val="21"/>
              </w:rPr>
              <w:t>16</w:t>
            </w:r>
            <w:r>
              <w:rPr>
                <w:rFonts w:ascii="宋体" w:hAnsi="宋体"/>
                <w:kern w:val="2"/>
                <w:sz w:val="21"/>
                <w:szCs w:val="21"/>
              </w:rPr>
              <w:t>分</w:t>
            </w:r>
          </w:p>
        </w:tc>
      </w:tr>
      <w:tr w14:paraId="57B7F1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7" w:type="pct"/>
            <w:vMerge w:val="continue"/>
            <w:vAlign w:val="center"/>
          </w:tcPr>
          <w:p w14:paraId="6CA171BA">
            <w:pPr>
              <w:jc w:val="center"/>
              <w:rPr>
                <w:rFonts w:ascii="宋体" w:hAnsi="宋体"/>
                <w:szCs w:val="21"/>
              </w:rPr>
            </w:pPr>
          </w:p>
        </w:tc>
        <w:tc>
          <w:tcPr>
            <w:tcW w:w="590" w:type="pct"/>
            <w:vMerge w:val="continue"/>
            <w:vAlign w:val="center"/>
          </w:tcPr>
          <w:p w14:paraId="30B5F3B5">
            <w:pPr>
              <w:jc w:val="center"/>
              <w:rPr>
                <w:rFonts w:ascii="宋体" w:hAnsi="宋体"/>
                <w:szCs w:val="21"/>
              </w:rPr>
            </w:pPr>
          </w:p>
        </w:tc>
        <w:tc>
          <w:tcPr>
            <w:tcW w:w="589" w:type="pct"/>
            <w:vMerge w:val="continue"/>
            <w:vAlign w:val="center"/>
          </w:tcPr>
          <w:p w14:paraId="7FCB6952">
            <w:pPr>
              <w:jc w:val="center"/>
              <w:rPr>
                <w:rFonts w:ascii="宋体" w:hAnsi="宋体"/>
                <w:szCs w:val="21"/>
              </w:rPr>
            </w:pPr>
          </w:p>
        </w:tc>
        <w:tc>
          <w:tcPr>
            <w:tcW w:w="810" w:type="pct"/>
            <w:vAlign w:val="center"/>
          </w:tcPr>
          <w:p w14:paraId="450E1F0C">
            <w:pPr>
              <w:rPr>
                <w:rFonts w:ascii="宋体" w:hAnsi="宋体"/>
                <w:szCs w:val="21"/>
              </w:rPr>
            </w:pPr>
            <w:r>
              <w:rPr>
                <w:rFonts w:hint="eastAsia" w:ascii="宋体" w:hAnsi="宋体"/>
                <w:szCs w:val="21"/>
              </w:rPr>
              <w:t>对本工程</w:t>
            </w:r>
            <w:r>
              <w:rPr>
                <w:rFonts w:hint="eastAsia" w:ascii="宋体" w:hAnsi="宋体"/>
                <w:szCs w:val="21"/>
                <w:lang w:val="en-US" w:eastAsia="zh-CN"/>
              </w:rPr>
              <w:t>监理工程的</w:t>
            </w:r>
            <w:r>
              <w:rPr>
                <w:rFonts w:hint="eastAsia" w:ascii="宋体" w:hAnsi="宋体"/>
                <w:szCs w:val="21"/>
              </w:rPr>
              <w:t>重点难点分析</w:t>
            </w:r>
          </w:p>
        </w:tc>
        <w:tc>
          <w:tcPr>
            <w:tcW w:w="382" w:type="pct"/>
            <w:vAlign w:val="center"/>
          </w:tcPr>
          <w:p w14:paraId="539FC5EC">
            <w:pPr>
              <w:jc w:val="center"/>
              <w:rPr>
                <w:rFonts w:ascii="宋体" w:hAnsi="宋体"/>
                <w:szCs w:val="21"/>
              </w:rPr>
            </w:pPr>
            <w:r>
              <w:rPr>
                <w:rFonts w:hint="eastAsia" w:ascii="宋体" w:hAnsi="宋体"/>
                <w:szCs w:val="21"/>
              </w:rPr>
              <w:t>10分</w:t>
            </w:r>
          </w:p>
        </w:tc>
        <w:tc>
          <w:tcPr>
            <w:tcW w:w="2130" w:type="pct"/>
            <w:vAlign w:val="center"/>
          </w:tcPr>
          <w:p w14:paraId="6B2E36D5">
            <w:pPr>
              <w:pStyle w:val="11"/>
              <w:keepLines/>
              <w:shd w:val="clear" w:color="auto" w:fill="auto"/>
              <w:tabs>
                <w:tab w:val="left" w:pos="914"/>
              </w:tabs>
              <w:snapToGrid w:val="0"/>
              <w:spacing w:before="0" w:line="360" w:lineRule="atLeast"/>
              <w:ind w:firstLine="210" w:firstLineChars="100"/>
              <w:jc w:val="both"/>
              <w:rPr>
                <w:rFonts w:ascii="宋体" w:hAnsi="宋体"/>
                <w:kern w:val="2"/>
                <w:sz w:val="21"/>
                <w:szCs w:val="21"/>
              </w:rPr>
            </w:pPr>
            <w:r>
              <w:rPr>
                <w:rFonts w:ascii="宋体" w:hAnsi="宋体"/>
                <w:kern w:val="2"/>
                <w:sz w:val="21"/>
                <w:szCs w:val="21"/>
              </w:rPr>
              <w:t>满意</w:t>
            </w:r>
            <w:r>
              <w:rPr>
                <w:rFonts w:hint="eastAsia" w:ascii="宋体" w:hAnsi="宋体"/>
                <w:kern w:val="2"/>
                <w:sz w:val="21"/>
                <w:szCs w:val="21"/>
              </w:rPr>
              <w:t xml:space="preserve">   </w:t>
            </w:r>
            <w:r>
              <w:rPr>
                <w:rFonts w:ascii="宋体" w:hAnsi="宋体"/>
                <w:kern w:val="2"/>
                <w:sz w:val="21"/>
                <w:szCs w:val="21"/>
              </w:rPr>
              <w:t>8～10分</w:t>
            </w:r>
          </w:p>
          <w:p w14:paraId="72B61C14">
            <w:pPr>
              <w:pStyle w:val="11"/>
              <w:keepLines/>
              <w:shd w:val="clear" w:color="auto" w:fill="auto"/>
              <w:tabs>
                <w:tab w:val="left" w:pos="914"/>
              </w:tabs>
              <w:snapToGrid w:val="0"/>
              <w:spacing w:before="0" w:line="360" w:lineRule="atLeast"/>
              <w:ind w:firstLine="210" w:firstLineChars="100"/>
              <w:jc w:val="both"/>
              <w:rPr>
                <w:rFonts w:ascii="宋体" w:hAnsi="宋体"/>
                <w:kern w:val="2"/>
                <w:sz w:val="21"/>
                <w:szCs w:val="21"/>
              </w:rPr>
            </w:pPr>
            <w:r>
              <w:rPr>
                <w:rFonts w:hint="eastAsia" w:ascii="宋体" w:hAnsi="宋体"/>
                <w:kern w:val="2"/>
                <w:sz w:val="21"/>
                <w:szCs w:val="21"/>
              </w:rPr>
              <w:t xml:space="preserve">基本合理、可行   </w:t>
            </w:r>
            <w:r>
              <w:rPr>
                <w:rFonts w:ascii="宋体" w:hAnsi="宋体"/>
                <w:kern w:val="2"/>
                <w:sz w:val="21"/>
                <w:szCs w:val="21"/>
              </w:rPr>
              <w:t>6～8分</w:t>
            </w:r>
          </w:p>
        </w:tc>
      </w:tr>
      <w:tr w14:paraId="2C6E1C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7" w:type="pct"/>
            <w:vMerge w:val="continue"/>
            <w:vAlign w:val="center"/>
          </w:tcPr>
          <w:p w14:paraId="0D4E06C9">
            <w:pPr>
              <w:jc w:val="center"/>
              <w:rPr>
                <w:rFonts w:ascii="宋体" w:hAnsi="宋体"/>
                <w:szCs w:val="21"/>
              </w:rPr>
            </w:pPr>
          </w:p>
        </w:tc>
        <w:tc>
          <w:tcPr>
            <w:tcW w:w="590" w:type="pct"/>
            <w:vMerge w:val="continue"/>
            <w:vAlign w:val="center"/>
          </w:tcPr>
          <w:p w14:paraId="641B71AD">
            <w:pPr>
              <w:jc w:val="center"/>
              <w:rPr>
                <w:rFonts w:ascii="宋体" w:hAnsi="宋体"/>
                <w:szCs w:val="21"/>
              </w:rPr>
            </w:pPr>
          </w:p>
        </w:tc>
        <w:tc>
          <w:tcPr>
            <w:tcW w:w="589" w:type="pct"/>
            <w:vMerge w:val="continue"/>
            <w:vAlign w:val="center"/>
          </w:tcPr>
          <w:p w14:paraId="41585C6A">
            <w:pPr>
              <w:jc w:val="center"/>
              <w:rPr>
                <w:rFonts w:ascii="宋体" w:hAnsi="宋体"/>
                <w:szCs w:val="21"/>
              </w:rPr>
            </w:pPr>
          </w:p>
        </w:tc>
        <w:tc>
          <w:tcPr>
            <w:tcW w:w="810" w:type="pct"/>
            <w:vAlign w:val="center"/>
          </w:tcPr>
          <w:p w14:paraId="7EBC5B7B">
            <w:pPr>
              <w:rPr>
                <w:rFonts w:ascii="宋体" w:hAnsi="宋体"/>
                <w:szCs w:val="21"/>
              </w:rPr>
            </w:pPr>
            <w:r>
              <w:rPr>
                <w:rFonts w:hint="eastAsia" w:ascii="宋体" w:hAnsi="宋体"/>
                <w:szCs w:val="21"/>
              </w:rPr>
              <w:t>对本工程的建议</w:t>
            </w:r>
          </w:p>
        </w:tc>
        <w:tc>
          <w:tcPr>
            <w:tcW w:w="382" w:type="pct"/>
            <w:vAlign w:val="center"/>
          </w:tcPr>
          <w:p w14:paraId="291E5EFE">
            <w:pPr>
              <w:jc w:val="center"/>
              <w:rPr>
                <w:rFonts w:ascii="宋体" w:hAnsi="宋体"/>
                <w:szCs w:val="21"/>
              </w:rPr>
            </w:pPr>
            <w:r>
              <w:rPr>
                <w:rFonts w:hint="eastAsia" w:ascii="宋体" w:hAnsi="宋体"/>
                <w:szCs w:val="21"/>
              </w:rPr>
              <w:t>5分</w:t>
            </w:r>
          </w:p>
        </w:tc>
        <w:tc>
          <w:tcPr>
            <w:tcW w:w="2130" w:type="pct"/>
            <w:vAlign w:val="center"/>
          </w:tcPr>
          <w:p w14:paraId="2B26CB74">
            <w:pPr>
              <w:pStyle w:val="11"/>
              <w:keepLines/>
              <w:shd w:val="clear" w:color="auto" w:fill="auto"/>
              <w:tabs>
                <w:tab w:val="left" w:pos="914"/>
              </w:tabs>
              <w:snapToGrid w:val="0"/>
              <w:spacing w:before="0" w:line="360" w:lineRule="atLeast"/>
              <w:ind w:firstLine="210" w:firstLineChars="100"/>
              <w:jc w:val="both"/>
              <w:rPr>
                <w:rFonts w:ascii="宋体" w:hAnsi="宋体"/>
                <w:kern w:val="2"/>
                <w:sz w:val="21"/>
                <w:szCs w:val="21"/>
              </w:rPr>
            </w:pPr>
            <w:r>
              <w:rPr>
                <w:rFonts w:ascii="宋体" w:hAnsi="宋体"/>
                <w:kern w:val="2"/>
                <w:sz w:val="21"/>
                <w:szCs w:val="21"/>
              </w:rPr>
              <w:t>满意</w:t>
            </w:r>
            <w:r>
              <w:rPr>
                <w:rFonts w:hint="eastAsia" w:ascii="宋体" w:hAnsi="宋体"/>
                <w:kern w:val="2"/>
                <w:sz w:val="21"/>
                <w:szCs w:val="21"/>
              </w:rPr>
              <w:t xml:space="preserve">  </w:t>
            </w:r>
            <w:r>
              <w:rPr>
                <w:rFonts w:ascii="宋体" w:hAnsi="宋体"/>
                <w:kern w:val="2"/>
                <w:sz w:val="21"/>
                <w:szCs w:val="21"/>
              </w:rPr>
              <w:t xml:space="preserve"> 4～5分</w:t>
            </w:r>
          </w:p>
          <w:p w14:paraId="609A32DF">
            <w:pPr>
              <w:pStyle w:val="11"/>
              <w:keepLines/>
              <w:shd w:val="clear" w:color="auto" w:fill="auto"/>
              <w:tabs>
                <w:tab w:val="left" w:pos="914"/>
              </w:tabs>
              <w:snapToGrid w:val="0"/>
              <w:spacing w:before="0" w:line="360" w:lineRule="atLeast"/>
              <w:ind w:firstLine="210" w:firstLineChars="100"/>
              <w:jc w:val="both"/>
              <w:rPr>
                <w:rFonts w:ascii="宋体" w:hAnsi="宋体"/>
                <w:kern w:val="2"/>
                <w:sz w:val="21"/>
                <w:szCs w:val="21"/>
              </w:rPr>
            </w:pPr>
            <w:r>
              <w:rPr>
                <w:rFonts w:hint="eastAsia" w:ascii="宋体" w:hAnsi="宋体"/>
                <w:kern w:val="2"/>
                <w:sz w:val="21"/>
                <w:szCs w:val="21"/>
              </w:rPr>
              <w:t xml:space="preserve">基本合理、可行   </w:t>
            </w:r>
            <w:r>
              <w:rPr>
                <w:rFonts w:ascii="宋体" w:hAnsi="宋体"/>
                <w:kern w:val="2"/>
                <w:sz w:val="21"/>
                <w:szCs w:val="21"/>
              </w:rPr>
              <w:t>3～4分</w:t>
            </w:r>
          </w:p>
        </w:tc>
      </w:tr>
      <w:tr w14:paraId="54E8B3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497" w:type="pct"/>
            <w:vAlign w:val="center"/>
          </w:tcPr>
          <w:p w14:paraId="61FDE513">
            <w:pPr>
              <w:jc w:val="center"/>
              <w:rPr>
                <w:rFonts w:ascii="宋体" w:hAnsi="宋体"/>
                <w:szCs w:val="21"/>
                <w:highlight w:val="none"/>
              </w:rPr>
            </w:pPr>
            <w:r>
              <w:rPr>
                <w:rFonts w:hint="eastAsia" w:ascii="宋体" w:hAnsi="宋体"/>
                <w:szCs w:val="21"/>
                <w:highlight w:val="none"/>
              </w:rPr>
              <w:t>2.2.4（2）</w:t>
            </w:r>
          </w:p>
        </w:tc>
        <w:tc>
          <w:tcPr>
            <w:tcW w:w="1163" w:type="dxa"/>
            <w:vAlign w:val="top"/>
          </w:tcPr>
          <w:p w14:paraId="3FB9D2A6">
            <w:pPr>
              <w:rPr>
                <w:rFonts w:ascii="Arial"/>
                <w:sz w:val="21"/>
                <w:szCs w:val="21"/>
              </w:rPr>
            </w:pPr>
          </w:p>
          <w:p w14:paraId="79ABC423">
            <w:pPr>
              <w:rPr>
                <w:rFonts w:ascii="Arial"/>
                <w:sz w:val="21"/>
                <w:szCs w:val="21"/>
              </w:rPr>
            </w:pPr>
          </w:p>
          <w:p w14:paraId="4F220AE7">
            <w:pPr>
              <w:rPr>
                <w:rFonts w:ascii="Arial"/>
                <w:sz w:val="21"/>
                <w:szCs w:val="21"/>
              </w:rPr>
            </w:pPr>
          </w:p>
          <w:p w14:paraId="148B4115">
            <w:pPr>
              <w:rPr>
                <w:rFonts w:ascii="Arial"/>
                <w:sz w:val="21"/>
                <w:szCs w:val="21"/>
              </w:rPr>
            </w:pPr>
          </w:p>
          <w:p w14:paraId="64EA5D74">
            <w:pPr>
              <w:rPr>
                <w:rFonts w:ascii="Arial"/>
                <w:sz w:val="21"/>
                <w:szCs w:val="21"/>
              </w:rPr>
            </w:pPr>
          </w:p>
          <w:p w14:paraId="3DFC906A">
            <w:pPr>
              <w:spacing w:line="241" w:lineRule="auto"/>
              <w:rPr>
                <w:rFonts w:ascii="Arial"/>
                <w:sz w:val="21"/>
                <w:szCs w:val="21"/>
              </w:rPr>
            </w:pPr>
          </w:p>
          <w:p w14:paraId="2688A4FB">
            <w:pPr>
              <w:pStyle w:val="8"/>
              <w:spacing w:before="68" w:line="222" w:lineRule="auto"/>
              <w:ind w:left="145" w:leftChars="0"/>
              <w:rPr>
                <w:rFonts w:ascii="宋体" w:hAnsi="宋体"/>
                <w:sz w:val="21"/>
                <w:szCs w:val="21"/>
                <w:highlight w:val="none"/>
              </w:rPr>
            </w:pPr>
            <w:r>
              <w:rPr>
                <w:spacing w:val="-2"/>
                <w:sz w:val="21"/>
                <w:szCs w:val="21"/>
              </w:rPr>
              <w:t>主要人员</w:t>
            </w:r>
          </w:p>
        </w:tc>
        <w:tc>
          <w:tcPr>
            <w:tcW w:w="1161" w:type="dxa"/>
            <w:vAlign w:val="top"/>
          </w:tcPr>
          <w:p w14:paraId="55609F18">
            <w:pPr>
              <w:rPr>
                <w:rFonts w:ascii="Arial"/>
                <w:sz w:val="21"/>
                <w:szCs w:val="21"/>
              </w:rPr>
            </w:pPr>
          </w:p>
          <w:p w14:paraId="2B584DF8">
            <w:pPr>
              <w:rPr>
                <w:rFonts w:ascii="Arial"/>
                <w:sz w:val="21"/>
                <w:szCs w:val="21"/>
              </w:rPr>
            </w:pPr>
          </w:p>
          <w:p w14:paraId="14BC5CF9">
            <w:pPr>
              <w:rPr>
                <w:rFonts w:ascii="Arial"/>
                <w:sz w:val="21"/>
                <w:szCs w:val="21"/>
              </w:rPr>
            </w:pPr>
          </w:p>
          <w:p w14:paraId="4103385D">
            <w:pPr>
              <w:rPr>
                <w:rFonts w:ascii="Arial"/>
                <w:sz w:val="21"/>
                <w:szCs w:val="21"/>
              </w:rPr>
            </w:pPr>
          </w:p>
          <w:p w14:paraId="7A1A5D64">
            <w:pPr>
              <w:rPr>
                <w:rFonts w:ascii="Arial"/>
                <w:sz w:val="21"/>
                <w:szCs w:val="21"/>
              </w:rPr>
            </w:pPr>
          </w:p>
          <w:p w14:paraId="4B7CEB58">
            <w:pPr>
              <w:spacing w:line="241" w:lineRule="auto"/>
              <w:rPr>
                <w:rFonts w:ascii="Arial"/>
                <w:sz w:val="21"/>
                <w:szCs w:val="21"/>
              </w:rPr>
            </w:pPr>
          </w:p>
          <w:p w14:paraId="2ECFA0A5">
            <w:pPr>
              <w:pStyle w:val="8"/>
              <w:spacing w:before="68" w:line="221" w:lineRule="auto"/>
              <w:ind w:left="331" w:leftChars="0"/>
              <w:rPr>
                <w:rFonts w:ascii="宋体" w:hAnsi="宋体"/>
                <w:sz w:val="21"/>
                <w:szCs w:val="21"/>
                <w:highlight w:val="none"/>
              </w:rPr>
            </w:pPr>
            <w:r>
              <w:rPr>
                <w:spacing w:val="-4"/>
                <w:sz w:val="21"/>
                <w:szCs w:val="21"/>
              </w:rPr>
              <w:t>25</w:t>
            </w:r>
            <w:r>
              <w:rPr>
                <w:spacing w:val="-41"/>
                <w:sz w:val="21"/>
                <w:szCs w:val="21"/>
              </w:rPr>
              <w:t xml:space="preserve"> </w:t>
            </w:r>
            <w:r>
              <w:rPr>
                <w:spacing w:val="-4"/>
                <w:sz w:val="21"/>
                <w:szCs w:val="21"/>
              </w:rPr>
              <w:t>分</w:t>
            </w:r>
          </w:p>
        </w:tc>
        <w:tc>
          <w:tcPr>
            <w:tcW w:w="1597" w:type="dxa"/>
            <w:vAlign w:val="top"/>
          </w:tcPr>
          <w:p w14:paraId="40F3B2FC">
            <w:pPr>
              <w:spacing w:line="261" w:lineRule="auto"/>
              <w:rPr>
                <w:rFonts w:ascii="Arial"/>
                <w:sz w:val="21"/>
                <w:szCs w:val="21"/>
              </w:rPr>
            </w:pPr>
          </w:p>
          <w:p w14:paraId="32117F34">
            <w:pPr>
              <w:spacing w:line="261" w:lineRule="auto"/>
              <w:rPr>
                <w:rFonts w:ascii="Arial"/>
                <w:sz w:val="21"/>
                <w:szCs w:val="21"/>
              </w:rPr>
            </w:pPr>
          </w:p>
          <w:p w14:paraId="7A35F136">
            <w:pPr>
              <w:spacing w:line="261" w:lineRule="auto"/>
              <w:rPr>
                <w:rFonts w:ascii="Arial"/>
                <w:sz w:val="21"/>
                <w:szCs w:val="21"/>
              </w:rPr>
            </w:pPr>
          </w:p>
          <w:p w14:paraId="05E494DD">
            <w:pPr>
              <w:spacing w:line="261" w:lineRule="auto"/>
              <w:rPr>
                <w:rFonts w:ascii="Arial"/>
                <w:sz w:val="21"/>
                <w:szCs w:val="21"/>
              </w:rPr>
            </w:pPr>
          </w:p>
          <w:p w14:paraId="24E420D0">
            <w:pPr>
              <w:spacing w:line="261" w:lineRule="auto"/>
              <w:rPr>
                <w:rFonts w:ascii="Arial"/>
                <w:sz w:val="21"/>
                <w:szCs w:val="21"/>
              </w:rPr>
            </w:pPr>
          </w:p>
          <w:p w14:paraId="5A8A01D1">
            <w:pPr>
              <w:pStyle w:val="8"/>
              <w:spacing w:before="69"/>
              <w:ind w:left="359" w:leftChars="0" w:right="142" w:rightChars="0" w:hanging="204" w:firstLineChars="0"/>
              <w:rPr>
                <w:rFonts w:ascii="宋体" w:hAnsi="宋体"/>
                <w:sz w:val="21"/>
                <w:szCs w:val="21"/>
                <w:highlight w:val="none"/>
              </w:rPr>
            </w:pPr>
            <w:r>
              <w:rPr>
                <w:spacing w:val="-2"/>
                <w:sz w:val="21"/>
                <w:szCs w:val="21"/>
              </w:rPr>
              <w:t>总监理工程师</w:t>
            </w:r>
            <w:r>
              <w:rPr>
                <w:spacing w:val="-1"/>
                <w:sz w:val="21"/>
                <w:szCs w:val="21"/>
              </w:rPr>
              <w:t>任职业绩</w:t>
            </w:r>
          </w:p>
        </w:tc>
        <w:tc>
          <w:tcPr>
            <w:tcW w:w="755" w:type="dxa"/>
            <w:vAlign w:val="top"/>
          </w:tcPr>
          <w:p w14:paraId="119F4F94">
            <w:pPr>
              <w:rPr>
                <w:rFonts w:ascii="Arial"/>
                <w:sz w:val="21"/>
                <w:szCs w:val="21"/>
              </w:rPr>
            </w:pPr>
          </w:p>
          <w:p w14:paraId="2CC68F2B">
            <w:pPr>
              <w:rPr>
                <w:rFonts w:ascii="Arial"/>
                <w:sz w:val="21"/>
                <w:szCs w:val="21"/>
              </w:rPr>
            </w:pPr>
          </w:p>
          <w:p w14:paraId="7120F80D">
            <w:pPr>
              <w:rPr>
                <w:rFonts w:ascii="Arial"/>
                <w:sz w:val="21"/>
                <w:szCs w:val="21"/>
              </w:rPr>
            </w:pPr>
          </w:p>
          <w:p w14:paraId="4728AE92">
            <w:pPr>
              <w:rPr>
                <w:rFonts w:ascii="Arial"/>
                <w:sz w:val="21"/>
                <w:szCs w:val="21"/>
              </w:rPr>
            </w:pPr>
          </w:p>
          <w:p w14:paraId="77EE5F52">
            <w:pPr>
              <w:rPr>
                <w:rFonts w:ascii="Arial"/>
                <w:sz w:val="21"/>
                <w:szCs w:val="21"/>
              </w:rPr>
            </w:pPr>
          </w:p>
          <w:p w14:paraId="4EBEE83B">
            <w:pPr>
              <w:spacing w:line="241" w:lineRule="auto"/>
              <w:rPr>
                <w:rFonts w:ascii="Arial"/>
                <w:sz w:val="21"/>
                <w:szCs w:val="21"/>
              </w:rPr>
            </w:pPr>
          </w:p>
          <w:p w14:paraId="4DD7BAA7">
            <w:pPr>
              <w:pStyle w:val="8"/>
              <w:spacing w:before="68" w:line="221" w:lineRule="auto"/>
              <w:ind w:left="124" w:leftChars="0"/>
              <w:rPr>
                <w:rFonts w:hint="default" w:ascii="宋体" w:hAnsi="宋体" w:eastAsia="宋体"/>
                <w:sz w:val="21"/>
                <w:szCs w:val="21"/>
                <w:highlight w:val="none"/>
                <w:u w:val="none" w:color="auto"/>
                <w:lang w:val="en-US" w:eastAsia="zh-CN"/>
              </w:rPr>
            </w:pPr>
            <w:r>
              <w:rPr>
                <w:spacing w:val="-4"/>
                <w:sz w:val="21"/>
                <w:szCs w:val="21"/>
              </w:rPr>
              <w:t>25</w:t>
            </w:r>
            <w:r>
              <w:rPr>
                <w:spacing w:val="-41"/>
                <w:sz w:val="21"/>
                <w:szCs w:val="21"/>
              </w:rPr>
              <w:t xml:space="preserve"> </w:t>
            </w:r>
            <w:r>
              <w:rPr>
                <w:spacing w:val="-4"/>
                <w:sz w:val="21"/>
                <w:szCs w:val="21"/>
              </w:rPr>
              <w:t>分</w:t>
            </w:r>
          </w:p>
        </w:tc>
        <w:tc>
          <w:tcPr>
            <w:tcW w:w="4199" w:type="dxa"/>
            <w:vAlign w:val="top"/>
          </w:tcPr>
          <w:p w14:paraId="1F683047">
            <w:pPr>
              <w:pStyle w:val="8"/>
              <w:spacing w:before="120" w:line="317" w:lineRule="auto"/>
              <w:ind w:left="115" w:right="97" w:firstLine="214"/>
              <w:rPr>
                <w:sz w:val="21"/>
                <w:szCs w:val="21"/>
              </w:rPr>
            </w:pPr>
            <w:r>
              <w:rPr>
                <w:spacing w:val="4"/>
                <w:sz w:val="21"/>
                <w:szCs w:val="21"/>
              </w:rPr>
              <w:t>（1）满足资格审查条件最低要求得 15</w:t>
            </w:r>
            <w:r>
              <w:rPr>
                <w:spacing w:val="-15"/>
                <w:sz w:val="21"/>
                <w:szCs w:val="21"/>
              </w:rPr>
              <w:t>分；</w:t>
            </w:r>
          </w:p>
          <w:p w14:paraId="1932A2DA">
            <w:pPr>
              <w:pStyle w:val="8"/>
              <w:spacing w:before="2" w:line="316" w:lineRule="auto"/>
              <w:ind w:left="113" w:right="97" w:firstLine="216"/>
              <w:rPr>
                <w:sz w:val="21"/>
                <w:szCs w:val="21"/>
                <w:highlight w:val="green"/>
              </w:rPr>
            </w:pPr>
            <w:r>
              <w:rPr>
                <w:spacing w:val="-1"/>
                <w:sz w:val="21"/>
                <w:szCs w:val="21"/>
              </w:rPr>
              <w:t>（2）</w:t>
            </w:r>
            <w:r>
              <w:rPr>
                <w:rFonts w:hint="eastAsia"/>
                <w:spacing w:val="-1"/>
                <w:sz w:val="21"/>
                <w:szCs w:val="21"/>
              </w:rPr>
              <w:t>在此基础上，总监理工程师每担任过1项公路工程施工的总监理工程师或副总监理工程师或驻地监理工程师加10分，最多加10分。</w:t>
            </w:r>
          </w:p>
          <w:p w14:paraId="522F2C88">
            <w:pPr>
              <w:pStyle w:val="8"/>
              <w:spacing w:before="3" w:line="277" w:lineRule="auto"/>
              <w:ind w:left="130" w:leftChars="0" w:right="97" w:rightChars="0" w:firstLine="194" w:firstLineChars="0"/>
              <w:jc w:val="both"/>
              <w:rPr>
                <w:rFonts w:ascii="宋体" w:hAnsi="宋体" w:cs="Times New Roman"/>
                <w:kern w:val="2"/>
                <w:sz w:val="21"/>
                <w:szCs w:val="21"/>
                <w:highlight w:val="none"/>
                <w:lang w:val="en-US" w:eastAsia="zh-CN"/>
              </w:rPr>
            </w:pPr>
            <w:r>
              <w:rPr>
                <w:spacing w:val="5"/>
                <w:sz w:val="21"/>
                <w:szCs w:val="21"/>
              </w:rPr>
              <w:t>有效业绩的确定：公路工程指已建</w:t>
            </w:r>
            <w:r>
              <w:rPr>
                <w:spacing w:val="3"/>
                <w:sz w:val="21"/>
                <w:szCs w:val="21"/>
              </w:rPr>
              <w:t>的国内新建或改扩建或养护工程。不认可</w:t>
            </w:r>
            <w:r>
              <w:rPr>
                <w:spacing w:val="-2"/>
                <w:sz w:val="21"/>
                <w:szCs w:val="21"/>
              </w:rPr>
              <w:t>日常养护业绩。人员业绩无年限要求。</w:t>
            </w:r>
          </w:p>
        </w:tc>
      </w:tr>
      <w:tr w14:paraId="53477F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7" w:type="pct"/>
            <w:vAlign w:val="center"/>
          </w:tcPr>
          <w:p w14:paraId="01B28DBC">
            <w:pPr>
              <w:jc w:val="center"/>
              <w:rPr>
                <w:rFonts w:ascii="宋体" w:hAnsi="宋体"/>
                <w:szCs w:val="21"/>
              </w:rPr>
            </w:pPr>
            <w:r>
              <w:rPr>
                <w:rFonts w:hint="eastAsia" w:ascii="宋体" w:hAnsi="宋体"/>
                <w:szCs w:val="21"/>
              </w:rPr>
              <w:t>2.2.4（3）</w:t>
            </w:r>
          </w:p>
        </w:tc>
        <w:tc>
          <w:tcPr>
            <w:tcW w:w="590" w:type="pct"/>
            <w:vAlign w:val="center"/>
          </w:tcPr>
          <w:p w14:paraId="2F72C9BF">
            <w:pPr>
              <w:jc w:val="center"/>
              <w:rPr>
                <w:rFonts w:ascii="宋体" w:hAnsi="宋体"/>
                <w:szCs w:val="21"/>
              </w:rPr>
            </w:pPr>
            <w:r>
              <w:rPr>
                <w:rFonts w:hint="eastAsia" w:ascii="宋体" w:hAnsi="宋体"/>
                <w:szCs w:val="21"/>
              </w:rPr>
              <w:t>评标价</w:t>
            </w:r>
          </w:p>
        </w:tc>
        <w:tc>
          <w:tcPr>
            <w:tcW w:w="589" w:type="pct"/>
            <w:vAlign w:val="center"/>
          </w:tcPr>
          <w:p w14:paraId="46F152E4">
            <w:pPr>
              <w:jc w:val="center"/>
              <w:rPr>
                <w:rFonts w:ascii="宋体" w:hAnsi="宋体"/>
                <w:szCs w:val="21"/>
              </w:rPr>
            </w:pPr>
            <w:r>
              <w:rPr>
                <w:rFonts w:hint="eastAsia" w:ascii="宋体" w:hAnsi="宋体"/>
                <w:szCs w:val="21"/>
              </w:rPr>
              <w:t>10分</w:t>
            </w:r>
          </w:p>
        </w:tc>
        <w:tc>
          <w:tcPr>
            <w:tcW w:w="3323" w:type="pct"/>
            <w:gridSpan w:val="3"/>
            <w:vAlign w:val="center"/>
          </w:tcPr>
          <w:p w14:paraId="779FFA69">
            <w:pPr>
              <w:snapToGrid w:val="0"/>
              <w:spacing w:line="360" w:lineRule="atLeast"/>
              <w:ind w:right="113"/>
              <w:rPr>
                <w:rFonts w:ascii="黑体" w:hAnsi="黑体" w:eastAsia="黑体"/>
                <w:b/>
                <w:szCs w:val="21"/>
              </w:rPr>
            </w:pPr>
            <w:r>
              <w:rPr>
                <w:rFonts w:hint="eastAsia" w:ascii="黑体" w:hAnsi="黑体" w:eastAsia="黑体"/>
                <w:b/>
                <w:szCs w:val="21"/>
              </w:rPr>
              <w:t>评标价得分计算公式：</w:t>
            </w:r>
          </w:p>
          <w:p w14:paraId="00F51FE0">
            <w:pPr>
              <w:snapToGrid w:val="0"/>
              <w:spacing w:line="360" w:lineRule="atLeast"/>
              <w:ind w:firstLine="210" w:firstLineChars="100"/>
              <w:rPr>
                <w:rFonts w:ascii="宋体" w:hAnsi="宋体"/>
                <w:szCs w:val="21"/>
              </w:rPr>
            </w:pPr>
            <w:r>
              <w:rPr>
                <w:rFonts w:hint="eastAsia" w:ascii="宋体" w:hAnsi="宋体"/>
                <w:szCs w:val="21"/>
              </w:rPr>
              <w:t>（1）如果投标人的评标价&gt;评标基准价，则</w:t>
            </w:r>
          </w:p>
          <w:p w14:paraId="2D91F9E1">
            <w:pPr>
              <w:snapToGrid w:val="0"/>
              <w:spacing w:line="360" w:lineRule="atLeast"/>
              <w:ind w:firstLine="735" w:firstLineChars="350"/>
              <w:rPr>
                <w:rFonts w:ascii="宋体" w:hAnsi="宋体"/>
                <w:szCs w:val="21"/>
              </w:rPr>
            </w:pPr>
            <w:r>
              <w:rPr>
                <w:rFonts w:hint="eastAsia" w:ascii="宋体" w:hAnsi="宋体"/>
                <w:szCs w:val="21"/>
              </w:rPr>
              <w:t>评标价得分＝F－偏差率×100×E</w:t>
            </w:r>
            <w:r>
              <w:rPr>
                <w:rFonts w:hint="eastAsia" w:ascii="宋体" w:hAnsi="宋体"/>
                <w:szCs w:val="21"/>
                <w:vertAlign w:val="subscript"/>
              </w:rPr>
              <w:t>1</w:t>
            </w:r>
            <w:r>
              <w:rPr>
                <w:rFonts w:hint="eastAsia" w:ascii="宋体" w:hAnsi="宋体"/>
                <w:szCs w:val="21"/>
              </w:rPr>
              <w:t>；</w:t>
            </w:r>
          </w:p>
          <w:p w14:paraId="21F961C7">
            <w:pPr>
              <w:snapToGrid w:val="0"/>
              <w:spacing w:line="360" w:lineRule="atLeast"/>
              <w:ind w:firstLine="210" w:firstLineChars="100"/>
              <w:rPr>
                <w:rFonts w:ascii="宋体" w:hAnsi="宋体"/>
                <w:szCs w:val="21"/>
              </w:rPr>
            </w:pPr>
            <w:r>
              <w:rPr>
                <w:rFonts w:hint="eastAsia" w:ascii="宋体" w:hAnsi="宋体"/>
                <w:szCs w:val="21"/>
              </w:rPr>
              <w:t>（2）如果投标人的评标价≤评标基准价，则</w:t>
            </w:r>
          </w:p>
          <w:p w14:paraId="3856232C">
            <w:pPr>
              <w:snapToGrid w:val="0"/>
              <w:spacing w:line="360" w:lineRule="atLeast"/>
              <w:ind w:firstLine="735" w:firstLineChars="350"/>
              <w:rPr>
                <w:rFonts w:ascii="宋体" w:hAnsi="宋体"/>
                <w:szCs w:val="21"/>
              </w:rPr>
            </w:pPr>
            <w:r>
              <w:rPr>
                <w:rFonts w:hint="eastAsia" w:ascii="宋体" w:hAnsi="宋体"/>
                <w:szCs w:val="21"/>
              </w:rPr>
              <w:t>评标价得分＝F＋偏差率×100×E</w:t>
            </w:r>
            <w:r>
              <w:rPr>
                <w:rFonts w:hint="eastAsia" w:ascii="宋体" w:hAnsi="宋体"/>
                <w:szCs w:val="21"/>
                <w:vertAlign w:val="subscript"/>
              </w:rPr>
              <w:t>2</w:t>
            </w:r>
            <w:r>
              <w:rPr>
                <w:rFonts w:hint="eastAsia" w:ascii="宋体" w:hAnsi="宋体"/>
                <w:szCs w:val="21"/>
              </w:rPr>
              <w:t>。</w:t>
            </w:r>
          </w:p>
          <w:p w14:paraId="21C39C00">
            <w:pPr>
              <w:snapToGrid w:val="0"/>
              <w:spacing w:line="360" w:lineRule="atLeast"/>
              <w:ind w:firstLine="210" w:firstLineChars="100"/>
              <w:rPr>
                <w:rFonts w:ascii="宋体" w:hAnsi="宋体"/>
                <w:szCs w:val="21"/>
              </w:rPr>
            </w:pPr>
            <w:r>
              <w:rPr>
                <w:rFonts w:hint="eastAsia" w:ascii="宋体" w:hAnsi="宋体"/>
                <w:szCs w:val="21"/>
              </w:rPr>
              <w:t>式中：F＝10，E</w:t>
            </w:r>
            <w:r>
              <w:rPr>
                <w:rFonts w:hint="eastAsia" w:ascii="宋体" w:hAnsi="宋体"/>
                <w:szCs w:val="21"/>
                <w:vertAlign w:val="subscript"/>
              </w:rPr>
              <w:t>1</w:t>
            </w:r>
            <w:r>
              <w:rPr>
                <w:rFonts w:hint="eastAsia" w:ascii="宋体" w:hAnsi="宋体"/>
                <w:szCs w:val="21"/>
              </w:rPr>
              <w:t>＝</w:t>
            </w:r>
            <w:r>
              <w:rPr>
                <w:rFonts w:ascii="宋体" w:hAnsi="宋体"/>
                <w:szCs w:val="21"/>
              </w:rPr>
              <w:t>0.</w:t>
            </w:r>
            <w:r>
              <w:rPr>
                <w:rFonts w:hint="eastAsia" w:ascii="宋体" w:hAnsi="宋体"/>
                <w:szCs w:val="21"/>
              </w:rPr>
              <w:t>1，E</w:t>
            </w:r>
            <w:r>
              <w:rPr>
                <w:rFonts w:hint="eastAsia" w:ascii="宋体" w:hAnsi="宋体"/>
                <w:szCs w:val="21"/>
                <w:vertAlign w:val="subscript"/>
              </w:rPr>
              <w:t>2</w:t>
            </w:r>
            <w:r>
              <w:rPr>
                <w:rFonts w:hint="eastAsia" w:ascii="宋体" w:hAnsi="宋体"/>
                <w:szCs w:val="21"/>
              </w:rPr>
              <w:t>＝0.05。</w:t>
            </w:r>
          </w:p>
          <w:p w14:paraId="08B176A2">
            <w:pPr>
              <w:snapToGrid w:val="0"/>
              <w:spacing w:line="360" w:lineRule="atLeast"/>
              <w:ind w:firstLine="210" w:firstLineChars="100"/>
              <w:rPr>
                <w:rFonts w:ascii="宋体" w:hAnsi="宋体"/>
                <w:szCs w:val="21"/>
              </w:rPr>
            </w:pPr>
            <w:r>
              <w:rPr>
                <w:rFonts w:hint="eastAsia" w:ascii="宋体" w:hAnsi="宋体"/>
                <w:szCs w:val="21"/>
              </w:rPr>
              <w:t>其中：F是评标价所占的权重分值，E</w:t>
            </w:r>
            <w:r>
              <w:rPr>
                <w:rFonts w:hint="eastAsia" w:ascii="宋体" w:hAnsi="宋体"/>
                <w:szCs w:val="21"/>
                <w:vertAlign w:val="subscript"/>
              </w:rPr>
              <w:t xml:space="preserve">1 </w:t>
            </w:r>
            <w:r>
              <w:rPr>
                <w:rFonts w:hint="eastAsia" w:ascii="宋体" w:hAnsi="宋体"/>
                <w:szCs w:val="21"/>
              </w:rPr>
              <w:t>是评标价每高于评标基准价一个百分点的扣分值，E</w:t>
            </w:r>
            <w:r>
              <w:rPr>
                <w:rFonts w:hint="eastAsia" w:ascii="宋体" w:hAnsi="宋体"/>
                <w:szCs w:val="21"/>
                <w:vertAlign w:val="subscript"/>
              </w:rPr>
              <w:t xml:space="preserve">2 </w:t>
            </w:r>
            <w:r>
              <w:rPr>
                <w:rFonts w:hint="eastAsia" w:ascii="宋体" w:hAnsi="宋体"/>
                <w:szCs w:val="21"/>
              </w:rPr>
              <w:t>是评标价每低于评标基准价一个百分点的扣分值。</w:t>
            </w:r>
          </w:p>
        </w:tc>
      </w:tr>
    </w:tbl>
    <w:p w14:paraId="2967581C">
      <w:pPr>
        <w:jc w:val="right"/>
        <w:rPr>
          <w:rFonts w:ascii="宋体" w:hAnsi="宋体"/>
          <w:szCs w:val="21"/>
        </w:rPr>
      </w:pPr>
      <w:r>
        <w:rPr>
          <w:rFonts w:ascii="宋体" w:hAnsi="宋体"/>
          <w:szCs w:val="21"/>
        </w:rPr>
        <w:br w:type="page"/>
      </w:r>
      <w:r>
        <w:rPr>
          <w:rFonts w:hint="eastAsia" w:ascii="宋体" w:hAnsi="宋体"/>
          <w:szCs w:val="21"/>
        </w:rPr>
        <w:t>续上表</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73"/>
        <w:gridCol w:w="569"/>
        <w:gridCol w:w="523"/>
        <w:gridCol w:w="1063"/>
        <w:gridCol w:w="1064"/>
        <w:gridCol w:w="718"/>
        <w:gridCol w:w="4808"/>
      </w:tblGrid>
      <w:tr w14:paraId="64F979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tblHeader/>
          <w:jc w:val="center"/>
        </w:trPr>
        <w:tc>
          <w:tcPr>
            <w:tcW w:w="4810" w:type="dxa"/>
            <w:gridSpan w:val="6"/>
            <w:vAlign w:val="center"/>
          </w:tcPr>
          <w:p w14:paraId="18A10ED9">
            <w:pPr>
              <w:jc w:val="center"/>
              <w:rPr>
                <w:rFonts w:ascii="宋体" w:hAnsi="宋体"/>
                <w:b/>
                <w:szCs w:val="21"/>
              </w:rPr>
            </w:pPr>
            <w:r>
              <w:rPr>
                <w:rFonts w:hint="eastAsia" w:ascii="宋体" w:hAnsi="宋体"/>
                <w:b/>
                <w:szCs w:val="21"/>
              </w:rPr>
              <w:t>评分因素与权重分值</w:t>
            </w:r>
          </w:p>
        </w:tc>
        <w:tc>
          <w:tcPr>
            <w:tcW w:w="4808" w:type="dxa"/>
            <w:vMerge w:val="restart"/>
            <w:vAlign w:val="center"/>
          </w:tcPr>
          <w:p w14:paraId="4F6C9220">
            <w:pPr>
              <w:jc w:val="center"/>
              <w:rPr>
                <w:rFonts w:ascii="宋体" w:hAnsi="宋体"/>
                <w:b/>
                <w:szCs w:val="21"/>
              </w:rPr>
            </w:pPr>
            <w:r>
              <w:rPr>
                <w:rFonts w:hint="eastAsia" w:ascii="宋体" w:hAnsi="宋体"/>
                <w:b/>
                <w:szCs w:val="21"/>
              </w:rPr>
              <w:t>评分标准</w:t>
            </w:r>
          </w:p>
        </w:tc>
      </w:tr>
      <w:tr w14:paraId="05E896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tblHeader/>
          <w:jc w:val="center"/>
        </w:trPr>
        <w:tc>
          <w:tcPr>
            <w:tcW w:w="873" w:type="dxa"/>
            <w:vAlign w:val="center"/>
          </w:tcPr>
          <w:p w14:paraId="24FB3F7B">
            <w:pPr>
              <w:jc w:val="center"/>
              <w:rPr>
                <w:rFonts w:ascii="宋体" w:hAnsi="宋体"/>
                <w:b/>
                <w:szCs w:val="21"/>
              </w:rPr>
            </w:pPr>
            <w:r>
              <w:rPr>
                <w:rFonts w:hint="eastAsia" w:ascii="宋体" w:hAnsi="宋体"/>
                <w:b/>
                <w:szCs w:val="21"/>
              </w:rPr>
              <w:t>条款号</w:t>
            </w:r>
          </w:p>
        </w:tc>
        <w:tc>
          <w:tcPr>
            <w:tcW w:w="1092" w:type="dxa"/>
            <w:gridSpan w:val="2"/>
            <w:vAlign w:val="center"/>
          </w:tcPr>
          <w:p w14:paraId="0B0E7EBF">
            <w:pPr>
              <w:jc w:val="center"/>
              <w:rPr>
                <w:rFonts w:ascii="宋体" w:hAnsi="宋体"/>
                <w:b/>
                <w:szCs w:val="21"/>
              </w:rPr>
            </w:pPr>
            <w:r>
              <w:rPr>
                <w:rFonts w:hint="eastAsia" w:ascii="宋体" w:hAnsi="宋体"/>
                <w:b/>
                <w:szCs w:val="21"/>
              </w:rPr>
              <w:t>评分因素</w:t>
            </w:r>
          </w:p>
        </w:tc>
        <w:tc>
          <w:tcPr>
            <w:tcW w:w="1063" w:type="dxa"/>
            <w:vAlign w:val="center"/>
          </w:tcPr>
          <w:p w14:paraId="5312AFF7">
            <w:pPr>
              <w:jc w:val="center"/>
              <w:rPr>
                <w:rFonts w:ascii="宋体" w:hAnsi="宋体"/>
                <w:b/>
                <w:szCs w:val="21"/>
              </w:rPr>
            </w:pPr>
            <w:r>
              <w:rPr>
                <w:rFonts w:hint="eastAsia" w:ascii="宋体" w:hAnsi="宋体"/>
                <w:b/>
                <w:szCs w:val="21"/>
              </w:rPr>
              <w:t>评分因素</w:t>
            </w:r>
          </w:p>
          <w:p w14:paraId="2B5677E8">
            <w:pPr>
              <w:jc w:val="center"/>
              <w:rPr>
                <w:rFonts w:ascii="宋体" w:hAnsi="宋体"/>
                <w:b/>
                <w:szCs w:val="21"/>
              </w:rPr>
            </w:pPr>
            <w:r>
              <w:rPr>
                <w:rFonts w:hint="eastAsia" w:ascii="宋体" w:hAnsi="宋体"/>
                <w:b/>
                <w:szCs w:val="21"/>
              </w:rPr>
              <w:t>权重分值</w:t>
            </w:r>
          </w:p>
        </w:tc>
        <w:tc>
          <w:tcPr>
            <w:tcW w:w="1064" w:type="dxa"/>
            <w:vAlign w:val="center"/>
          </w:tcPr>
          <w:p w14:paraId="61DBE274">
            <w:pPr>
              <w:jc w:val="center"/>
              <w:rPr>
                <w:rFonts w:ascii="宋体" w:hAnsi="宋体"/>
                <w:b/>
                <w:szCs w:val="21"/>
              </w:rPr>
            </w:pPr>
            <w:r>
              <w:rPr>
                <w:rFonts w:hint="eastAsia" w:ascii="宋体" w:hAnsi="宋体"/>
                <w:b/>
                <w:szCs w:val="21"/>
              </w:rPr>
              <w:t>各评分因素细分项</w:t>
            </w:r>
          </w:p>
        </w:tc>
        <w:tc>
          <w:tcPr>
            <w:tcW w:w="718" w:type="dxa"/>
            <w:vAlign w:val="center"/>
          </w:tcPr>
          <w:p w14:paraId="5B619F60">
            <w:pPr>
              <w:jc w:val="center"/>
              <w:rPr>
                <w:rFonts w:ascii="宋体" w:hAnsi="宋体"/>
                <w:b/>
                <w:szCs w:val="21"/>
              </w:rPr>
            </w:pPr>
            <w:r>
              <w:rPr>
                <w:rFonts w:hint="eastAsia" w:ascii="宋体" w:hAnsi="宋体"/>
                <w:b/>
                <w:szCs w:val="21"/>
              </w:rPr>
              <w:t>分值</w:t>
            </w:r>
          </w:p>
        </w:tc>
        <w:tc>
          <w:tcPr>
            <w:tcW w:w="4808" w:type="dxa"/>
            <w:vMerge w:val="continue"/>
            <w:vAlign w:val="center"/>
          </w:tcPr>
          <w:p w14:paraId="3388F6A1">
            <w:pPr>
              <w:jc w:val="center"/>
              <w:rPr>
                <w:rFonts w:ascii="宋体" w:hAnsi="宋体"/>
                <w:szCs w:val="21"/>
              </w:rPr>
            </w:pPr>
          </w:p>
        </w:tc>
      </w:tr>
      <w:tr w14:paraId="4D1026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3" w:type="dxa"/>
            <w:vMerge w:val="restart"/>
            <w:vAlign w:val="center"/>
          </w:tcPr>
          <w:p w14:paraId="5042B7FC">
            <w:pPr>
              <w:jc w:val="center"/>
              <w:rPr>
                <w:rFonts w:ascii="宋体" w:hAnsi="宋体"/>
                <w:szCs w:val="21"/>
              </w:rPr>
            </w:pPr>
            <w:bookmarkStart w:id="15" w:name="_Hlk159324252"/>
            <w:r>
              <w:rPr>
                <w:rFonts w:hint="eastAsia" w:ascii="宋体" w:hAnsi="宋体"/>
                <w:szCs w:val="21"/>
              </w:rPr>
              <w:t>2.2.4（4）</w:t>
            </w:r>
          </w:p>
        </w:tc>
        <w:tc>
          <w:tcPr>
            <w:tcW w:w="569" w:type="dxa"/>
            <w:vMerge w:val="restart"/>
            <w:vAlign w:val="center"/>
          </w:tcPr>
          <w:p w14:paraId="1786025C">
            <w:pPr>
              <w:jc w:val="center"/>
              <w:rPr>
                <w:rFonts w:ascii="宋体" w:hAnsi="宋体"/>
                <w:szCs w:val="21"/>
              </w:rPr>
            </w:pPr>
            <w:r>
              <w:rPr>
                <w:rFonts w:hint="eastAsia" w:ascii="宋体" w:hAnsi="宋体"/>
                <w:szCs w:val="21"/>
              </w:rPr>
              <w:t>其他因素</w:t>
            </w:r>
          </w:p>
        </w:tc>
        <w:tc>
          <w:tcPr>
            <w:tcW w:w="523" w:type="dxa"/>
            <w:vAlign w:val="center"/>
          </w:tcPr>
          <w:p w14:paraId="25677C7F">
            <w:pPr>
              <w:jc w:val="center"/>
              <w:rPr>
                <w:rFonts w:ascii="宋体" w:hAnsi="宋体"/>
                <w:szCs w:val="21"/>
              </w:rPr>
            </w:pPr>
            <w:r>
              <w:rPr>
                <w:rFonts w:hint="eastAsia" w:ascii="宋体" w:hAnsi="宋体"/>
                <w:szCs w:val="21"/>
              </w:rPr>
              <w:t>业绩</w:t>
            </w:r>
          </w:p>
        </w:tc>
        <w:tc>
          <w:tcPr>
            <w:tcW w:w="1063" w:type="dxa"/>
            <w:vAlign w:val="center"/>
          </w:tcPr>
          <w:p w14:paraId="2EDC6CCA">
            <w:pPr>
              <w:jc w:val="center"/>
              <w:rPr>
                <w:rFonts w:ascii="宋体" w:hAnsi="宋体"/>
                <w:szCs w:val="21"/>
              </w:rPr>
            </w:pPr>
            <w:r>
              <w:rPr>
                <w:rFonts w:hint="eastAsia" w:ascii="宋体" w:hAnsi="宋体"/>
                <w:szCs w:val="21"/>
              </w:rPr>
              <w:t>20分</w:t>
            </w:r>
          </w:p>
        </w:tc>
        <w:tc>
          <w:tcPr>
            <w:tcW w:w="1064" w:type="dxa"/>
            <w:vAlign w:val="center"/>
          </w:tcPr>
          <w:p w14:paraId="7B10C2FD">
            <w:pPr>
              <w:ind w:right="113"/>
              <w:jc w:val="center"/>
              <w:rPr>
                <w:rFonts w:ascii="宋体" w:hAnsi="宋体"/>
                <w:szCs w:val="21"/>
              </w:rPr>
            </w:pPr>
            <w:r>
              <w:rPr>
                <w:rFonts w:hint="eastAsia" w:ascii="宋体" w:hAnsi="宋体"/>
                <w:szCs w:val="21"/>
              </w:rPr>
              <w:t>业绩</w:t>
            </w:r>
          </w:p>
        </w:tc>
        <w:tc>
          <w:tcPr>
            <w:tcW w:w="718" w:type="dxa"/>
            <w:tcBorders>
              <w:bottom w:val="single" w:color="auto" w:sz="4" w:space="0"/>
            </w:tcBorders>
            <w:vAlign w:val="center"/>
          </w:tcPr>
          <w:p w14:paraId="4D76F701">
            <w:pPr>
              <w:adjustRightInd w:val="0"/>
              <w:snapToGrid w:val="0"/>
              <w:jc w:val="center"/>
              <w:rPr>
                <w:rFonts w:ascii="宋体" w:hAnsi="宋体"/>
                <w:szCs w:val="21"/>
              </w:rPr>
            </w:pPr>
            <w:r>
              <w:rPr>
                <w:rFonts w:hint="eastAsia" w:ascii="宋体" w:hAnsi="宋体"/>
                <w:szCs w:val="21"/>
              </w:rPr>
              <w:t>20</w:t>
            </w:r>
            <w:r>
              <w:rPr>
                <w:rFonts w:ascii="宋体" w:hAnsi="宋体"/>
                <w:szCs w:val="21"/>
              </w:rPr>
              <w:t>分</w:t>
            </w:r>
          </w:p>
        </w:tc>
        <w:tc>
          <w:tcPr>
            <w:tcW w:w="4808" w:type="dxa"/>
            <w:tcBorders>
              <w:bottom w:val="single" w:color="auto" w:sz="4" w:space="0"/>
            </w:tcBorders>
            <w:vAlign w:val="center"/>
          </w:tcPr>
          <w:p w14:paraId="0639BD26">
            <w:pPr>
              <w:adjustRightInd w:val="0"/>
              <w:snapToGrid w:val="0"/>
              <w:spacing w:line="340" w:lineRule="atLeast"/>
              <w:ind w:firstLine="228" w:firstLineChars="100"/>
              <w:rPr>
                <w:rFonts w:hint="eastAsia" w:ascii="宋体" w:hAnsi="宋体"/>
                <w:spacing w:val="9"/>
                <w:kern w:val="0"/>
                <w:szCs w:val="21"/>
              </w:rPr>
            </w:pPr>
            <w:r>
              <w:rPr>
                <w:rFonts w:hint="eastAsia" w:ascii="宋体" w:hAnsi="宋体"/>
                <w:spacing w:val="9"/>
                <w:kern w:val="0"/>
                <w:szCs w:val="21"/>
              </w:rPr>
              <w:t>满足资格审查条件最低要求得 12 分，</w:t>
            </w:r>
          </w:p>
          <w:p w14:paraId="52F1A2F8">
            <w:pPr>
              <w:adjustRightInd w:val="0"/>
              <w:snapToGrid w:val="0"/>
              <w:spacing w:line="340" w:lineRule="atLeast"/>
              <w:ind w:firstLine="228" w:firstLineChars="100"/>
              <w:rPr>
                <w:rFonts w:hint="eastAsia" w:ascii="宋体" w:hAnsi="宋体"/>
                <w:spacing w:val="9"/>
                <w:kern w:val="0"/>
                <w:szCs w:val="21"/>
              </w:rPr>
            </w:pPr>
            <w:r>
              <w:rPr>
                <w:rFonts w:hint="eastAsia" w:ascii="宋体" w:hAnsi="宋体"/>
                <w:spacing w:val="9"/>
                <w:kern w:val="0"/>
                <w:szCs w:val="21"/>
              </w:rPr>
              <w:t>在此基础上，投标人（如为联合体则为联合体所有成员）每增加一项有效施工监理业绩加 4 分，最多加 8 分。</w:t>
            </w:r>
          </w:p>
          <w:p w14:paraId="39462D14">
            <w:pPr>
              <w:adjustRightInd w:val="0"/>
              <w:snapToGrid w:val="0"/>
              <w:spacing w:line="340" w:lineRule="atLeast"/>
              <w:ind w:firstLine="228" w:firstLineChars="100"/>
              <w:rPr>
                <w:rFonts w:ascii="宋体" w:hAnsi="宋体"/>
                <w:spacing w:val="9"/>
                <w:kern w:val="0"/>
                <w:szCs w:val="21"/>
              </w:rPr>
            </w:pPr>
            <w:r>
              <w:rPr>
                <w:rFonts w:hint="eastAsia" w:ascii="宋体" w:hAnsi="宋体"/>
                <w:spacing w:val="9"/>
                <w:kern w:val="0"/>
                <w:szCs w:val="21"/>
              </w:rPr>
              <w:t>有效业绩：202</w:t>
            </w:r>
            <w:r>
              <w:rPr>
                <w:rFonts w:hint="eastAsia" w:ascii="宋体" w:hAnsi="宋体"/>
                <w:spacing w:val="9"/>
                <w:kern w:val="0"/>
                <w:szCs w:val="21"/>
                <w:lang w:val="en-US" w:eastAsia="zh-CN"/>
              </w:rPr>
              <w:t>1</w:t>
            </w:r>
            <w:r>
              <w:rPr>
                <w:rFonts w:hint="eastAsia" w:ascii="宋体" w:hAnsi="宋体"/>
                <w:spacing w:val="9"/>
                <w:kern w:val="0"/>
                <w:szCs w:val="21"/>
              </w:rPr>
              <w:t xml:space="preserve"> 年 1 月 1 日至投标截止时间（两阶段验收工程以交工时间为准，一阶段验收工程以交工或竣工时间为准）完成过的高速公路沥青混凝土路面工程（应为国内新建或改扩建或养护工程。不认可日常养护业绩）施工监理业绩。</w:t>
            </w:r>
          </w:p>
        </w:tc>
      </w:tr>
      <w:bookmarkEnd w:id="15"/>
      <w:tr w14:paraId="4611EB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3" w:type="dxa"/>
            <w:vMerge w:val="continue"/>
            <w:vAlign w:val="center"/>
          </w:tcPr>
          <w:p w14:paraId="57553D05">
            <w:pPr>
              <w:jc w:val="center"/>
              <w:rPr>
                <w:rFonts w:ascii="宋体" w:hAnsi="宋体"/>
                <w:szCs w:val="21"/>
              </w:rPr>
            </w:pPr>
          </w:p>
        </w:tc>
        <w:tc>
          <w:tcPr>
            <w:tcW w:w="569" w:type="dxa"/>
            <w:vMerge w:val="continue"/>
            <w:vAlign w:val="center"/>
          </w:tcPr>
          <w:p w14:paraId="65F9490A">
            <w:pPr>
              <w:jc w:val="center"/>
              <w:rPr>
                <w:rFonts w:ascii="宋体" w:hAnsi="宋体"/>
                <w:szCs w:val="21"/>
              </w:rPr>
            </w:pPr>
          </w:p>
        </w:tc>
        <w:tc>
          <w:tcPr>
            <w:tcW w:w="523" w:type="dxa"/>
            <w:vAlign w:val="center"/>
          </w:tcPr>
          <w:p w14:paraId="47233871">
            <w:pPr>
              <w:jc w:val="center"/>
              <w:rPr>
                <w:rFonts w:ascii="宋体" w:hAnsi="宋体"/>
                <w:szCs w:val="21"/>
              </w:rPr>
            </w:pPr>
            <w:r>
              <w:rPr>
                <w:rFonts w:hint="eastAsia" w:ascii="宋体" w:hAnsi="宋体"/>
                <w:szCs w:val="21"/>
              </w:rPr>
              <w:t>履约信誉</w:t>
            </w:r>
          </w:p>
        </w:tc>
        <w:tc>
          <w:tcPr>
            <w:tcW w:w="1063" w:type="dxa"/>
            <w:vAlign w:val="center"/>
          </w:tcPr>
          <w:p w14:paraId="25D34583">
            <w:pPr>
              <w:jc w:val="center"/>
              <w:rPr>
                <w:rFonts w:ascii="宋体" w:hAnsi="宋体"/>
                <w:szCs w:val="21"/>
              </w:rPr>
            </w:pPr>
            <w:r>
              <w:rPr>
                <w:rFonts w:hint="eastAsia" w:ascii="宋体" w:hAnsi="宋体"/>
                <w:szCs w:val="21"/>
              </w:rPr>
              <w:t>10分</w:t>
            </w:r>
          </w:p>
        </w:tc>
        <w:tc>
          <w:tcPr>
            <w:tcW w:w="1064" w:type="dxa"/>
            <w:vAlign w:val="center"/>
          </w:tcPr>
          <w:p w14:paraId="4F2159B9">
            <w:pPr>
              <w:ind w:right="113"/>
              <w:jc w:val="center"/>
              <w:rPr>
                <w:rFonts w:ascii="宋体" w:hAnsi="宋体"/>
                <w:szCs w:val="21"/>
              </w:rPr>
            </w:pPr>
            <w:r>
              <w:rPr>
                <w:rFonts w:hint="eastAsia" w:ascii="宋体" w:hAnsi="宋体"/>
                <w:szCs w:val="21"/>
              </w:rPr>
              <w:t>信用评价等级</w:t>
            </w:r>
          </w:p>
        </w:tc>
        <w:tc>
          <w:tcPr>
            <w:tcW w:w="718" w:type="dxa"/>
            <w:tcBorders>
              <w:top w:val="single" w:color="auto" w:sz="4" w:space="0"/>
              <w:bottom w:val="single" w:color="auto" w:sz="4" w:space="0"/>
            </w:tcBorders>
            <w:vAlign w:val="center"/>
          </w:tcPr>
          <w:p w14:paraId="69006B0E">
            <w:pPr>
              <w:jc w:val="center"/>
              <w:rPr>
                <w:rFonts w:ascii="宋体" w:hAnsi="宋体"/>
                <w:szCs w:val="21"/>
              </w:rPr>
            </w:pPr>
            <w:r>
              <w:rPr>
                <w:rFonts w:hint="eastAsia" w:ascii="宋体" w:hAnsi="宋体"/>
                <w:szCs w:val="21"/>
              </w:rPr>
              <w:t>10分</w:t>
            </w:r>
          </w:p>
        </w:tc>
        <w:tc>
          <w:tcPr>
            <w:tcW w:w="4808" w:type="dxa"/>
          </w:tcPr>
          <w:p w14:paraId="4710111E">
            <w:pPr>
              <w:snapToGrid w:val="0"/>
              <w:spacing w:line="340" w:lineRule="atLeast"/>
              <w:ind w:firstLine="210" w:firstLineChars="100"/>
              <w:rPr>
                <w:rFonts w:ascii="宋体" w:hAnsi="宋体"/>
                <w:szCs w:val="21"/>
              </w:rPr>
            </w:pPr>
            <w:r>
              <w:rPr>
                <w:rFonts w:hint="eastAsia" w:ascii="宋体" w:hAnsi="宋体"/>
                <w:szCs w:val="21"/>
              </w:rPr>
              <w:t>① 联合体投标的，评审对象为联合体中</w:t>
            </w:r>
            <w:bookmarkStart w:id="16" w:name="_Hlk194397107"/>
            <w:r>
              <w:rPr>
                <w:rFonts w:hint="eastAsia" w:ascii="宋体" w:hAnsi="宋体"/>
                <w:szCs w:val="21"/>
              </w:rPr>
              <w:t>具备公路工程监理资质并拟承担相应监理业务的单位</w:t>
            </w:r>
            <w:bookmarkEnd w:id="16"/>
            <w:r>
              <w:rPr>
                <w:rFonts w:hint="eastAsia" w:ascii="宋体" w:hAnsi="宋体"/>
                <w:szCs w:val="21"/>
              </w:rPr>
              <w:t>。</w:t>
            </w:r>
          </w:p>
          <w:p w14:paraId="4C7B2CBE">
            <w:pPr>
              <w:snapToGrid w:val="0"/>
              <w:spacing w:line="340" w:lineRule="atLeast"/>
              <w:ind w:firstLine="210" w:firstLineChars="100"/>
              <w:rPr>
                <w:rFonts w:ascii="宋体" w:hAnsi="宋体"/>
                <w:szCs w:val="21"/>
              </w:rPr>
            </w:pPr>
            <w:r>
              <w:rPr>
                <w:rFonts w:hint="eastAsia" w:ascii="宋体" w:hAnsi="宋体"/>
                <w:szCs w:val="21"/>
              </w:rPr>
              <w:t>② 投标人的评价结果必须是以公路监理企业身份获得的，以施工企业或设计企业身份获得的评价在本次招标中无效。</w:t>
            </w:r>
          </w:p>
          <w:p w14:paraId="0BFE62E6">
            <w:pPr>
              <w:snapToGrid w:val="0"/>
              <w:spacing w:line="340" w:lineRule="atLeast"/>
              <w:ind w:firstLine="210" w:firstLineChars="100"/>
              <w:rPr>
                <w:rFonts w:ascii="宋体" w:hAnsi="宋体"/>
                <w:szCs w:val="21"/>
              </w:rPr>
            </w:pPr>
            <w:r>
              <w:rPr>
                <w:rFonts w:hint="eastAsia" w:ascii="宋体" w:hAnsi="宋体"/>
                <w:szCs w:val="21"/>
              </w:rPr>
              <w:t>③ 按照以下规则应用投标人的信用评价等级：</w:t>
            </w:r>
          </w:p>
          <w:p w14:paraId="00821BBB">
            <w:pPr>
              <w:snapToGrid w:val="0"/>
              <w:spacing w:line="340" w:lineRule="atLeast"/>
              <w:ind w:firstLine="210" w:firstLineChars="100"/>
              <w:rPr>
                <w:rFonts w:ascii="宋体" w:hAnsi="宋体"/>
                <w:szCs w:val="21"/>
                <w:highlight w:val="none"/>
              </w:rPr>
            </w:pPr>
            <w:r>
              <w:rPr>
                <w:rFonts w:hint="eastAsia" w:ascii="宋体" w:hAnsi="宋体"/>
                <w:szCs w:val="21"/>
              </w:rPr>
              <w:t>a. 投标人在吉林省交通运输厅发布的《关于发布吉林省2024年度公路建设市场省级信用评价结果的通告》中的信用评价等级；</w:t>
            </w:r>
          </w:p>
          <w:p w14:paraId="1587CC6B">
            <w:pPr>
              <w:snapToGrid w:val="0"/>
              <w:spacing w:line="340" w:lineRule="atLeast"/>
              <w:ind w:firstLine="210" w:firstLineChars="100"/>
              <w:rPr>
                <w:rFonts w:ascii="宋体" w:hAnsi="宋体"/>
                <w:szCs w:val="21"/>
                <w:highlight w:val="none"/>
              </w:rPr>
            </w:pPr>
            <w:r>
              <w:rPr>
                <w:rFonts w:hint="eastAsia" w:ascii="宋体" w:hAnsi="宋体"/>
                <w:szCs w:val="21"/>
                <w:highlight w:val="none"/>
              </w:rPr>
              <w:t>b. 投标人在交通运输部“全国公路建设市场监督管理系统”中的2024年度全国综合信用评价等级；</w:t>
            </w:r>
          </w:p>
          <w:p w14:paraId="6B271F29">
            <w:pPr>
              <w:snapToGrid w:val="0"/>
              <w:spacing w:line="340" w:lineRule="atLeast"/>
              <w:ind w:firstLine="210" w:firstLineChars="100"/>
              <w:rPr>
                <w:rFonts w:ascii="宋体" w:hAnsi="宋体"/>
                <w:szCs w:val="21"/>
              </w:rPr>
            </w:pPr>
            <w:r>
              <w:rPr>
                <w:rFonts w:hint="eastAsia" w:ascii="宋体" w:hAnsi="宋体"/>
                <w:szCs w:val="21"/>
                <w:highlight w:val="none"/>
              </w:rPr>
              <w:t>c. 以上二者都有的，</w:t>
            </w:r>
            <w:bookmarkStart w:id="17" w:name="_Hlk194397135"/>
            <w:r>
              <w:rPr>
                <w:rFonts w:hint="eastAsia" w:ascii="宋体" w:hAnsi="宋体"/>
                <w:szCs w:val="21"/>
                <w:highlight w:val="none"/>
              </w:rPr>
              <w:t>采用等级较</w:t>
            </w:r>
            <w:r>
              <w:rPr>
                <w:rFonts w:hint="eastAsia" w:ascii="宋体" w:hAnsi="宋体"/>
                <w:szCs w:val="21"/>
              </w:rPr>
              <w:t>低的评价等级</w:t>
            </w:r>
            <w:bookmarkEnd w:id="17"/>
            <w:r>
              <w:rPr>
                <w:rFonts w:hint="eastAsia" w:ascii="宋体" w:hAnsi="宋体"/>
                <w:szCs w:val="21"/>
              </w:rPr>
              <w:t>；</w:t>
            </w:r>
          </w:p>
          <w:p w14:paraId="16961E1D">
            <w:pPr>
              <w:snapToGrid w:val="0"/>
              <w:spacing w:line="340" w:lineRule="atLeast"/>
              <w:ind w:firstLine="210" w:firstLineChars="100"/>
              <w:rPr>
                <w:rFonts w:ascii="宋体" w:hAnsi="宋体"/>
                <w:szCs w:val="21"/>
              </w:rPr>
            </w:pPr>
            <w:r>
              <w:rPr>
                <w:rFonts w:hint="eastAsia" w:ascii="宋体" w:hAnsi="宋体"/>
                <w:szCs w:val="21"/>
              </w:rPr>
              <w:t xml:space="preserve">d. </w:t>
            </w:r>
            <w:bookmarkStart w:id="18" w:name="_Hlk194397212"/>
            <w:r>
              <w:rPr>
                <w:rFonts w:hint="eastAsia" w:ascii="宋体" w:hAnsi="宋体"/>
                <w:szCs w:val="21"/>
              </w:rPr>
              <w:t>两者均没有的（指无上述企业信用评价的），根据“全国公路建设市场监督管理系统/不良行为记录”查询结果，若无在处罚期内的不良信用记录，按A级评分；若有不良信用记录，按C级评分。</w:t>
            </w:r>
            <w:bookmarkEnd w:id="18"/>
          </w:p>
          <w:p w14:paraId="22B5FCE7">
            <w:pPr>
              <w:snapToGrid w:val="0"/>
              <w:spacing w:line="340" w:lineRule="atLeast"/>
              <w:ind w:firstLine="210" w:firstLineChars="100"/>
              <w:rPr>
                <w:rFonts w:hint="eastAsia" w:ascii="宋体" w:hAnsi="宋体"/>
                <w:szCs w:val="21"/>
              </w:rPr>
            </w:pPr>
            <w:r>
              <w:rPr>
                <w:rFonts w:hint="eastAsia" w:ascii="宋体" w:hAnsi="宋体"/>
                <w:szCs w:val="21"/>
              </w:rPr>
              <w:t>e.</w:t>
            </w:r>
            <w:r>
              <w:rPr>
                <w:rFonts w:hint="eastAsia" w:ascii="宋体" w:hAnsi="宋体"/>
                <w:szCs w:val="21"/>
                <w:lang w:val="en-US" w:eastAsia="zh-CN"/>
              </w:rPr>
              <w:t xml:space="preserve"> </w:t>
            </w:r>
            <w:r>
              <w:rPr>
                <w:rFonts w:hint="eastAsia" w:ascii="宋体" w:hAnsi="宋体"/>
                <w:szCs w:val="21"/>
              </w:rPr>
              <w:t>联合体参与投标的，按上述原则首先确定联合体各成员信用等级，最后按照联合体所有成员中最低等级方认定联合体信用等级。</w:t>
            </w:r>
          </w:p>
          <w:p w14:paraId="2CEA8E30">
            <w:pPr>
              <w:snapToGrid w:val="0"/>
              <w:spacing w:line="340" w:lineRule="atLeast"/>
              <w:ind w:firstLine="210" w:firstLineChars="100"/>
              <w:rPr>
                <w:rFonts w:ascii="宋体" w:hAnsi="宋体"/>
                <w:szCs w:val="21"/>
              </w:rPr>
            </w:pPr>
            <w:r>
              <w:rPr>
                <w:rFonts w:hint="eastAsia" w:ascii="宋体" w:hAnsi="宋体"/>
                <w:szCs w:val="21"/>
              </w:rPr>
              <w:t>④ 联合体投标的，其信用等级按照第①项规定的评审对象中最低等级方的等级认定。</w:t>
            </w:r>
          </w:p>
          <w:p w14:paraId="1E9C9D40">
            <w:pPr>
              <w:snapToGrid w:val="0"/>
              <w:spacing w:line="340" w:lineRule="atLeast"/>
              <w:ind w:firstLine="210" w:firstLineChars="100"/>
              <w:rPr>
                <w:rFonts w:ascii="楷体" w:hAnsi="楷体" w:eastAsia="楷体"/>
                <w:szCs w:val="21"/>
              </w:rPr>
            </w:pPr>
            <w:r>
              <w:rPr>
                <w:rFonts w:hint="eastAsia" w:ascii="宋体" w:hAnsi="宋体"/>
                <w:szCs w:val="21"/>
              </w:rPr>
              <w:t>⑤ AA级得10分，A级得8分，B级得6分，C、D级得0分。</w:t>
            </w:r>
          </w:p>
        </w:tc>
      </w:tr>
      <w:tr w14:paraId="4B59DD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618" w:type="dxa"/>
            <w:gridSpan w:val="7"/>
            <w:vAlign w:val="center"/>
          </w:tcPr>
          <w:p w14:paraId="3347F2E3">
            <w:pPr>
              <w:snapToGrid w:val="0"/>
              <w:spacing w:line="340" w:lineRule="atLeast"/>
              <w:ind w:firstLine="210" w:firstLineChars="100"/>
              <w:rPr>
                <w:rFonts w:hint="eastAsia" w:ascii="宋体" w:hAnsi="宋体"/>
                <w:szCs w:val="21"/>
              </w:rPr>
            </w:pPr>
            <w:r>
              <w:rPr>
                <w:rFonts w:hint="eastAsia"/>
              </w:rPr>
              <w:t>需要补充的其他内容：技术建议书采用“暗标”评审方式。如果技术建议书出现能识别投标人的内容，经评标委员会确定后，将否决其投标。</w:t>
            </w:r>
          </w:p>
        </w:tc>
      </w:tr>
    </w:tbl>
    <w:p w14:paraId="15423E08">
      <w:pPr>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六.公开时间</w:t>
      </w:r>
    </w:p>
    <w:p w14:paraId="192FFF00">
      <w:pPr>
        <w:keepNext w:val="0"/>
        <w:keepLines w:val="0"/>
        <w:pageBreakBefore w:val="0"/>
        <w:kinsoku/>
        <w:wordWrap/>
        <w:overflowPunct/>
        <w:topLinePunct w:val="0"/>
        <w:bidi w:val="0"/>
        <w:snapToGrid/>
        <w:spacing w:line="360" w:lineRule="auto"/>
        <w:ind w:firstLine="420" w:firstLineChars="200"/>
        <w:jc w:val="left"/>
        <w:textAlignment w:val="auto"/>
        <w:rPr>
          <w:rFonts w:hint="eastAsia" w:ascii="宋体" w:hAnsi="宋体" w:eastAsia="宋体" w:cs="宋体"/>
          <w:i w:val="0"/>
          <w:iCs w:val="0"/>
          <w:caps w:val="0"/>
          <w:color w:val="000000"/>
          <w:spacing w:val="0"/>
          <w:kern w:val="2"/>
          <w:sz w:val="21"/>
          <w:szCs w:val="21"/>
          <w:highlight w:val="none"/>
          <w:lang w:val="en-US" w:eastAsia="zh-CN" w:bidi="ar-SA"/>
        </w:rPr>
      </w:pPr>
      <w:r>
        <w:rPr>
          <w:rFonts w:hint="eastAsia" w:ascii="宋体" w:hAnsi="宋体" w:eastAsia="宋体" w:cs="宋体"/>
          <w:i w:val="0"/>
          <w:iCs w:val="0"/>
          <w:caps w:val="0"/>
          <w:color w:val="000000"/>
          <w:spacing w:val="0"/>
          <w:kern w:val="2"/>
          <w:sz w:val="21"/>
          <w:szCs w:val="21"/>
          <w:highlight w:val="none"/>
          <w:lang w:val="en-US" w:eastAsia="zh-CN" w:bidi="ar-SA"/>
        </w:rPr>
        <w:t>本关键内容公开时间至投标截止时间10日前结束。</w:t>
      </w:r>
    </w:p>
    <w:p w14:paraId="66D411ED">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textAlignment w:val="baseline"/>
        <w:rPr>
          <w:rFonts w:hint="eastAsia" w:ascii="宋体" w:hAnsi="宋体" w:eastAsia="宋体" w:cs="宋体"/>
          <w:sz w:val="21"/>
          <w:szCs w:val="21"/>
        </w:rPr>
      </w:pPr>
      <w:r>
        <w:rPr>
          <w:rFonts w:hint="eastAsia" w:ascii="宋体" w:hAnsi="宋体" w:eastAsia="宋体" w:cs="宋体"/>
          <w:b/>
          <w:bCs/>
          <w:spacing w:val="4"/>
          <w:sz w:val="21"/>
          <w:szCs w:val="21"/>
        </w:rPr>
        <w:t>7.联系方式</w:t>
      </w:r>
    </w:p>
    <w:p w14:paraId="02A48BB6">
      <w:pPr>
        <w:adjustRightInd w:val="0"/>
        <w:snapToGrid w:val="0"/>
        <w:spacing w:line="400" w:lineRule="atLeast"/>
        <w:ind w:firstLine="420" w:firstLineChars="200"/>
        <w:rPr>
          <w:rFonts w:ascii="宋体" w:hAnsi="宋体"/>
          <w:szCs w:val="21"/>
        </w:rPr>
      </w:pPr>
      <w:r>
        <w:rPr>
          <w:rFonts w:hint="eastAsia" w:ascii="宋体" w:hAnsi="宋体"/>
          <w:szCs w:val="21"/>
        </w:rPr>
        <w:t>招标人：吉林省高速公路集团有限公司</w:t>
      </w:r>
    </w:p>
    <w:p w14:paraId="0EA08746">
      <w:pPr>
        <w:adjustRightInd w:val="0"/>
        <w:snapToGrid w:val="0"/>
        <w:spacing w:line="400" w:lineRule="atLeast"/>
        <w:ind w:firstLine="420" w:firstLineChars="200"/>
        <w:rPr>
          <w:rFonts w:ascii="宋体" w:hAnsi="宋体"/>
          <w:szCs w:val="21"/>
        </w:rPr>
      </w:pPr>
      <w:r>
        <w:rPr>
          <w:rFonts w:hint="eastAsia" w:ascii="宋体" w:hAnsi="宋体"/>
          <w:szCs w:val="21"/>
        </w:rPr>
        <w:t>地  址：吉林省长春市南关区人民大街11511号</w:t>
      </w:r>
    </w:p>
    <w:p w14:paraId="1ED98B9C">
      <w:pPr>
        <w:adjustRightInd w:val="0"/>
        <w:snapToGrid w:val="0"/>
        <w:spacing w:line="400" w:lineRule="atLeast"/>
        <w:ind w:firstLine="420" w:firstLineChars="200"/>
        <w:rPr>
          <w:rFonts w:ascii="宋体" w:hAnsi="宋体"/>
          <w:szCs w:val="21"/>
        </w:rPr>
      </w:pPr>
      <w:r>
        <w:rPr>
          <w:rFonts w:hint="eastAsia" w:ascii="宋体" w:hAnsi="宋体"/>
          <w:szCs w:val="21"/>
        </w:rPr>
        <w:t>邮政编码：130028</w:t>
      </w:r>
    </w:p>
    <w:p w14:paraId="1ABF8FDC">
      <w:pPr>
        <w:adjustRightInd w:val="0"/>
        <w:snapToGrid w:val="0"/>
        <w:spacing w:line="400" w:lineRule="atLeast"/>
        <w:ind w:firstLine="420" w:firstLineChars="200"/>
        <w:rPr>
          <w:rFonts w:ascii="宋体" w:hAnsi="宋体"/>
          <w:szCs w:val="21"/>
        </w:rPr>
      </w:pPr>
      <w:r>
        <w:rPr>
          <w:rFonts w:hint="eastAsia" w:ascii="宋体" w:hAnsi="宋体"/>
          <w:szCs w:val="21"/>
        </w:rPr>
        <w:t>联系人：于先生</w:t>
      </w:r>
    </w:p>
    <w:p w14:paraId="5EBC70AB">
      <w:pPr>
        <w:adjustRightInd w:val="0"/>
        <w:snapToGrid w:val="0"/>
        <w:spacing w:line="400" w:lineRule="atLeast"/>
        <w:ind w:firstLine="420" w:firstLineChars="200"/>
        <w:rPr>
          <w:rFonts w:ascii="宋体" w:hAnsi="宋体"/>
          <w:szCs w:val="21"/>
        </w:rPr>
      </w:pPr>
      <w:r>
        <w:rPr>
          <w:rFonts w:hint="eastAsia" w:ascii="宋体" w:hAnsi="宋体"/>
          <w:szCs w:val="21"/>
        </w:rPr>
        <w:t>电  话：0431-85254020</w:t>
      </w:r>
    </w:p>
    <w:p w14:paraId="51F5E269">
      <w:pPr>
        <w:autoSpaceDE w:val="0"/>
        <w:autoSpaceDN w:val="0"/>
        <w:spacing w:line="500" w:lineRule="exact"/>
        <w:ind w:firstLine="420" w:firstLineChars="200"/>
        <w:jc w:val="left"/>
        <w:rPr>
          <w:rFonts w:hint="eastAsia" w:ascii="宋体" w:hAnsi="宋体" w:eastAsia="宋体" w:cs="宋体"/>
          <w:bCs/>
          <w:color w:val="auto"/>
          <w:szCs w:val="21"/>
          <w:highlight w:val="none"/>
          <w:lang w:val="zh-CN"/>
        </w:rPr>
      </w:pPr>
    </w:p>
    <w:p w14:paraId="399BFF87">
      <w:pPr>
        <w:autoSpaceDE w:val="0"/>
        <w:autoSpaceDN w:val="0"/>
        <w:spacing w:line="500" w:lineRule="exact"/>
        <w:ind w:firstLine="420" w:firstLineChars="200"/>
        <w:jc w:val="lef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zh-CN"/>
        </w:rPr>
        <w:t>招标代理机构：</w:t>
      </w:r>
      <w:r>
        <w:rPr>
          <w:rFonts w:hint="eastAsia" w:ascii="宋体" w:hAnsi="宋体" w:cs="宋体"/>
          <w:bCs/>
          <w:color w:val="auto"/>
          <w:szCs w:val="21"/>
          <w:highlight w:val="none"/>
          <w:lang w:eastAsia="zh-CN"/>
        </w:rPr>
        <w:t>中高建项目管理有限公司</w:t>
      </w:r>
    </w:p>
    <w:p w14:paraId="43ECBEC6">
      <w:pPr>
        <w:autoSpaceDE w:val="0"/>
        <w:autoSpaceDN w:val="0"/>
        <w:spacing w:line="500" w:lineRule="exact"/>
        <w:ind w:firstLine="420" w:firstLineChars="200"/>
        <w:jc w:val="left"/>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地    址：吉林省长春市</w:t>
      </w:r>
      <w:r>
        <w:rPr>
          <w:rFonts w:hint="eastAsia" w:ascii="宋体" w:hAnsi="宋体" w:cs="宋体"/>
          <w:bCs/>
          <w:color w:val="auto"/>
          <w:szCs w:val="21"/>
          <w:highlight w:val="none"/>
          <w:lang w:val="en-US" w:eastAsia="zh-CN"/>
        </w:rPr>
        <w:t>高新区万科翡翠学院61栋门市</w:t>
      </w:r>
    </w:p>
    <w:p w14:paraId="63FDFF69">
      <w:pPr>
        <w:autoSpaceDE w:val="0"/>
        <w:autoSpaceDN w:val="0"/>
        <w:spacing w:line="500" w:lineRule="exact"/>
        <w:ind w:firstLine="420" w:firstLineChars="200"/>
        <w:jc w:val="left"/>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联 系 人：</w:t>
      </w:r>
      <w:r>
        <w:rPr>
          <w:rFonts w:hint="eastAsia" w:ascii="宋体" w:hAnsi="宋体" w:cs="宋体"/>
          <w:bCs/>
          <w:color w:val="auto"/>
          <w:szCs w:val="21"/>
          <w:highlight w:val="none"/>
          <w:lang w:val="en-US" w:eastAsia="zh-CN"/>
        </w:rPr>
        <w:t>刘大庆、徐莹莹、毕淑楷</w:t>
      </w:r>
    </w:p>
    <w:p w14:paraId="05F3204E">
      <w:pPr>
        <w:adjustRightInd w:val="0"/>
        <w:snapToGrid w:val="0"/>
        <w:spacing w:line="400" w:lineRule="atLeast"/>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联系电话：</w:t>
      </w:r>
      <w:r>
        <w:rPr>
          <w:rFonts w:hint="eastAsia" w:ascii="宋体" w:hAnsi="宋体" w:cs="宋体"/>
          <w:bCs/>
          <w:color w:val="auto"/>
          <w:szCs w:val="21"/>
          <w:highlight w:val="none"/>
          <w:lang w:eastAsia="zh-CN"/>
        </w:rPr>
        <w:t>0431-81101867</w:t>
      </w:r>
    </w:p>
    <w:p w14:paraId="279B92AC">
      <w:pPr>
        <w:adjustRightInd w:val="0"/>
        <w:snapToGrid w:val="0"/>
        <w:spacing w:line="400" w:lineRule="atLeast"/>
        <w:ind w:firstLine="420" w:firstLineChars="200"/>
        <w:rPr>
          <w:rFonts w:hint="default" w:ascii="宋体" w:hAnsi="宋体" w:eastAsia="宋体"/>
          <w:szCs w:val="21"/>
          <w:lang w:val="en-US" w:eastAsia="zh-CN"/>
        </w:rPr>
      </w:pPr>
      <w:r>
        <w:rPr>
          <w:rFonts w:hint="eastAsia" w:ascii="宋体" w:hAnsi="宋体"/>
          <w:szCs w:val="21"/>
        </w:rPr>
        <w:t>邮政编码：1300</w:t>
      </w:r>
      <w:r>
        <w:rPr>
          <w:rFonts w:hint="eastAsia" w:ascii="宋体" w:hAnsi="宋体"/>
          <w:szCs w:val="21"/>
          <w:lang w:val="en-US" w:eastAsia="zh-CN"/>
        </w:rPr>
        <w:t>00</w:t>
      </w:r>
    </w:p>
    <w:p w14:paraId="01D86349">
      <w:pPr>
        <w:autoSpaceDE w:val="0"/>
        <w:autoSpaceDN w:val="0"/>
        <w:adjustRightInd w:val="0"/>
        <w:spacing w:line="360" w:lineRule="auto"/>
        <w:ind w:firstLine="420"/>
        <w:jc w:val="left"/>
        <w:rPr>
          <w:rFonts w:hint="eastAsia" w:ascii="宋体" w:hAnsi="宋体" w:eastAsia="宋体" w:cs="宋体"/>
          <w:spacing w:val="1"/>
          <w:kern w:val="0"/>
          <w:szCs w:val="21"/>
          <w:highlight w:val="none"/>
          <w:lang w:eastAsia="zh-CN"/>
        </w:rPr>
      </w:pPr>
    </w:p>
    <w:p w14:paraId="5B5A7B71">
      <w:pPr>
        <w:keepNext w:val="0"/>
        <w:keepLines w:val="0"/>
        <w:pageBreakBefore w:val="0"/>
        <w:widowControl w:val="0"/>
        <w:kinsoku/>
        <w:wordWrap/>
        <w:overflowPunct/>
        <w:topLinePunct w:val="0"/>
        <w:bidi w:val="0"/>
        <w:spacing w:line="480" w:lineRule="exact"/>
        <w:ind w:firstLine="420" w:firstLineChars="200"/>
        <w:textAlignment w:val="auto"/>
        <w:rPr>
          <w:rFonts w:hint="default" w:ascii="宋体" w:hAnsi="宋体" w:cs="宋体"/>
          <w:sz w:val="21"/>
          <w:szCs w:val="21"/>
          <w:lang w:val="en-US" w:eastAsia="zh-CN"/>
        </w:rPr>
      </w:pPr>
      <w:r>
        <w:rPr>
          <w:rFonts w:hint="default" w:ascii="宋体" w:hAnsi="宋体" w:cs="宋体"/>
          <w:sz w:val="21"/>
          <w:szCs w:val="21"/>
          <w:lang w:val="en-US" w:eastAsia="zh-CN"/>
        </w:rPr>
        <w:t>监督部门：吉林省交通运输厅</w:t>
      </w:r>
    </w:p>
    <w:p w14:paraId="5D0C65E4">
      <w:pPr>
        <w:keepNext w:val="0"/>
        <w:keepLines w:val="0"/>
        <w:pageBreakBefore w:val="0"/>
        <w:widowControl w:val="0"/>
        <w:kinsoku/>
        <w:wordWrap/>
        <w:overflowPunct/>
        <w:topLinePunct w:val="0"/>
        <w:bidi w:val="0"/>
        <w:spacing w:line="480" w:lineRule="exact"/>
        <w:ind w:firstLine="420" w:firstLineChars="200"/>
        <w:textAlignment w:val="auto"/>
        <w:rPr>
          <w:rFonts w:hint="default" w:ascii="宋体" w:hAnsi="宋体" w:cs="宋体"/>
          <w:sz w:val="21"/>
          <w:szCs w:val="21"/>
          <w:lang w:val="en-US" w:eastAsia="zh-CN"/>
        </w:rPr>
      </w:pPr>
      <w:r>
        <w:rPr>
          <w:rFonts w:hint="default" w:ascii="宋体" w:hAnsi="宋体" w:cs="宋体"/>
          <w:sz w:val="21"/>
          <w:szCs w:val="21"/>
          <w:lang w:val="en-US" w:eastAsia="zh-CN"/>
        </w:rPr>
        <w:t>地址：长春市解放大路2518号交通大厦</w:t>
      </w:r>
    </w:p>
    <w:p w14:paraId="324B948C">
      <w:pPr>
        <w:keepNext w:val="0"/>
        <w:keepLines w:val="0"/>
        <w:pageBreakBefore w:val="0"/>
        <w:widowControl w:val="0"/>
        <w:kinsoku/>
        <w:wordWrap/>
        <w:overflowPunct/>
        <w:topLinePunct w:val="0"/>
        <w:bidi w:val="0"/>
        <w:spacing w:line="480" w:lineRule="exact"/>
        <w:ind w:firstLine="420" w:firstLineChars="200"/>
        <w:textAlignment w:val="auto"/>
        <w:rPr>
          <w:rFonts w:hint="default" w:ascii="宋体" w:hAnsi="宋体" w:cs="宋体"/>
          <w:sz w:val="21"/>
          <w:szCs w:val="21"/>
          <w:lang w:val="en-US" w:eastAsia="zh-CN"/>
        </w:rPr>
      </w:pPr>
      <w:r>
        <w:rPr>
          <w:rFonts w:hint="default" w:ascii="宋体" w:hAnsi="宋体" w:cs="宋体"/>
          <w:sz w:val="21"/>
          <w:szCs w:val="21"/>
          <w:lang w:val="en-US" w:eastAsia="zh-CN"/>
        </w:rPr>
        <w:t>电话：0431-85097540</w:t>
      </w:r>
    </w:p>
    <w:p w14:paraId="00B2D2FF">
      <w:pPr>
        <w:autoSpaceDE w:val="0"/>
        <w:autoSpaceDN w:val="0"/>
        <w:adjustRightInd w:val="0"/>
        <w:spacing w:line="360" w:lineRule="auto"/>
        <w:ind w:firstLine="42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58DE0D17">
      <w:pPr>
        <w:pStyle w:val="3"/>
        <w:jc w:val="both"/>
        <w:rPr>
          <w:rFonts w:ascii="楷体" w:hAnsi="楷体" w:eastAsia="楷体"/>
          <w:sz w:val="21"/>
          <w:szCs w:val="21"/>
        </w:rPr>
      </w:pPr>
      <w:r>
        <w:rPr>
          <w:rStyle w:val="7"/>
          <w:rFonts w:ascii="楷体" w:hAnsi="楷体" w:eastAsia="楷体"/>
          <w:sz w:val="21"/>
          <w:szCs w:val="21"/>
        </w:rPr>
        <w:footnoteRef/>
      </w:r>
      <w:r>
        <w:rPr>
          <w:rFonts w:ascii="楷体" w:hAnsi="楷体" w:eastAsia="楷体"/>
          <w:sz w:val="21"/>
          <w:szCs w:val="21"/>
        </w:rPr>
        <w:t xml:space="preserve"> </w:t>
      </w:r>
      <w:r>
        <w:rPr>
          <w:rFonts w:hint="eastAsia" w:ascii="楷体" w:hAnsi="楷体" w:eastAsia="楷体"/>
          <w:sz w:val="21"/>
          <w:szCs w:val="21"/>
        </w:rPr>
        <w:t>a.“投标人须知前附表”用于进一步明确正文中的未尽事宜。凡“投标人须知前附表”对本章正文内容进行修改、完善和补充的，均以“投标人须知前附表”为准；未进行补充、完善、修改和说明的，以本章正文内容为准。</w:t>
      </w:r>
    </w:p>
    <w:p w14:paraId="36C2D6EA">
      <w:pPr>
        <w:pStyle w:val="3"/>
        <w:ind w:firstLine="210" w:firstLineChars="100"/>
        <w:jc w:val="both"/>
        <w:rPr>
          <w:rFonts w:ascii="楷体" w:hAnsi="楷体" w:eastAsia="楷体"/>
          <w:sz w:val="21"/>
          <w:szCs w:val="21"/>
        </w:rPr>
      </w:pPr>
      <w:r>
        <w:rPr>
          <w:rFonts w:hint="eastAsia" w:ascii="楷体" w:hAnsi="楷体" w:eastAsia="楷体"/>
          <w:sz w:val="21"/>
          <w:szCs w:val="21"/>
        </w:rPr>
        <w:t>b.“投标人须知前附表”中的附录表格同属“投标人须知前附表”内容，具有同等效力。</w:t>
      </w:r>
    </w:p>
  </w:footnote>
  <w:footnote w:id="1">
    <w:p w14:paraId="59F8A6C2">
      <w:pPr>
        <w:pStyle w:val="3"/>
        <w:jc w:val="both"/>
        <w:rPr>
          <w:rFonts w:ascii="楷体" w:hAnsi="楷体" w:eastAsia="楷体"/>
          <w:sz w:val="21"/>
          <w:szCs w:val="21"/>
        </w:rPr>
      </w:pPr>
      <w:r>
        <w:rPr>
          <w:rStyle w:val="7"/>
          <w:rFonts w:ascii="楷体" w:hAnsi="楷体" w:eastAsia="楷体"/>
          <w:sz w:val="21"/>
          <w:szCs w:val="21"/>
        </w:rPr>
        <w:footnoteRef/>
      </w:r>
      <w:r>
        <w:rPr>
          <w:rFonts w:ascii="楷体" w:hAnsi="楷体" w:eastAsia="楷体"/>
          <w:sz w:val="21"/>
          <w:szCs w:val="21"/>
        </w:rPr>
        <w:t xml:space="preserve"> </w:t>
      </w:r>
      <w:r>
        <w:rPr>
          <w:rFonts w:hint="eastAsia" w:ascii="楷体" w:hAnsi="楷体" w:eastAsia="楷体"/>
          <w:sz w:val="21"/>
          <w:szCs w:val="21"/>
        </w:rPr>
        <w:t>a.“投标人须知前附表”用于进一步明确正文中的未尽事宜。凡“投标人须知前附表”对本章正文内容进行修改、完善和补充的，均以“投标人须知前附表”为准；未进行补充、完善、修改和说明的，以本章正文内容为准。</w:t>
      </w:r>
    </w:p>
    <w:p w14:paraId="6E94D1F2">
      <w:pPr>
        <w:pStyle w:val="3"/>
        <w:ind w:firstLine="210" w:firstLineChars="100"/>
        <w:jc w:val="both"/>
        <w:rPr>
          <w:rFonts w:ascii="楷体" w:hAnsi="楷体" w:eastAsia="楷体"/>
          <w:sz w:val="21"/>
          <w:szCs w:val="21"/>
        </w:rPr>
      </w:pPr>
      <w:r>
        <w:rPr>
          <w:rFonts w:hint="eastAsia" w:ascii="楷体" w:hAnsi="楷体" w:eastAsia="楷体"/>
          <w:sz w:val="21"/>
          <w:szCs w:val="21"/>
        </w:rPr>
        <w:t>b.“投标人须知前附表”中的附录表格同属“投标人须知前附表”内容，具有同等效力。</w:t>
      </w:r>
    </w:p>
  </w:footnote>
  <w:footnote w:id="2">
    <w:p w14:paraId="2F16C35D">
      <w:pPr>
        <w:pStyle w:val="3"/>
        <w:jc w:val="both"/>
        <w:rPr>
          <w:rFonts w:ascii="楷体" w:hAnsi="楷体" w:eastAsia="楷体"/>
          <w:sz w:val="21"/>
          <w:szCs w:val="21"/>
        </w:rPr>
      </w:pPr>
      <w:r>
        <w:rPr>
          <w:rStyle w:val="7"/>
          <w:rFonts w:ascii="楷体" w:hAnsi="楷体" w:eastAsia="楷体"/>
          <w:sz w:val="21"/>
          <w:szCs w:val="21"/>
        </w:rPr>
        <w:footnoteRef/>
      </w:r>
      <w:r>
        <w:rPr>
          <w:rFonts w:hint="eastAsia" w:ascii="楷体" w:hAnsi="楷体" w:eastAsia="楷体"/>
          <w:sz w:val="21"/>
          <w:szCs w:val="21"/>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77CC2"/>
    <w:rsid w:val="0BDC4F75"/>
    <w:rsid w:val="1E0E6AAB"/>
    <w:rsid w:val="27463747"/>
    <w:rsid w:val="41C95125"/>
    <w:rsid w:val="47D70051"/>
    <w:rsid w:val="617F0202"/>
    <w:rsid w:val="71E82A49"/>
    <w:rsid w:val="79777CC2"/>
    <w:rsid w:val="79B5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note text"/>
    <w:basedOn w:val="1"/>
    <w:qFormat/>
    <w:uiPriority w:val="99"/>
    <w:pPr>
      <w:snapToGrid w:val="0"/>
      <w:jc w:val="left"/>
    </w:pPr>
    <w:rPr>
      <w:sz w:val="18"/>
      <w:szCs w:val="18"/>
    </w:rPr>
  </w:style>
  <w:style w:type="paragraph" w:styleId="4">
    <w:name w:val="Title"/>
    <w:basedOn w:val="1"/>
    <w:next w:val="1"/>
    <w:qFormat/>
    <w:uiPriority w:val="0"/>
    <w:pPr>
      <w:widowControl/>
      <w:spacing w:before="240" w:after="60"/>
      <w:jc w:val="center"/>
      <w:outlineLvl w:val="0"/>
    </w:pPr>
    <w:rPr>
      <w:rFonts w:ascii="Arial" w:hAnsi="Arial" w:cs="Arial"/>
      <w:b/>
      <w:bCs/>
      <w:kern w:val="0"/>
      <w:sz w:val="44"/>
      <w:szCs w:val="32"/>
    </w:rPr>
  </w:style>
  <w:style w:type="character" w:styleId="7">
    <w:name w:val="footnote reference"/>
    <w:qFormat/>
    <w:uiPriority w:val="99"/>
    <w:rPr>
      <w:vertAlign w:val="superscript"/>
    </w:rPr>
  </w:style>
  <w:style w:type="paragraph" w:customStyle="1" w:styleId="8">
    <w:name w:val="Table Text"/>
    <w:basedOn w:val="1"/>
    <w:semiHidden/>
    <w:qFormat/>
    <w:uiPriority w:val="0"/>
    <w:rPr>
      <w:rFonts w:ascii="宋体" w:hAnsi="宋体" w:eastAsia="宋体" w:cs="宋体"/>
      <w:sz w:val="20"/>
      <w:szCs w:val="20"/>
      <w:lang w:val="en-US" w:eastAsia="en-US" w:bidi="ar-SA"/>
    </w:rPr>
  </w:style>
  <w:style w:type="paragraph" w:styleId="9">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正文文本 (2)"/>
    <w:basedOn w:val="1"/>
    <w:qFormat/>
    <w:uiPriority w:val="0"/>
    <w:pPr>
      <w:shd w:val="clear" w:color="auto" w:fill="FFFFFF"/>
      <w:spacing w:before="300" w:line="439" w:lineRule="exact"/>
      <w:jc w:val="distribute"/>
    </w:pPr>
    <w:rPr>
      <w:rFonts w:ascii="Arial" w:hAnsi="Arial" w:cs="Cambria"/>
      <w:kern w:val="0"/>
      <w:sz w:val="22"/>
      <w:szCs w:val="22"/>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8514</Words>
  <Characters>9643</Characters>
  <Lines>0</Lines>
  <Paragraphs>0</Paragraphs>
  <TotalTime>0</TotalTime>
  <ScaleCrop>false</ScaleCrop>
  <LinksUpToDate>false</LinksUpToDate>
  <CharactersWithSpaces>9734</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2026-05-21T08:59:00Z</dcterms:created>
  <dc:creator>Administrator</dc:creator>
  <cp:lastModifiedBy>Y</cp:lastModifiedBy>
  <dcterms:modified xsi:type="dcterms:W3CDTF">2026-05-22T00:37:04Z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95BFB39F7472403689EFB33D11D437E7_11</vt:lpwstr>
  </property>
  <property fmtid="{D5CDD505-2E9C-101B-9397-08002B2CF9AE}" pid="4" name="KSOTemplateDocerSaveRecord">
    <vt:lpwstr>eyJoZGlkIjoiMTBjNjcxZWNmZTIwMjdkZmEyNjA0YzNhNTEzZGNkZjUiLCJ1c2VySWQiOiI5NzcwNDYzODkifQ==</vt:lpwstr>
  </property>
</Properties>
</file>