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64BA">
      <w:pPr>
        <w:widowControl/>
        <w:jc w:val="center"/>
        <w:rPr>
          <w:rFonts w:hint="eastAsia" w:ascii="宋体" w:hAnsi="宋体" w:eastAsia="宋体" w:cs="宋体"/>
          <w:sz w:val="32"/>
          <w:szCs w:val="32"/>
          <w:lang w:eastAsia="zh-CN"/>
        </w:rPr>
      </w:pPr>
      <w:r>
        <w:rPr>
          <w:rFonts w:hint="eastAsia" w:ascii="黑体" w:hAnsi="黑体" w:eastAsia="黑体" w:cs="Times New Roman"/>
          <w:bCs/>
          <w:color w:val="auto"/>
          <w:sz w:val="24"/>
          <w:szCs w:val="24"/>
          <w:lang w:eastAsia="zh-CN"/>
        </w:rPr>
        <w:t>吉林省202</w:t>
      </w:r>
      <w:r>
        <w:rPr>
          <w:rFonts w:hint="eastAsia" w:ascii="黑体" w:hAnsi="黑体" w:eastAsia="黑体" w:cs="Times New Roman"/>
          <w:bCs/>
          <w:color w:val="auto"/>
          <w:sz w:val="24"/>
          <w:szCs w:val="24"/>
          <w:lang w:val="en-US" w:eastAsia="zh-CN"/>
        </w:rPr>
        <w:t>6</w:t>
      </w:r>
      <w:r>
        <w:rPr>
          <w:rFonts w:hint="eastAsia" w:ascii="黑体" w:hAnsi="黑体" w:eastAsia="黑体" w:cs="Times New Roman"/>
          <w:bCs/>
          <w:color w:val="auto"/>
          <w:sz w:val="24"/>
          <w:szCs w:val="24"/>
          <w:lang w:eastAsia="zh-CN"/>
        </w:rPr>
        <w:t>年度高速公路养护工程施工招标</w:t>
      </w:r>
      <w:r>
        <w:rPr>
          <w:rFonts w:hint="eastAsia" w:ascii="黑体" w:hAnsi="黑体" w:eastAsia="黑体" w:cs="Times New Roman"/>
          <w:bCs/>
          <w:color w:val="auto"/>
          <w:sz w:val="24"/>
          <w:szCs w:val="24"/>
        </w:rPr>
        <w:t>文件关键内容</w:t>
      </w:r>
    </w:p>
    <w:p w14:paraId="1F48EBE8">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bookmarkStart w:id="0" w:name="_Toc184704554"/>
      <w:bookmarkStart w:id="1" w:name="_Toc106894303"/>
      <w:r>
        <w:rPr>
          <w:rFonts w:hint="eastAsia" w:cs="Times New Roman"/>
          <w:bCs/>
          <w:color w:val="auto"/>
          <w:sz w:val="18"/>
        </w:rPr>
        <w:t>一、项目概况与招标范围</w:t>
      </w:r>
      <w:bookmarkEnd w:id="0"/>
    </w:p>
    <w:p w14:paraId="4B8EE97D">
      <w:pPr>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cs="Times New Roman"/>
          <w:color w:val="auto"/>
          <w:sz w:val="18"/>
        </w:rPr>
      </w:pPr>
      <w:r>
        <w:rPr>
          <w:rFonts w:hint="eastAsia" w:cs="Times New Roman"/>
          <w:color w:val="auto"/>
          <w:sz w:val="18"/>
        </w:rPr>
        <w:t>详见招标公告。</w:t>
      </w:r>
    </w:p>
    <w:p w14:paraId="44A041D1">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r>
        <w:rPr>
          <w:rFonts w:hint="eastAsia" w:cs="Times New Roman"/>
          <w:bCs/>
          <w:color w:val="auto"/>
          <w:sz w:val="18"/>
        </w:rPr>
        <w:t>二、资格条件要求</w:t>
      </w:r>
    </w:p>
    <w:p w14:paraId="5309CDDC">
      <w:pPr>
        <w:adjustRightInd w:val="0"/>
        <w:snapToGrid w:val="0"/>
        <w:ind w:firstLine="361" w:firstLineChars="200"/>
        <w:jc w:val="center"/>
        <w:rPr>
          <w:rFonts w:cs="Times New Roman"/>
          <w:b/>
          <w:color w:val="auto"/>
          <w:sz w:val="18"/>
        </w:rPr>
      </w:pPr>
      <w:r>
        <w:rPr>
          <w:rFonts w:hint="eastAsia" w:cs="Times New Roman"/>
          <w:b/>
          <w:color w:val="auto"/>
          <w:sz w:val="18"/>
        </w:rPr>
        <w:t>投标人须知前附表（投标人资格要求部分）</w:t>
      </w:r>
    </w:p>
    <w:tbl>
      <w:tblPr>
        <w:tblStyle w:val="33"/>
        <w:tblW w:w="466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40"/>
        <w:gridCol w:w="3307"/>
        <w:gridCol w:w="4865"/>
      </w:tblGrid>
      <w:tr w14:paraId="7C0D9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9" w:hRule="atLeast"/>
          <w:jc w:val="center"/>
        </w:trPr>
        <w:tc>
          <w:tcPr>
            <w:tcW w:w="466" w:type="pct"/>
            <w:vAlign w:val="center"/>
          </w:tcPr>
          <w:p w14:paraId="38EDB5BE">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条款号</w:t>
            </w:r>
          </w:p>
        </w:tc>
        <w:tc>
          <w:tcPr>
            <w:tcW w:w="1834" w:type="pct"/>
            <w:vAlign w:val="center"/>
          </w:tcPr>
          <w:p w14:paraId="12620627">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 款 名 称</w:t>
            </w:r>
          </w:p>
        </w:tc>
        <w:tc>
          <w:tcPr>
            <w:tcW w:w="2698" w:type="pct"/>
            <w:vAlign w:val="center"/>
          </w:tcPr>
          <w:p w14:paraId="5592CE9F">
            <w:pPr>
              <w:adjustRightInd w:val="0"/>
              <w:snapToGrid w:val="0"/>
              <w:ind w:firstLine="181" w:firstLineChars="100"/>
              <w:rPr>
                <w:rFonts w:hint="eastAsia" w:ascii="宋体" w:hAnsi="宋体" w:eastAsia="宋体" w:cs="宋体"/>
                <w:color w:val="auto"/>
                <w:sz w:val="18"/>
                <w:szCs w:val="18"/>
              </w:rPr>
            </w:pPr>
            <w:r>
              <w:rPr>
                <w:rFonts w:hint="eastAsia" w:ascii="宋体" w:hAnsi="宋体" w:eastAsia="宋体" w:cs="宋体"/>
                <w:b/>
                <w:sz w:val="18"/>
                <w:szCs w:val="18"/>
              </w:rPr>
              <w:t>编 列 内 容</w:t>
            </w:r>
          </w:p>
        </w:tc>
      </w:tr>
      <w:tr w14:paraId="6D80A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9" w:hRule="atLeast"/>
          <w:jc w:val="center"/>
        </w:trPr>
        <w:tc>
          <w:tcPr>
            <w:tcW w:w="466" w:type="pct"/>
            <w:vAlign w:val="center"/>
          </w:tcPr>
          <w:p w14:paraId="3A2B5015">
            <w:pPr>
              <w:adjustRightInd w:val="0"/>
              <w:snapToGrid w:val="0"/>
              <w:jc w:val="center"/>
              <w:rPr>
                <w:rFonts w:hint="eastAsia" w:ascii="宋体" w:hAnsi="宋体" w:eastAsia="宋体" w:cs="宋体"/>
                <w:color w:val="auto"/>
                <w:sz w:val="18"/>
                <w:szCs w:val="18"/>
                <w:vertAlign w:val="superscript"/>
              </w:rPr>
            </w:pPr>
            <w:bookmarkStart w:id="2" w:name="_Hlk68005464"/>
            <w:r>
              <w:rPr>
                <w:rFonts w:hint="eastAsia" w:ascii="宋体" w:hAnsi="宋体" w:eastAsia="宋体" w:cs="宋体"/>
                <w:color w:val="auto"/>
                <w:sz w:val="18"/>
                <w:szCs w:val="18"/>
              </w:rPr>
              <w:t>1.4.1</w:t>
            </w:r>
            <w:r>
              <w:rPr>
                <w:rFonts w:hint="eastAsia" w:ascii="宋体" w:hAnsi="宋体" w:eastAsia="宋体" w:cs="宋体"/>
                <w:color w:val="auto"/>
                <w:sz w:val="18"/>
                <w:szCs w:val="18"/>
                <w:vertAlign w:val="superscript"/>
              </w:rPr>
              <w:t xml:space="preserve"> </w:t>
            </w:r>
          </w:p>
        </w:tc>
        <w:tc>
          <w:tcPr>
            <w:tcW w:w="1834" w:type="pct"/>
            <w:vAlign w:val="center"/>
          </w:tcPr>
          <w:p w14:paraId="2AAC0355">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投标人资质条件、能力和信誉</w:t>
            </w:r>
          </w:p>
        </w:tc>
        <w:tc>
          <w:tcPr>
            <w:tcW w:w="2698" w:type="pct"/>
            <w:vAlign w:val="center"/>
          </w:tcPr>
          <w:p w14:paraId="1514CD41">
            <w:pPr>
              <w:adjustRightInd w:val="0"/>
              <w:snapToGrid w:val="0"/>
              <w:ind w:firstLine="180" w:firstLineChars="100"/>
              <w:jc w:val="left"/>
              <w:rPr>
                <w:rFonts w:hint="eastAsia" w:ascii="宋体" w:hAnsi="宋体" w:eastAsia="宋体" w:cs="宋体"/>
                <w:color w:val="auto"/>
                <w:sz w:val="18"/>
                <w:szCs w:val="18"/>
              </w:rPr>
            </w:pPr>
            <w:r>
              <w:rPr>
                <w:rFonts w:hint="eastAsia" w:ascii="宋体" w:hAnsi="宋体" w:eastAsia="宋体" w:cs="宋体"/>
                <w:color w:val="auto"/>
                <w:sz w:val="18"/>
                <w:szCs w:val="18"/>
              </w:rPr>
              <w:t>见</w:t>
            </w:r>
            <w:r>
              <w:rPr>
                <w:rFonts w:hint="eastAsia" w:ascii="宋体" w:hAnsi="宋体" w:eastAsia="宋体" w:cs="宋体"/>
                <w:color w:val="auto"/>
                <w:sz w:val="18"/>
                <w:szCs w:val="18"/>
                <w:lang w:eastAsia="zh-CN"/>
              </w:rPr>
              <w:t>附录</w:t>
            </w:r>
            <w:r>
              <w:rPr>
                <w:rFonts w:hint="eastAsia" w:ascii="宋体" w:hAnsi="宋体" w:eastAsia="宋体" w:cs="宋体"/>
                <w:color w:val="auto"/>
                <w:sz w:val="18"/>
                <w:szCs w:val="18"/>
                <w:lang w:val="en-US" w:eastAsia="zh-CN"/>
              </w:rPr>
              <w:t>1-附录</w:t>
            </w:r>
            <w:r>
              <w:rPr>
                <w:rFonts w:hint="eastAsia" w:ascii="宋体" w:hAnsi="宋体" w:cs="宋体"/>
                <w:color w:val="auto"/>
                <w:sz w:val="18"/>
                <w:szCs w:val="18"/>
                <w:lang w:val="en-US" w:eastAsia="zh-CN"/>
              </w:rPr>
              <w:t>5</w:t>
            </w:r>
          </w:p>
        </w:tc>
      </w:tr>
      <w:bookmarkEnd w:id="1"/>
      <w:bookmarkEnd w:id="2"/>
    </w:tbl>
    <w:p w14:paraId="141B5C74">
      <w:pPr>
        <w:widowControl/>
        <w:ind w:firstLine="361" w:firstLineChars="200"/>
        <w:jc w:val="center"/>
        <w:rPr>
          <w:rFonts w:hint="eastAsia" w:ascii="宋体" w:hAnsi="宋体" w:eastAsia="宋体" w:cs="宋体"/>
          <w:b/>
          <w:bCs/>
          <w:sz w:val="18"/>
          <w:szCs w:val="18"/>
          <w:lang w:val="zh-CN"/>
        </w:rPr>
      </w:pPr>
      <w:bookmarkStart w:id="3" w:name="_Toc106894304"/>
    </w:p>
    <w:p w14:paraId="79A68F37">
      <w:pPr>
        <w:adjustRightInd w:val="0"/>
        <w:snapToGrid w:val="0"/>
        <w:ind w:firstLine="361" w:firstLineChars="200"/>
        <w:jc w:val="center"/>
        <w:rPr>
          <w:rFonts w:hint="eastAsia" w:ascii="Times New Roman" w:hAnsi="Times New Roman" w:eastAsia="宋体" w:cs="Times New Roman"/>
          <w:b/>
          <w:color w:val="auto"/>
          <w:sz w:val="18"/>
          <w:lang w:val="zh-CN"/>
        </w:rPr>
      </w:pPr>
      <w:r>
        <w:rPr>
          <w:rFonts w:hint="eastAsia" w:ascii="Times New Roman" w:hAnsi="Times New Roman" w:eastAsia="宋体" w:cs="Times New Roman"/>
          <w:b/>
          <w:color w:val="auto"/>
          <w:sz w:val="18"/>
          <w:lang w:val="zh-CN"/>
        </w:rPr>
        <w:t>附录1</w:t>
      </w:r>
      <w:r>
        <w:rPr>
          <w:rFonts w:hint="eastAsia" w:ascii="Times New Roman" w:hAnsi="Times New Roman" w:eastAsia="宋体" w:cs="Times New Roman"/>
          <w:b/>
          <w:color w:val="auto"/>
          <w:sz w:val="18"/>
          <w:lang w:val="en-US" w:eastAsia="zh-CN"/>
        </w:rPr>
        <w:t xml:space="preserve"> </w:t>
      </w:r>
      <w:r>
        <w:rPr>
          <w:rFonts w:hint="eastAsia" w:ascii="Times New Roman" w:hAnsi="Times New Roman" w:eastAsia="宋体" w:cs="Times New Roman"/>
          <w:b/>
          <w:color w:val="auto"/>
          <w:sz w:val="18"/>
          <w:lang w:val="zh-CN"/>
        </w:rPr>
        <w:t>资格审查条件（资质最低要求）</w:t>
      </w:r>
    </w:p>
    <w:tbl>
      <w:tblPr>
        <w:tblStyle w:val="33"/>
        <w:tblW w:w="462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14:paraId="1B100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000" w:type="pct"/>
            <w:vAlign w:val="center"/>
          </w:tcPr>
          <w:p w14:paraId="4444B63D">
            <w:pPr>
              <w:adjustRightInd w:val="0"/>
              <w:snapToGrid w:val="0"/>
              <w:spacing w:before="120" w:beforeLines="50"/>
              <w:jc w:val="center"/>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施工企业资质等级要求</w:t>
            </w:r>
          </w:p>
        </w:tc>
      </w:tr>
      <w:tr w14:paraId="1D5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000" w:type="pct"/>
            <w:vAlign w:val="center"/>
          </w:tcPr>
          <w:p w14:paraId="7BE6D674">
            <w:pPr>
              <w:adjustRightInd w:val="0"/>
              <w:snapToGrid w:val="0"/>
              <w:spacing w:before="120" w:beforeLines="50"/>
              <w:ind w:firstLine="360" w:firstLineChars="200"/>
              <w:jc w:val="left"/>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投标人须具备交通运输主管部门颁发的路基路面养护甲级资质、桥梁养护甲级资质、隧道养护甲级资质、交通安全设施养护资质（可以承担各等级公路交通安全设施的各类养护工程)、公路交通工程（公路机电工程分项）专业承包一级资质和建筑工程施工总承包三级资质。</w:t>
            </w:r>
          </w:p>
        </w:tc>
      </w:tr>
    </w:tbl>
    <w:p w14:paraId="3A12721D">
      <w:pPr>
        <w:bidi w:val="0"/>
        <w:rPr>
          <w:rFonts w:hint="eastAsia" w:ascii="宋体" w:hAnsi="宋体" w:eastAsia="宋体" w:cs="宋体"/>
          <w:sz w:val="18"/>
          <w:szCs w:val="18"/>
          <w:highlight w:val="none"/>
          <w:lang w:val="zh-CN"/>
        </w:rPr>
      </w:pPr>
    </w:p>
    <w:p w14:paraId="77CB7B03">
      <w:pPr>
        <w:widowControl/>
        <w:jc w:val="center"/>
        <w:rPr>
          <w:rFonts w:hint="eastAsia" w:ascii="宋体" w:hAnsi="宋体" w:eastAsia="宋体" w:cs="宋体"/>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2 </w:t>
      </w:r>
      <w:r>
        <w:rPr>
          <w:rFonts w:hint="eastAsia" w:ascii="宋体" w:hAnsi="宋体" w:eastAsia="宋体" w:cs="宋体"/>
          <w:b/>
          <w:bCs/>
          <w:sz w:val="18"/>
          <w:szCs w:val="18"/>
          <w:highlight w:val="none"/>
          <w:lang w:val="zh-CN"/>
        </w:rPr>
        <w:t>资格审查条件（财务最低要求）</w:t>
      </w:r>
    </w:p>
    <w:tbl>
      <w:tblPr>
        <w:tblStyle w:val="33"/>
        <w:tblW w:w="46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82"/>
      </w:tblGrid>
      <w:tr w14:paraId="57E83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000" w:type="pct"/>
            <w:vAlign w:val="center"/>
          </w:tcPr>
          <w:p w14:paraId="0866536B">
            <w:pPr>
              <w:pStyle w:val="107"/>
              <w:widowControl/>
              <w:shd w:val="clear" w:color="auto" w:fill="auto"/>
              <w:tabs>
                <w:tab w:val="left" w:leader="underscore" w:pos="2640"/>
              </w:tabs>
              <w:kinsoku w:val="0"/>
              <w:autoSpaceDE w:val="0"/>
              <w:autoSpaceDN w:val="0"/>
              <w:adjustRightInd w:val="0"/>
              <w:snapToGrid w:val="0"/>
              <w:spacing w:before="0" w:after="0" w:line="360" w:lineRule="exact"/>
              <w:ind w:firstLine="360" w:firstLineChars="200"/>
              <w:jc w:val="center"/>
              <w:textAlignment w:val="baseline"/>
              <w:rPr>
                <w:rFonts w:hint="eastAsia" w:ascii="宋体" w:hAnsi="宋体" w:eastAsia="宋体" w:cs="宋体"/>
                <w:color w:val="000000"/>
                <w:sz w:val="18"/>
                <w:szCs w:val="18"/>
                <w:highlight w:val="none"/>
                <w:lang w:bidi="ar"/>
              </w:rPr>
            </w:pPr>
            <w:r>
              <w:rPr>
                <w:rFonts w:hint="eastAsia" w:ascii="宋体" w:hAnsi="宋体" w:eastAsia="宋体" w:cs="宋体"/>
                <w:snapToGrid w:val="0"/>
                <w:color w:val="000000"/>
                <w:sz w:val="18"/>
                <w:szCs w:val="18"/>
                <w:highlight w:val="none"/>
                <w:lang w:val="en-US" w:eastAsia="zh-CN" w:bidi="ar"/>
              </w:rPr>
              <w:t>财务要求</w:t>
            </w:r>
          </w:p>
        </w:tc>
      </w:tr>
      <w:tr w14:paraId="59FA7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000" w:type="pct"/>
            <w:vAlign w:val="center"/>
          </w:tcPr>
          <w:p w14:paraId="2DA98C67">
            <w:pPr>
              <w:adjustRightInd w:val="0"/>
              <w:snapToGrid w:val="0"/>
              <w:spacing w:before="120" w:beforeLines="50"/>
              <w:ind w:firstLine="360" w:firstLineChars="200"/>
              <w:jc w:val="left"/>
              <w:rPr>
                <w:rFonts w:hint="eastAsia" w:ascii="宋体" w:hAnsi="宋体" w:eastAsia="宋体" w:cs="宋体"/>
                <w:color w:val="000000"/>
                <w:sz w:val="18"/>
                <w:szCs w:val="18"/>
                <w:highlight w:val="none"/>
                <w:lang w:bidi="ar"/>
              </w:rPr>
            </w:pPr>
            <w:r>
              <w:rPr>
                <w:rStyle w:val="123"/>
                <w:rFonts w:hint="eastAsia" w:ascii="宋体" w:hAnsi="宋体" w:eastAsia="宋体" w:cs="宋体"/>
                <w:color w:val="auto"/>
                <w:sz w:val="18"/>
                <w:szCs w:val="18"/>
                <w:highlight w:val="none"/>
                <w:lang w:val="en-US" w:eastAsia="zh-CN"/>
              </w:rPr>
              <w:t>投标人近三年（2023年～投标截止时间）应当具有良好的商业信誉和健全的财务会计制度（提供承诺书）；并提供2024年度投标人（如为联合体则为联合体牵头人）经会计师事务所或审计机构审计的财务会计报表，包括资产负债表、现金流量表、利润表，投标人无须提供其他资料。</w:t>
            </w:r>
          </w:p>
        </w:tc>
      </w:tr>
    </w:tbl>
    <w:p w14:paraId="50290961">
      <w:pPr>
        <w:bidi w:val="0"/>
        <w:rPr>
          <w:rFonts w:hint="eastAsia" w:ascii="宋体" w:hAnsi="宋体" w:eastAsia="宋体" w:cs="宋体"/>
          <w:sz w:val="18"/>
          <w:szCs w:val="18"/>
          <w:highlight w:val="none"/>
          <w:lang w:val="zh-CN"/>
        </w:rPr>
      </w:pPr>
    </w:p>
    <w:p w14:paraId="4EFBECAE">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3 </w:t>
      </w:r>
      <w:r>
        <w:rPr>
          <w:rFonts w:hint="eastAsia" w:ascii="宋体" w:hAnsi="宋体" w:eastAsia="宋体" w:cs="宋体"/>
          <w:b/>
          <w:bCs/>
          <w:sz w:val="18"/>
          <w:szCs w:val="18"/>
          <w:highlight w:val="none"/>
          <w:lang w:val="zh-CN"/>
        </w:rPr>
        <w:t>资格审查条件（业绩最低要求）</w:t>
      </w:r>
    </w:p>
    <w:tbl>
      <w:tblPr>
        <w:tblStyle w:val="33"/>
        <w:tblW w:w="45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1"/>
      </w:tblGrid>
      <w:tr w14:paraId="7E2D1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85" w:type="dxa"/>
            <w:vAlign w:val="center"/>
          </w:tcPr>
          <w:p w14:paraId="4CB36826">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业绩要求</w:t>
            </w:r>
          </w:p>
        </w:tc>
      </w:tr>
      <w:tr w14:paraId="0EF23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585" w:type="dxa"/>
            <w:shd w:val="clear" w:color="auto" w:fill="auto"/>
            <w:vAlign w:val="center"/>
          </w:tcPr>
          <w:p w14:paraId="5E0763AB">
            <w:pPr>
              <w:adjustRightInd w:val="0"/>
              <w:snapToGrid w:val="0"/>
              <w:spacing w:before="120" w:beforeLines="50"/>
              <w:ind w:firstLine="360" w:firstLineChars="200"/>
              <w:jc w:val="left"/>
              <w:rPr>
                <w:rFonts w:hint="eastAsia" w:ascii="宋体" w:hAnsi="宋体" w:eastAsia="宋体" w:cs="宋体"/>
                <w:color w:val="000000"/>
                <w:sz w:val="18"/>
                <w:szCs w:val="18"/>
                <w:highlight w:val="none"/>
              </w:rPr>
            </w:pPr>
            <w:r>
              <w:rPr>
                <w:rStyle w:val="123"/>
                <w:rFonts w:hint="eastAsia" w:ascii="宋体" w:hAnsi="宋体" w:eastAsia="宋体" w:cs="宋体"/>
                <w:color w:val="auto"/>
                <w:sz w:val="18"/>
                <w:szCs w:val="18"/>
                <w:highlight w:val="none"/>
                <w:lang w:val="en-US" w:eastAsia="zh-CN"/>
              </w:rPr>
              <w:t>投标人（如为联合体则为联合体所有成员）2021年1月1日后（以交工或竣工时间为准），累计完成高速公路养护工程施工业绩单幅里程50公里（如是双幅按2倍长度计算），并在人员、设备、资金等方面具备相应的施工能力。</w:t>
            </w:r>
            <w:r>
              <w:rPr>
                <w:rFonts w:hint="eastAsia" w:ascii="楷体" w:hAnsi="楷体" w:eastAsia="楷体" w:cs="楷体"/>
                <w:color w:val="auto"/>
                <w:sz w:val="18"/>
                <w:szCs w:val="18"/>
                <w:highlight w:val="none"/>
                <w:lang w:val="en-US" w:eastAsia="zh-CN"/>
              </w:rPr>
              <w:t>注：以联合体形式投标的，按所有联合体成员业绩计算。</w:t>
            </w:r>
          </w:p>
        </w:tc>
      </w:tr>
    </w:tbl>
    <w:p w14:paraId="6B3F3237">
      <w:pPr>
        <w:bidi w:val="0"/>
        <w:rPr>
          <w:rFonts w:hint="eastAsia" w:ascii="宋体" w:hAnsi="宋体" w:eastAsia="宋体" w:cs="宋体"/>
          <w:sz w:val="18"/>
          <w:szCs w:val="18"/>
          <w:highlight w:val="none"/>
          <w:lang w:val="zh-CN"/>
        </w:rPr>
      </w:pPr>
    </w:p>
    <w:p w14:paraId="0AE80643">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4 </w:t>
      </w:r>
      <w:r>
        <w:rPr>
          <w:rFonts w:hint="eastAsia" w:ascii="宋体" w:hAnsi="宋体" w:eastAsia="宋体" w:cs="宋体"/>
          <w:b/>
          <w:bCs/>
          <w:sz w:val="18"/>
          <w:szCs w:val="18"/>
          <w:highlight w:val="none"/>
          <w:lang w:val="zh-CN"/>
        </w:rPr>
        <w:t>资格审查条件（信誉最低要求）</w:t>
      </w:r>
    </w:p>
    <w:tbl>
      <w:tblPr>
        <w:tblStyle w:val="33"/>
        <w:tblW w:w="4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6A81E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000" w:type="pct"/>
            <w:vAlign w:val="center"/>
          </w:tcPr>
          <w:p w14:paraId="16BC199C">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信誉要求</w:t>
            </w:r>
          </w:p>
        </w:tc>
      </w:tr>
      <w:tr w14:paraId="65AEC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00" w:type="pct"/>
            <w:vAlign w:val="center"/>
          </w:tcPr>
          <w:p w14:paraId="5D96C3B0">
            <w:pPr>
              <w:adjustRightInd w:val="0"/>
              <w:snapToGrid w:val="0"/>
              <w:spacing w:before="120" w:beforeLines="50"/>
              <w:ind w:firstLine="360" w:firstLineChars="200"/>
              <w:jc w:val="left"/>
              <w:rPr>
                <w:rFonts w:hint="eastAsia" w:ascii="宋体" w:hAnsi="宋体" w:eastAsia="宋体" w:cs="宋体"/>
                <w:color w:val="000000"/>
                <w:kern w:val="0"/>
                <w:sz w:val="18"/>
                <w:szCs w:val="18"/>
                <w:highlight w:val="none"/>
                <w:lang w:bidi="ar"/>
              </w:rPr>
            </w:pPr>
            <w:r>
              <w:rPr>
                <w:rStyle w:val="123"/>
                <w:rFonts w:hint="eastAsia" w:ascii="宋体" w:hAnsi="宋体" w:eastAsia="宋体" w:cs="宋体"/>
                <w:color w:val="auto"/>
                <w:sz w:val="18"/>
                <w:szCs w:val="18"/>
                <w:highlight w:val="none"/>
                <w:lang w:val="en-US" w:eastAsia="zh-CN"/>
              </w:rPr>
              <w:t>/</w:t>
            </w:r>
          </w:p>
        </w:tc>
      </w:tr>
    </w:tbl>
    <w:p w14:paraId="4A3B4B3C">
      <w:pPr>
        <w:bidi w:val="0"/>
        <w:rPr>
          <w:rFonts w:hint="eastAsia" w:ascii="宋体" w:hAnsi="宋体" w:eastAsia="宋体" w:cs="宋体"/>
          <w:sz w:val="18"/>
          <w:szCs w:val="18"/>
          <w:highlight w:val="none"/>
          <w:lang w:val="zh-CN"/>
        </w:rPr>
      </w:pPr>
    </w:p>
    <w:p w14:paraId="7C9701DA">
      <w:pPr>
        <w:pStyle w:val="6"/>
        <w:tabs>
          <w:tab w:val="left" w:pos="315"/>
        </w:tabs>
        <w:adjustRightInd w:val="0"/>
        <w:snapToGrid w:val="0"/>
        <w:spacing w:beforeLines="50" w:after="0"/>
        <w:ind w:firstLine="181" w:firstLineChars="100"/>
        <w:jc w:val="center"/>
        <w:rPr>
          <w:rFonts w:ascii="黑体" w:hAnsi="黑体"/>
          <w:color w:val="auto"/>
          <w:sz w:val="30"/>
          <w:szCs w:val="30"/>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5 </w:t>
      </w:r>
      <w:r>
        <w:rPr>
          <w:rFonts w:hint="eastAsia" w:ascii="宋体" w:hAnsi="宋体" w:eastAsia="宋体" w:cs="宋体"/>
          <w:b/>
          <w:bCs/>
          <w:sz w:val="18"/>
          <w:szCs w:val="18"/>
          <w:highlight w:val="none"/>
          <w:lang w:val="zh-CN"/>
        </w:rPr>
        <w:t>资格审查条件（项目经理和项目总工最低要求）</w:t>
      </w:r>
    </w:p>
    <w:tbl>
      <w:tblPr>
        <w:tblStyle w:val="33"/>
        <w:tblW w:w="460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735"/>
        <w:gridCol w:w="7550"/>
      </w:tblGrid>
      <w:tr w14:paraId="3FFEA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38" w:type="pct"/>
            <w:vAlign w:val="center"/>
          </w:tcPr>
          <w:p w14:paraId="153C9B41">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人员</w:t>
            </w:r>
          </w:p>
        </w:tc>
        <w:tc>
          <w:tcPr>
            <w:tcW w:w="404" w:type="pct"/>
            <w:vAlign w:val="center"/>
          </w:tcPr>
          <w:p w14:paraId="0AF192FE">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数量</w:t>
            </w:r>
          </w:p>
        </w:tc>
        <w:tc>
          <w:tcPr>
            <w:tcW w:w="4156" w:type="pct"/>
            <w:vAlign w:val="center"/>
          </w:tcPr>
          <w:p w14:paraId="6C2BFF78">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资格最低要求</w:t>
            </w:r>
          </w:p>
        </w:tc>
      </w:tr>
      <w:tr w14:paraId="51871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438" w:type="pct"/>
            <w:vAlign w:val="center"/>
          </w:tcPr>
          <w:p w14:paraId="39CEAAAB">
            <w:pPr>
              <w:keepNext w:val="0"/>
              <w:keepLines w:val="0"/>
              <w:pageBreakBefore w:val="0"/>
              <w:widowControl w:val="0"/>
              <w:kinsoku/>
              <w:wordWrap/>
              <w:overflowPunct/>
              <w:topLinePunct w:val="0"/>
              <w:autoSpaceDE/>
              <w:autoSpaceDN/>
              <w:bidi w:val="0"/>
              <w:adjustRightInd w:val="0"/>
              <w:snapToGrid w:val="0"/>
              <w:spacing w:before="120" w:beforeLines="50" w:line="240" w:lineRule="exact"/>
              <w:jc w:val="center"/>
              <w:textAlignment w:val="auto"/>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项目</w:t>
            </w:r>
          </w:p>
          <w:p w14:paraId="2CCFC727">
            <w:pPr>
              <w:keepNext w:val="0"/>
              <w:keepLines w:val="0"/>
              <w:pageBreakBefore w:val="0"/>
              <w:widowControl w:val="0"/>
              <w:kinsoku/>
              <w:wordWrap/>
              <w:overflowPunct/>
              <w:topLinePunct w:val="0"/>
              <w:autoSpaceDE/>
              <w:autoSpaceDN/>
              <w:bidi w:val="0"/>
              <w:adjustRightInd w:val="0"/>
              <w:snapToGrid w:val="0"/>
              <w:spacing w:before="120" w:beforeLines="50" w:line="240" w:lineRule="exact"/>
              <w:jc w:val="center"/>
              <w:textAlignment w:val="auto"/>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经理</w:t>
            </w:r>
          </w:p>
        </w:tc>
        <w:tc>
          <w:tcPr>
            <w:tcW w:w="404" w:type="pct"/>
            <w:vAlign w:val="center"/>
          </w:tcPr>
          <w:p w14:paraId="0AE57706">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1</w:t>
            </w:r>
          </w:p>
        </w:tc>
        <w:tc>
          <w:tcPr>
            <w:tcW w:w="4156" w:type="pct"/>
            <w:vAlign w:val="center"/>
          </w:tcPr>
          <w:p w14:paraId="26D97090">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（1）投标人（如为联合体则为联合体牵头人）自有人员；</w:t>
            </w:r>
          </w:p>
          <w:p w14:paraId="399032C6">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（2）具有公路工程相关专业高级技术职称；</w:t>
            </w:r>
          </w:p>
          <w:p w14:paraId="08605999">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（3）具有建设行政主管部门颁发的“公路工程”专业《一级建造师电子注册证书》，且现注册单位为投标人；</w:t>
            </w:r>
          </w:p>
          <w:p w14:paraId="674CAC2B">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（4）具有交通运输主管部门颁发的有效的B类安全生产考核合格证书；</w:t>
            </w:r>
          </w:p>
          <w:p w14:paraId="2425A2EF">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（5）无在岗项目(指目前未在其他项目上任职，或虽在其他项目上任职但本项目中标后能够从该项目撤离)。</w:t>
            </w:r>
          </w:p>
          <w:p w14:paraId="449A9F13">
            <w:pPr>
              <w:adjustRightInd w:val="0"/>
              <w:snapToGrid w:val="0"/>
              <w:spacing w:before="120" w:beforeLines="50"/>
              <w:jc w:val="left"/>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注：①项目经理和项目总工不得互相兼职。</w:t>
            </w:r>
          </w:p>
          <w:p w14:paraId="7C3CE89B">
            <w:pPr>
              <w:adjustRightInd w:val="0"/>
              <w:snapToGrid w:val="0"/>
              <w:spacing w:before="120" w:beforeLines="50"/>
              <w:ind w:firstLine="360" w:firstLineChars="200"/>
              <w:jc w:val="left"/>
              <w:rPr>
                <w:rStyle w:val="123"/>
                <w:rFonts w:hint="eastAsia" w:ascii="宋体" w:hAnsi="宋体" w:eastAsia="宋体" w:cs="宋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②“投标人自有人员”指投标人为其申报社会保险登记，并为其缴纳社会保险费的人员。</w:t>
            </w:r>
          </w:p>
        </w:tc>
      </w:tr>
      <w:tr w14:paraId="36638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438" w:type="pct"/>
            <w:vAlign w:val="center"/>
          </w:tcPr>
          <w:p w14:paraId="27B31715">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项目</w:t>
            </w:r>
          </w:p>
          <w:p w14:paraId="7FF6114D">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总工</w:t>
            </w:r>
          </w:p>
        </w:tc>
        <w:tc>
          <w:tcPr>
            <w:tcW w:w="404" w:type="pct"/>
            <w:vAlign w:val="center"/>
          </w:tcPr>
          <w:p w14:paraId="378F8656">
            <w:pPr>
              <w:adjustRightInd w:val="0"/>
              <w:snapToGrid w:val="0"/>
              <w:spacing w:before="120" w:beforeLines="50"/>
              <w:jc w:val="center"/>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1</w:t>
            </w:r>
          </w:p>
        </w:tc>
        <w:tc>
          <w:tcPr>
            <w:tcW w:w="4156" w:type="pct"/>
            <w:vAlign w:val="center"/>
          </w:tcPr>
          <w:p w14:paraId="75F6C681">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（1）投标人（如为联合体则为联合体牵头人）自有人员；</w:t>
            </w:r>
          </w:p>
          <w:p w14:paraId="593A28DD">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（2）具有公路工程相关专业高级技术职称；</w:t>
            </w:r>
          </w:p>
          <w:p w14:paraId="13CA4F41">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（3）无在岗项目(指目前未在其他项目上任职，或虽在其他项目上任职但本项目中标后能够从该项目撤离)。</w:t>
            </w:r>
          </w:p>
          <w:p w14:paraId="347FF3B4">
            <w:pPr>
              <w:adjustRightInd w:val="0"/>
              <w:snapToGrid w:val="0"/>
              <w:spacing w:before="120" w:beforeLines="50"/>
              <w:jc w:val="left"/>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注：①项目经理和项目总工不得互相兼职。</w:t>
            </w:r>
          </w:p>
          <w:p w14:paraId="5CCA5062">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②“投标人自有人员”指投标人为其申报社会保险登记，并为其缴纳社会保险费的人员。</w:t>
            </w:r>
          </w:p>
        </w:tc>
      </w:tr>
    </w:tbl>
    <w:p w14:paraId="61D7257D">
      <w:pPr>
        <w:jc w:val="center"/>
        <w:rPr>
          <w:rFonts w:hint="eastAsia" w:ascii="黑体" w:hAnsi="Calibri" w:eastAsia="黑体" w:cs="Times New Roman"/>
          <w:bCs/>
          <w:color w:val="auto"/>
          <w:kern w:val="44"/>
          <w:sz w:val="18"/>
        </w:rPr>
      </w:pPr>
      <w:bookmarkStart w:id="4" w:name="bookmark8"/>
      <w:bookmarkEnd w:id="4"/>
      <w:bookmarkStart w:id="5" w:name="bookmark7"/>
      <w:bookmarkEnd w:id="5"/>
    </w:p>
    <w:p w14:paraId="78C2D155">
      <w:pPr>
        <w:jc w:val="center"/>
        <w:rPr>
          <w:rFonts w:ascii="黑体" w:hAnsi="Calibri" w:eastAsia="黑体" w:cs="Times New Roman"/>
          <w:bCs/>
          <w:color w:val="auto"/>
          <w:kern w:val="44"/>
          <w:sz w:val="18"/>
        </w:rPr>
      </w:pPr>
      <w:r>
        <w:rPr>
          <w:rFonts w:hint="eastAsia" w:ascii="黑体" w:hAnsi="Calibri" w:eastAsia="黑体" w:cs="Times New Roman"/>
          <w:bCs/>
          <w:color w:val="auto"/>
          <w:kern w:val="44"/>
          <w:sz w:val="18"/>
        </w:rPr>
        <w:t>评标办法（综合评估法）</w:t>
      </w:r>
    </w:p>
    <w:p w14:paraId="030B5ABC">
      <w:pPr>
        <w:widowControl/>
        <w:spacing w:line="360" w:lineRule="auto"/>
        <w:ind w:firstLine="360" w:firstLineChars="200"/>
        <w:rPr>
          <w:rFonts w:ascii="黑体" w:hAnsi="黑体" w:eastAsia="黑体" w:cs="Times New Roman"/>
          <w:bCs/>
          <w:color w:val="auto"/>
          <w:kern w:val="0"/>
          <w:sz w:val="18"/>
        </w:rPr>
      </w:pPr>
      <w:bookmarkStart w:id="6" w:name="_Toc64810268"/>
      <w:r>
        <w:rPr>
          <w:rFonts w:ascii="黑体" w:hAnsi="黑体" w:eastAsia="黑体" w:cs="Times New Roman"/>
          <w:bCs/>
          <w:color w:val="auto"/>
          <w:kern w:val="0"/>
          <w:sz w:val="18"/>
        </w:rPr>
        <w:t>评标办法前附表</w:t>
      </w:r>
      <w:r>
        <w:rPr>
          <w:rFonts w:cs="Times New Roman"/>
          <w:bCs/>
          <w:color w:val="auto"/>
          <w:kern w:val="0"/>
          <w:sz w:val="18"/>
          <w:vertAlign w:val="superscript"/>
        </w:rPr>
        <w:footnoteReference w:id="0"/>
      </w:r>
      <w:bookmarkEnd w:id="3"/>
      <w:bookmarkEnd w:id="6"/>
    </w:p>
    <w:tbl>
      <w:tblPr>
        <w:tblStyle w:val="33"/>
        <w:tblW w:w="9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6984"/>
      </w:tblGrid>
      <w:tr w14:paraId="52E3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blHeader/>
          <w:jc w:val="center"/>
        </w:trPr>
        <w:tc>
          <w:tcPr>
            <w:tcW w:w="2245" w:type="dxa"/>
            <w:gridSpan w:val="2"/>
            <w:shd w:val="clear" w:color="auto" w:fill="auto"/>
            <w:vAlign w:val="center"/>
          </w:tcPr>
          <w:p w14:paraId="0C5C7A42">
            <w:pPr>
              <w:autoSpaceDE w:val="0"/>
              <w:autoSpaceDN w:val="0"/>
              <w:adjustRightInd w:val="0"/>
              <w:snapToGrid w:val="0"/>
              <w:spacing w:line="30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条款号</w:t>
            </w:r>
          </w:p>
        </w:tc>
        <w:tc>
          <w:tcPr>
            <w:tcW w:w="6984" w:type="dxa"/>
            <w:shd w:val="clear" w:color="auto" w:fill="auto"/>
            <w:vAlign w:val="center"/>
          </w:tcPr>
          <w:p w14:paraId="5EA4C190">
            <w:pPr>
              <w:autoSpaceDE w:val="0"/>
              <w:autoSpaceDN w:val="0"/>
              <w:adjustRightInd w:val="0"/>
              <w:snapToGrid w:val="0"/>
              <w:spacing w:line="30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评审因素与评审标准</w:t>
            </w:r>
          </w:p>
        </w:tc>
      </w:tr>
      <w:tr w14:paraId="03C3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1" w:hRule="atLeast"/>
          <w:tblHeader/>
          <w:jc w:val="center"/>
        </w:trPr>
        <w:tc>
          <w:tcPr>
            <w:tcW w:w="856" w:type="dxa"/>
            <w:shd w:val="clear" w:color="auto" w:fill="auto"/>
            <w:vAlign w:val="center"/>
          </w:tcPr>
          <w:p w14:paraId="56AEE872">
            <w:pPr>
              <w:autoSpaceDE w:val="0"/>
              <w:autoSpaceDN w:val="0"/>
              <w:adjustRightInd w:val="0"/>
              <w:snapToGrid w:val="0"/>
              <w:spacing w:line="30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389" w:type="dxa"/>
            <w:shd w:val="clear" w:color="auto" w:fill="auto"/>
            <w:vAlign w:val="center"/>
          </w:tcPr>
          <w:p w14:paraId="59E01EC8">
            <w:pPr>
              <w:adjustRightInd w:val="0"/>
              <w:snapToGrid w:val="0"/>
              <w:spacing w:line="30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评标方法</w:t>
            </w:r>
          </w:p>
        </w:tc>
        <w:tc>
          <w:tcPr>
            <w:tcW w:w="6984" w:type="dxa"/>
            <w:shd w:val="clear" w:color="auto" w:fill="auto"/>
            <w:vAlign w:val="center"/>
          </w:tcPr>
          <w:p w14:paraId="2BCBFE7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60" w:firstLineChars="20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本次评标采用综合评分法（施工组织设计采用“盲评”方式），即投标文件的商务部分按招标文件要求进行评分，技术部分采用“暗标”形式，公共资源交易一体化平台评标系统将所有投标人的技术标随机排序。评标专家在不知晓投标人信息的情况下进行评审，由系统自动汇总评审情况，按程序确定中标候选人。</w:t>
            </w:r>
          </w:p>
          <w:p w14:paraId="7FC270E0">
            <w:pPr>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综合评分相等时，评标委员会依次按照以下优先顺序推荐中标候选人：</w:t>
            </w:r>
          </w:p>
          <w:p w14:paraId="509EC0B7">
            <w:pPr>
              <w:numPr>
                <w:ilvl w:val="0"/>
                <w:numId w:val="0"/>
              </w:num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rPr>
              <w:t>评标价低的投标人优先；</w:t>
            </w:r>
          </w:p>
          <w:p w14:paraId="6F40DFC3">
            <w:pPr>
              <w:numPr>
                <w:ilvl w:val="0"/>
                <w:numId w:val="0"/>
              </w:numPr>
              <w:spacing w:line="360" w:lineRule="auto"/>
              <w:ind w:firstLine="180" w:firstLineChars="1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（2）主要人员得分高的投标人优先。</w:t>
            </w:r>
          </w:p>
          <w:p w14:paraId="525A8987">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若以上均相等，则由评标委员会表决确定其排序先后。</w:t>
            </w:r>
          </w:p>
        </w:tc>
      </w:tr>
      <w:tr w14:paraId="6136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3" w:hRule="atLeast"/>
          <w:tblHeader/>
          <w:jc w:val="center"/>
        </w:trPr>
        <w:tc>
          <w:tcPr>
            <w:tcW w:w="856" w:type="dxa"/>
            <w:shd w:val="clear" w:color="auto" w:fill="auto"/>
            <w:vAlign w:val="center"/>
          </w:tcPr>
          <w:p w14:paraId="0A72D7E4">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2.1.1</w:t>
            </w:r>
          </w:p>
          <w:p w14:paraId="1EFDD051">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2.1.3</w:t>
            </w:r>
          </w:p>
        </w:tc>
        <w:tc>
          <w:tcPr>
            <w:tcW w:w="1389" w:type="dxa"/>
            <w:shd w:val="clear" w:color="auto" w:fill="auto"/>
            <w:vAlign w:val="center"/>
          </w:tcPr>
          <w:p w14:paraId="30F6C147">
            <w:pPr>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形式评审与</w:t>
            </w:r>
          </w:p>
          <w:p w14:paraId="4B9A9CCE">
            <w:pPr>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响应性评审</w:t>
            </w:r>
          </w:p>
          <w:p w14:paraId="33811EF4">
            <w:pPr>
              <w:adjustRightInd w:val="0"/>
              <w:snapToGrid w:val="0"/>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c>
          <w:tcPr>
            <w:tcW w:w="6984" w:type="dxa"/>
            <w:shd w:val="clear" w:color="auto" w:fill="auto"/>
            <w:vAlign w:val="center"/>
          </w:tcPr>
          <w:p w14:paraId="3D14BD03">
            <w:pPr>
              <w:spacing w:beforeLines="50" w:line="360" w:lineRule="auto"/>
              <w:ind w:firstLine="180" w:firstLineChars="10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第一个信封（商务文件）评审标准：</w:t>
            </w:r>
          </w:p>
          <w:p w14:paraId="7370C739">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（1）投标文件按照招标文件规定的格式、内容填写，字迹清晰可辨：</w:t>
            </w:r>
          </w:p>
          <w:p w14:paraId="231B52F0">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a.投标函按招标文件规定填报了项目名称、标段号、补遗书编号（如有）、工期、工程质量要求及安全目标；</w:t>
            </w:r>
          </w:p>
          <w:p w14:paraId="6BD6EFDA">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b.投标函附录的所有数据均符合招标文件规定；</w:t>
            </w:r>
          </w:p>
          <w:p w14:paraId="06FD0526">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c.投标文件组成齐全完整，内容均按规定填写。 </w:t>
            </w:r>
          </w:p>
          <w:p w14:paraId="54F059FC">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（2）投标文件上法定代表人或其委托代理人的签字、投标人的单位章盖章齐全，符合招标文件规定。</w:t>
            </w:r>
          </w:p>
          <w:p w14:paraId="7A390E77">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（3）投标人按照招标文件的规定提供了投标保证金：</w:t>
            </w:r>
          </w:p>
          <w:p w14:paraId="7233B758">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a.投标保证金金额符合招标文件规定的金额，且投标保证金有效期不少于投标有效期；</w:t>
            </w:r>
          </w:p>
          <w:p w14:paraId="28061A27">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b.若投标保证金采用</w:t>
            </w:r>
            <w:r>
              <w:rPr>
                <w:rFonts w:hint="eastAsia" w:ascii="宋体" w:hAnsi="宋体" w:eastAsia="宋体" w:cs="宋体"/>
                <w:color w:val="auto"/>
                <w:kern w:val="0"/>
                <w:sz w:val="18"/>
                <w:szCs w:val="18"/>
                <w:highlight w:val="none"/>
                <w:lang w:val="en-US" w:eastAsia="zh-CN"/>
              </w:rPr>
              <w:t>现金或支票形式</w:t>
            </w:r>
            <w:r>
              <w:rPr>
                <w:rFonts w:hint="eastAsia" w:ascii="宋体" w:hAnsi="宋体" w:eastAsia="宋体" w:cs="宋体"/>
                <w:color w:val="auto"/>
                <w:sz w:val="18"/>
                <w:szCs w:val="18"/>
                <w:highlight w:val="none"/>
              </w:rPr>
              <w:t>提交，投标人应在招标文件规定的截止时间之前，将投标保证金一次性由投标人的基本账户转入招标人指定账户；</w:t>
            </w:r>
          </w:p>
          <w:p w14:paraId="730DA877">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c.若投标保证金采用保函</w:t>
            </w:r>
            <w:r>
              <w:rPr>
                <w:rFonts w:hint="eastAsia" w:ascii="宋体" w:hAnsi="宋体" w:eastAsia="宋体" w:cs="宋体"/>
                <w:color w:val="auto"/>
                <w:sz w:val="18"/>
                <w:szCs w:val="18"/>
                <w:highlight w:val="none"/>
                <w:lang w:val="en-US" w:eastAsia="zh-CN"/>
              </w:rPr>
              <w:t>或保单</w:t>
            </w:r>
            <w:r>
              <w:rPr>
                <w:rFonts w:hint="eastAsia" w:ascii="宋体" w:hAnsi="宋体" w:eastAsia="宋体" w:cs="宋体"/>
                <w:color w:val="auto"/>
                <w:sz w:val="18"/>
                <w:szCs w:val="18"/>
                <w:highlight w:val="none"/>
              </w:rPr>
              <w:t>形式提交，满足招标文件要求。</w:t>
            </w:r>
          </w:p>
          <w:p w14:paraId="63FF27B1">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（4）投标人法定代表人授权委托代理人签署投标文件的，须提交授权委托书，授权委托书符合招标文件规定。</w:t>
            </w:r>
          </w:p>
          <w:p w14:paraId="032431B9">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（5）投标人法定代表人亲自签署投标文件的，提供了法定代表人身份证明，法定代表人身份证明符合招标文件规定。</w:t>
            </w:r>
          </w:p>
          <w:p w14:paraId="7EE3EF71">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（6）投标人以联合体形式投标时，联合体满足招标文件的要求：投标人按照招标文件提供的格式签订了联合体协议书，明确各方承担连带责任，并明确了联合体牵头人。</w:t>
            </w:r>
          </w:p>
          <w:p w14:paraId="5F40FFB1">
            <w:pPr>
              <w:spacing w:line="360" w:lineRule="exact"/>
              <w:ind w:firstLine="180" w:firstLineChars="1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投标人分包情况符合招标文件规定。</w:t>
            </w:r>
          </w:p>
          <w:p w14:paraId="76645A37">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同一投标人未提交两个以上不同的投标文件。</w:t>
            </w:r>
          </w:p>
        </w:tc>
      </w:tr>
      <w:tr w14:paraId="2898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4" w:hRule="atLeast"/>
          <w:tblHeader/>
          <w:jc w:val="center"/>
        </w:trPr>
        <w:tc>
          <w:tcPr>
            <w:tcW w:w="856" w:type="dxa"/>
            <w:shd w:val="clear" w:color="auto" w:fill="auto"/>
            <w:vAlign w:val="center"/>
          </w:tcPr>
          <w:p w14:paraId="70F65C77">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2.1.1</w:t>
            </w:r>
          </w:p>
          <w:p w14:paraId="5033E1F1">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2.1.3</w:t>
            </w:r>
          </w:p>
        </w:tc>
        <w:tc>
          <w:tcPr>
            <w:tcW w:w="1389" w:type="dxa"/>
            <w:shd w:val="clear" w:color="auto" w:fill="auto"/>
            <w:vAlign w:val="center"/>
          </w:tcPr>
          <w:p w14:paraId="14A676AA">
            <w:pPr>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形式评审与</w:t>
            </w:r>
          </w:p>
          <w:p w14:paraId="0901B283">
            <w:pPr>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响应性评审</w:t>
            </w:r>
          </w:p>
          <w:p w14:paraId="489E0A51">
            <w:pPr>
              <w:adjustRightInd w:val="0"/>
              <w:snapToGrid w:val="0"/>
              <w:spacing w:line="36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c>
          <w:tcPr>
            <w:tcW w:w="6984" w:type="dxa"/>
            <w:shd w:val="clear" w:color="auto" w:fill="auto"/>
            <w:vAlign w:val="center"/>
          </w:tcPr>
          <w:p w14:paraId="3AAD6CF9">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）投标文件中未出现有关投标报价的内容。</w:t>
            </w:r>
          </w:p>
          <w:p w14:paraId="7B9A4459">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）投标文件载明的招标项目完成期限未超过招标文件规定的时限。</w:t>
            </w:r>
          </w:p>
          <w:p w14:paraId="6283EDA6">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）投标文件对招标文件的实质性要求和条件作出响应。</w:t>
            </w:r>
          </w:p>
          <w:p w14:paraId="1581F861">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）权利义务符合招标文件规定：</w:t>
            </w:r>
          </w:p>
          <w:p w14:paraId="1EFEBED3">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a.投标人应接受招标文件规定的风险划分原则，未提出新的风险划分办法；</w:t>
            </w:r>
          </w:p>
          <w:p w14:paraId="686D880B">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b.投标人未增加发包人的责任范围，或减少投标人义务；</w:t>
            </w:r>
          </w:p>
          <w:p w14:paraId="4610CF1B">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c.投标人未提出不同的工程验收、计量、支付办法；</w:t>
            </w:r>
          </w:p>
          <w:p w14:paraId="1ED65854">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d.投标人对合同纠纷、事故处理办法未提出异议；</w:t>
            </w:r>
          </w:p>
          <w:p w14:paraId="5CC32055">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e.投标人在投标活动中无欺诈行为；</w:t>
            </w:r>
          </w:p>
          <w:p w14:paraId="039D8393">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f.投标人未对合同条款有重要保留。</w:t>
            </w:r>
          </w:p>
          <w:p w14:paraId="0623F4A4">
            <w:pPr>
              <w:adjustRightInd w:val="0"/>
              <w:snapToGrid w:val="0"/>
              <w:spacing w:line="360" w:lineRule="exact"/>
              <w:ind w:firstLine="180" w:firstLineChars="10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第二个信封（报价文件）评审标准：</w:t>
            </w:r>
          </w:p>
          <w:p w14:paraId="6D004581">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（1）投标文件按照招标文件规定的格式、内容填写，字迹清晰可辨：</w:t>
            </w:r>
          </w:p>
          <w:p w14:paraId="0DC1A6CB">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a.投标函按招标文件规定填报了项目名称、标段号、补遗书编号（如有）、投标价（包括大写金额和小写金额）。</w:t>
            </w:r>
          </w:p>
          <w:p w14:paraId="1518D4FA">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b.已标价工程量清单说明与招标文件规定一致，未进行实质性修改和删减；</w:t>
            </w:r>
          </w:p>
          <w:p w14:paraId="08045295">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c.投标文件组成齐全完整，内容均按规定填写。</w:t>
            </w:r>
          </w:p>
          <w:p w14:paraId="02B148A7">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（2）投标文件上法定代表人或其委托代理人的签字、投标人的单位章盖章齐全，符合招标文件规定。</w:t>
            </w:r>
          </w:p>
          <w:p w14:paraId="3FBA59DA">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（3）投标报价未超过招标文件设定的最高投标限价。</w:t>
            </w:r>
          </w:p>
          <w:p w14:paraId="5F9CDC6A">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（4）投标报价中的大写金额能够确定具体数值。</w:t>
            </w:r>
          </w:p>
          <w:p w14:paraId="6A6EB718">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（5）同一投标人未提交两个以上不同的投标报价。</w:t>
            </w:r>
          </w:p>
          <w:p w14:paraId="46B2FEFD">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（6）投标人未提交调价函。</w:t>
            </w:r>
          </w:p>
          <w:p w14:paraId="21E0223A">
            <w:pPr>
              <w:spacing w:line="36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（7）投标人填写完毕的工程量固化清单未对工程量固化清单电子文件中的数据、格式和运算定义进行修改；工程量固化清单中的投标报价和投标函大写金额报价一致。</w:t>
            </w:r>
          </w:p>
        </w:tc>
      </w:tr>
      <w:tr w14:paraId="4B14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856" w:type="dxa"/>
            <w:tcBorders>
              <w:bottom w:val="single" w:color="auto" w:sz="4" w:space="0"/>
            </w:tcBorders>
            <w:shd w:val="clear" w:color="auto" w:fill="auto"/>
            <w:vAlign w:val="center"/>
          </w:tcPr>
          <w:p w14:paraId="2E708153">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2.1.2</w:t>
            </w:r>
          </w:p>
        </w:tc>
        <w:tc>
          <w:tcPr>
            <w:tcW w:w="1389" w:type="dxa"/>
            <w:tcBorders>
              <w:bottom w:val="single" w:color="auto" w:sz="4" w:space="0"/>
            </w:tcBorders>
            <w:shd w:val="clear" w:color="auto" w:fill="auto"/>
            <w:vAlign w:val="center"/>
          </w:tcPr>
          <w:p w14:paraId="65F97F66">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资格评审</w:t>
            </w:r>
          </w:p>
          <w:p w14:paraId="0550274B">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c>
          <w:tcPr>
            <w:tcW w:w="6984" w:type="dxa"/>
            <w:tcBorders>
              <w:bottom w:val="single" w:color="auto" w:sz="4" w:space="0"/>
            </w:tcBorders>
            <w:shd w:val="clear" w:color="auto" w:fill="auto"/>
          </w:tcPr>
          <w:p w14:paraId="1854E6C1">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（1）投标人具备有效的营业执照、资质证书、安全生产许可证、基本账户开户许可证（或基本账户开户银行出具的开户证明）。</w:t>
            </w:r>
          </w:p>
          <w:p w14:paraId="453950C8">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（2）投标人的资质等级符合招标文件规定。</w:t>
            </w:r>
          </w:p>
          <w:p w14:paraId="1F4D9D14">
            <w:pPr>
              <w:spacing w:line="400" w:lineRule="exact"/>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（3）投标人的</w:t>
            </w:r>
            <w:r>
              <w:rPr>
                <w:rFonts w:hint="eastAsia" w:ascii="宋体" w:hAnsi="宋体" w:cs="宋体"/>
                <w:color w:val="auto"/>
                <w:sz w:val="18"/>
                <w:szCs w:val="18"/>
                <w:highlight w:val="none"/>
                <w:lang w:eastAsia="zh-CN"/>
              </w:rPr>
              <w:t>财务状况</w:t>
            </w:r>
            <w:r>
              <w:rPr>
                <w:rFonts w:hint="eastAsia" w:ascii="宋体" w:hAnsi="宋体" w:eastAsia="宋体" w:cs="宋体"/>
                <w:color w:val="auto"/>
                <w:sz w:val="18"/>
                <w:szCs w:val="18"/>
                <w:highlight w:val="none"/>
              </w:rPr>
              <w:t>符合招标文件规定</w:t>
            </w:r>
            <w:r>
              <w:rPr>
                <w:rFonts w:hint="eastAsia" w:ascii="宋体" w:hAnsi="宋体" w:cs="宋体"/>
                <w:color w:val="auto"/>
                <w:sz w:val="18"/>
                <w:szCs w:val="18"/>
                <w:highlight w:val="none"/>
                <w:lang w:eastAsia="zh-CN"/>
              </w:rPr>
              <w:t>。</w:t>
            </w:r>
          </w:p>
          <w:p w14:paraId="6B69D45E">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投标人的类似项目业绩符合招标文件规定。</w:t>
            </w:r>
          </w:p>
          <w:p w14:paraId="28A85A6A">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）投标人的项目经理和项目总工资格、在岗情况符合招标文件规定。</w:t>
            </w:r>
          </w:p>
          <w:p w14:paraId="66517B24">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）投标人的信誉符合招标文件规定。</w:t>
            </w:r>
          </w:p>
          <w:p w14:paraId="5A4AF186">
            <w:pPr>
              <w:spacing w:line="400" w:lineRule="exact"/>
              <w:ind w:firstLine="180" w:firstLineChars="1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投标人的其他要求符合招标文件规定。</w:t>
            </w:r>
          </w:p>
          <w:p w14:paraId="0F146586">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投标人不存在第二章“投标人须知”第1.4.3项或第1.4.4项规定的任何一种情形。</w:t>
            </w:r>
          </w:p>
          <w:p w14:paraId="65AB9A50">
            <w:pPr>
              <w:spacing w:line="400" w:lineRule="exact"/>
              <w:ind w:firstLine="180" w:firstLineChars="100"/>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9</w:t>
            </w:r>
            <w:r>
              <w:rPr>
                <w:rFonts w:hint="eastAsia" w:ascii="宋体" w:hAnsi="宋体" w:cs="宋体"/>
                <w:color w:val="auto"/>
                <w:sz w:val="18"/>
                <w:szCs w:val="18"/>
                <w:highlight w:val="none"/>
                <w:lang w:eastAsia="zh-CN"/>
              </w:rPr>
              <w:t>）投标人符合第二章“投标人须知"第1.4.5项规定。</w:t>
            </w:r>
          </w:p>
          <w:p w14:paraId="7A1E1B94">
            <w:pPr>
              <w:spacing w:line="400" w:lineRule="exact"/>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以联合体形式参与投标的，联合体各方均未再以自己名义单独或参加其他联合体在同一标段中投标；独立参与投标的，投标人未同时参加联合体在同一标段中投标。</w:t>
            </w:r>
          </w:p>
        </w:tc>
      </w:tr>
    </w:tbl>
    <w:p w14:paraId="09CACE83">
      <w:pPr>
        <w:jc w:val="center"/>
        <w:rPr>
          <w:rFonts w:hint="eastAsia" w:ascii="宋体" w:hAnsi="宋体" w:eastAsia="宋体" w:cs="宋体"/>
          <w:color w:val="auto"/>
          <w:sz w:val="18"/>
          <w:szCs w:val="18"/>
          <w:highlight w:val="none"/>
        </w:rPr>
        <w:sectPr>
          <w:footnotePr>
            <w:numFmt w:val="decimalEnclosedCircleChinese"/>
            <w:numRestart w:val="eachPage"/>
          </w:footnotePr>
          <w:pgSz w:w="11907" w:h="16840"/>
          <w:pgMar w:top="1134" w:right="1134" w:bottom="1134" w:left="1134" w:header="0" w:footer="567" w:gutter="0"/>
          <w:pgBorders>
            <w:top w:val="none" w:sz="0" w:space="0"/>
            <w:left w:val="none" w:sz="0" w:space="0"/>
            <w:bottom w:val="none" w:sz="0" w:space="0"/>
            <w:right w:val="none" w:sz="0" w:space="0"/>
          </w:pgBorders>
          <w:pgNumType w:fmt="decimal"/>
          <w:cols w:space="720" w:num="1"/>
        </w:sectPr>
      </w:pPr>
    </w:p>
    <w:p w14:paraId="07A55792">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续上表</w:t>
      </w:r>
    </w:p>
    <w:tbl>
      <w:tblPr>
        <w:tblStyle w:val="33"/>
        <w:tblW w:w="9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6790"/>
      </w:tblGrid>
      <w:tr w14:paraId="3216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6"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9154A2">
            <w:pPr>
              <w:autoSpaceDE w:val="0"/>
              <w:autoSpaceDN w:val="0"/>
              <w:adjustRightInd w:val="0"/>
              <w:snapToGrid w:val="0"/>
              <w:spacing w:line="30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7C641CC">
            <w:pPr>
              <w:autoSpaceDE w:val="0"/>
              <w:autoSpaceDN w:val="0"/>
              <w:adjustRightInd w:val="0"/>
              <w:snapToGrid w:val="0"/>
              <w:spacing w:line="30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条款内容</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FDD5E">
            <w:pPr>
              <w:autoSpaceDE w:val="0"/>
              <w:autoSpaceDN w:val="0"/>
              <w:adjustRightInd w:val="0"/>
              <w:snapToGrid w:val="0"/>
              <w:spacing w:line="30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编列内容</w:t>
            </w:r>
          </w:p>
        </w:tc>
      </w:tr>
      <w:tr w14:paraId="1D31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8E765D8">
            <w:pPr>
              <w:autoSpaceDE w:val="0"/>
              <w:autoSpaceDN w:val="0"/>
              <w:adjustRightInd w:val="0"/>
              <w:snapToGrid w:val="0"/>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EAF4F">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分值构成</w:t>
            </w:r>
          </w:p>
          <w:p w14:paraId="0CD7C4D8">
            <w:pPr>
              <w:adjustRightInd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（总分100分）</w:t>
            </w:r>
          </w:p>
        </w:tc>
        <w:tc>
          <w:tcPr>
            <w:tcW w:w="6790" w:type="dxa"/>
            <w:tcBorders>
              <w:top w:val="single" w:color="000000" w:sz="4" w:space="0"/>
              <w:left w:val="single" w:color="000000" w:sz="4" w:space="0"/>
              <w:bottom w:val="single" w:color="auto" w:sz="4" w:space="0"/>
              <w:right w:val="single" w:color="000000" w:sz="4" w:space="0"/>
            </w:tcBorders>
            <w:shd w:val="clear" w:color="auto" w:fill="auto"/>
          </w:tcPr>
          <w:p w14:paraId="11108E01">
            <w:pPr>
              <w:keepNext w:val="0"/>
              <w:keepLines w:val="0"/>
              <w:pageBreakBefore w:val="0"/>
              <w:widowControl w:val="0"/>
              <w:kinsoku/>
              <w:wordWrap/>
              <w:overflowPunct/>
              <w:topLinePunct w:val="0"/>
              <w:autoSpaceDE/>
              <w:autoSpaceDN/>
              <w:bidi w:val="0"/>
              <w:spacing w:line="360" w:lineRule="exact"/>
              <w:ind w:firstLine="180" w:firstLineChars="100"/>
              <w:textAlignment w:val="auto"/>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第一个信封（商务及技术文件）评分分值构成：</w:t>
            </w:r>
          </w:p>
          <w:p w14:paraId="6C903834">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施工组织设计：</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p w14:paraId="4CF28583">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主要人员：</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p w14:paraId="61265275">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    绩：</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p w14:paraId="78229EE3">
            <w:pPr>
              <w:keepNext w:val="0"/>
              <w:keepLines w:val="0"/>
              <w:pageBreakBefore w:val="0"/>
              <w:widowControl w:val="0"/>
              <w:kinsoku/>
              <w:wordWrap/>
              <w:overflowPunct/>
              <w:topLinePunct w:val="0"/>
              <w:autoSpaceDE/>
              <w:autoSpaceDN/>
              <w:bidi w:val="0"/>
              <w:spacing w:line="360" w:lineRule="exact"/>
              <w:ind w:firstLine="180" w:firstLineChars="100"/>
              <w:textAlignment w:val="auto"/>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第二个信封（报价文件）评分分值构成：</w:t>
            </w:r>
          </w:p>
          <w:p w14:paraId="0DB88E4C">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评标价：50分</w:t>
            </w:r>
          </w:p>
        </w:tc>
      </w:tr>
      <w:tr w14:paraId="559DC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3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432A46D">
            <w:pPr>
              <w:spacing w:line="360" w:lineRule="auto"/>
              <w:ind w:right="113"/>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2.2.2</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2CC848EB">
            <w:pPr>
              <w:spacing w:line="360" w:lineRule="auto"/>
              <w:ind w:left="113" w:right="113"/>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评标基准价计算方法</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9C52DE">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评标基准价的计算：</w:t>
            </w:r>
          </w:p>
          <w:p w14:paraId="14629D68">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在开标现场，招标人将当场计算并宣布评标基准价。</w:t>
            </w:r>
          </w:p>
          <w:p w14:paraId="5316523D">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（1）评标价的确定：</w:t>
            </w:r>
          </w:p>
          <w:p w14:paraId="779018AD">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评标价=投标函文字报价</w:t>
            </w:r>
          </w:p>
          <w:p w14:paraId="0335136C">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（2）评标价平均值的计算：</w:t>
            </w:r>
          </w:p>
          <w:p w14:paraId="52900729">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评标价平均值的计算保留整数，小数点后第1位“四舍五入”。</w:t>
            </w:r>
          </w:p>
          <w:p w14:paraId="0ED355BD">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（3）评标基准价的确定：</w:t>
            </w:r>
          </w:p>
          <w:p w14:paraId="11F1413B">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将评标价平均值直接作为评标基准价。</w:t>
            </w:r>
          </w:p>
          <w:p w14:paraId="6ADF6F35">
            <w:pPr>
              <w:keepNext w:val="0"/>
              <w:keepLines w:val="0"/>
              <w:pageBreakBefore w:val="0"/>
              <w:widowControl w:val="0"/>
              <w:kinsoku/>
              <w:wordWrap/>
              <w:overflowPunct/>
              <w:topLinePunct w:val="0"/>
              <w:autoSpaceDE/>
              <w:autoSpaceDN/>
              <w:bidi w:val="0"/>
              <w:adjustRightInd w:val="0"/>
              <w:snapToGrid w:val="0"/>
              <w:spacing w:line="360" w:lineRule="exact"/>
              <w:ind w:firstLine="180" w:firstLineChars="1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9B0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0578F">
            <w:pPr>
              <w:spacing w:line="360" w:lineRule="auto"/>
              <w:ind w:right="113"/>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72B04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评标价的偏差率计算公式</w:t>
            </w:r>
          </w:p>
        </w:tc>
        <w:tc>
          <w:tcPr>
            <w:tcW w:w="6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3CB455">
            <w:pPr>
              <w:spacing w:line="360" w:lineRule="auto"/>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偏差率=100%×（投标人评标价-评标基准价）/评标基准价</w:t>
            </w:r>
          </w:p>
          <w:p w14:paraId="79F8E831">
            <w:pPr>
              <w:spacing w:line="360" w:lineRule="auto"/>
              <w:ind w:firstLine="360" w:firstLineChars="200"/>
              <w:jc w:val="left"/>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偏差率保留2位小数，</w:t>
            </w:r>
            <w:r>
              <w:rPr>
                <w:rFonts w:hint="eastAsia" w:ascii="宋体" w:hAnsi="宋体" w:eastAsia="宋体" w:cs="宋体"/>
                <w:bCs/>
                <w:color w:val="auto"/>
                <w:sz w:val="18"/>
                <w:szCs w:val="18"/>
                <w:highlight w:val="none"/>
              </w:rPr>
              <w:t>小数点后第</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位“四舍五入”</w:t>
            </w:r>
            <w:r>
              <w:rPr>
                <w:rFonts w:hint="eastAsia" w:ascii="宋体" w:hAnsi="宋体" w:eastAsia="宋体" w:cs="宋体"/>
                <w:color w:val="auto"/>
                <w:sz w:val="18"/>
                <w:szCs w:val="18"/>
                <w:highlight w:val="none"/>
              </w:rPr>
              <w:t>，例如：**.**%</w:t>
            </w:r>
          </w:p>
        </w:tc>
      </w:tr>
    </w:tbl>
    <w:p w14:paraId="0D7886E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46B3FD5">
      <w:pPr>
        <w:spacing w:line="360" w:lineRule="auto"/>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续上表</w:t>
      </w:r>
    </w:p>
    <w:tbl>
      <w:tblPr>
        <w:tblStyle w:val="33"/>
        <w:tblW w:w="91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7"/>
        <w:gridCol w:w="965"/>
        <w:gridCol w:w="1135"/>
        <w:gridCol w:w="2172"/>
        <w:gridCol w:w="696"/>
        <w:gridCol w:w="3190"/>
      </w:tblGrid>
      <w:tr w14:paraId="23B3C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977" w:type="dxa"/>
            <w:vMerge w:val="restart"/>
            <w:vAlign w:val="center"/>
          </w:tcPr>
          <w:p w14:paraId="039D6F55">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条款号</w:t>
            </w:r>
          </w:p>
        </w:tc>
        <w:tc>
          <w:tcPr>
            <w:tcW w:w="4968" w:type="dxa"/>
            <w:gridSpan w:val="4"/>
            <w:vAlign w:val="center"/>
          </w:tcPr>
          <w:p w14:paraId="28BA93B5">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评分因素与权重分值</w:t>
            </w:r>
          </w:p>
        </w:tc>
        <w:tc>
          <w:tcPr>
            <w:tcW w:w="3190" w:type="dxa"/>
            <w:vMerge w:val="restart"/>
            <w:vAlign w:val="center"/>
          </w:tcPr>
          <w:p w14:paraId="0AF1E765">
            <w:pPr>
              <w:spacing w:line="320" w:lineRule="exact"/>
              <w:jc w:val="center"/>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评分标准</w:t>
            </w:r>
          </w:p>
        </w:tc>
      </w:tr>
      <w:tr w14:paraId="1618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50A008FE">
            <w:pPr>
              <w:spacing w:line="320" w:lineRule="exact"/>
              <w:jc w:val="center"/>
              <w:rPr>
                <w:rFonts w:hint="eastAsia" w:ascii="宋体" w:hAnsi="宋体" w:eastAsia="宋体" w:cs="宋体"/>
                <w:b w:val="0"/>
                <w:bCs/>
                <w:color w:val="auto"/>
                <w:sz w:val="18"/>
                <w:szCs w:val="18"/>
                <w:highlight w:val="none"/>
              </w:rPr>
            </w:pPr>
          </w:p>
        </w:tc>
        <w:tc>
          <w:tcPr>
            <w:tcW w:w="965" w:type="dxa"/>
            <w:vAlign w:val="center"/>
          </w:tcPr>
          <w:p w14:paraId="36DB4000">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w:t>
            </w:r>
          </w:p>
          <w:p w14:paraId="5F9B3269">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因素</w:t>
            </w:r>
          </w:p>
        </w:tc>
        <w:tc>
          <w:tcPr>
            <w:tcW w:w="1135" w:type="dxa"/>
            <w:vAlign w:val="center"/>
          </w:tcPr>
          <w:p w14:paraId="57D4F970">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评分因素</w:t>
            </w:r>
          </w:p>
          <w:p w14:paraId="6929EE42">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权重分值</w:t>
            </w:r>
          </w:p>
        </w:tc>
        <w:tc>
          <w:tcPr>
            <w:tcW w:w="2172" w:type="dxa"/>
            <w:vAlign w:val="center"/>
          </w:tcPr>
          <w:p w14:paraId="1CE71E72">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各评分因素细分项</w:t>
            </w:r>
          </w:p>
        </w:tc>
        <w:tc>
          <w:tcPr>
            <w:tcW w:w="696" w:type="dxa"/>
            <w:vAlign w:val="center"/>
          </w:tcPr>
          <w:p w14:paraId="0C481DB7">
            <w:pPr>
              <w:spacing w:line="320" w:lineRule="exact"/>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分值</w:t>
            </w:r>
          </w:p>
        </w:tc>
        <w:tc>
          <w:tcPr>
            <w:tcW w:w="3190" w:type="dxa"/>
            <w:vMerge w:val="continue"/>
            <w:vAlign w:val="center"/>
          </w:tcPr>
          <w:p w14:paraId="2D16C763">
            <w:pPr>
              <w:spacing w:line="320" w:lineRule="exact"/>
              <w:jc w:val="center"/>
              <w:rPr>
                <w:rFonts w:hint="eastAsia" w:ascii="宋体" w:hAnsi="宋体" w:eastAsia="宋体" w:cs="宋体"/>
                <w:color w:val="auto"/>
                <w:sz w:val="18"/>
                <w:szCs w:val="18"/>
                <w:highlight w:val="none"/>
              </w:rPr>
            </w:pPr>
          </w:p>
        </w:tc>
      </w:tr>
      <w:tr w14:paraId="6C997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restart"/>
            <w:vAlign w:val="center"/>
          </w:tcPr>
          <w:p w14:paraId="7F27176B">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2.2.4（1）</w:t>
            </w:r>
          </w:p>
        </w:tc>
        <w:tc>
          <w:tcPr>
            <w:tcW w:w="965" w:type="dxa"/>
            <w:vMerge w:val="restart"/>
            <w:vAlign w:val="center"/>
          </w:tcPr>
          <w:p w14:paraId="55B5D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施工组织设计</w:t>
            </w:r>
          </w:p>
        </w:tc>
        <w:tc>
          <w:tcPr>
            <w:tcW w:w="1135" w:type="dxa"/>
            <w:vMerge w:val="restart"/>
            <w:vAlign w:val="center"/>
          </w:tcPr>
          <w:p w14:paraId="4F991A6C">
            <w:pPr>
              <w:spacing w:line="360" w:lineRule="auto"/>
              <w:jc w:val="center"/>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tc>
        <w:tc>
          <w:tcPr>
            <w:tcW w:w="2172" w:type="dxa"/>
            <w:vAlign w:val="center"/>
          </w:tcPr>
          <w:p w14:paraId="05797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总体施工组织布置及规划</w:t>
            </w:r>
          </w:p>
        </w:tc>
        <w:tc>
          <w:tcPr>
            <w:tcW w:w="696" w:type="dxa"/>
            <w:vAlign w:val="center"/>
          </w:tcPr>
          <w:p w14:paraId="76053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5分</w:t>
            </w:r>
          </w:p>
        </w:tc>
        <w:tc>
          <w:tcPr>
            <w:tcW w:w="3190" w:type="dxa"/>
            <w:vAlign w:val="center"/>
          </w:tcPr>
          <w:p w14:paraId="439D45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满足基本要求：3分；</w:t>
            </w:r>
          </w:p>
          <w:p w14:paraId="5E85E0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优良：3～5分。</w:t>
            </w:r>
          </w:p>
        </w:tc>
      </w:tr>
      <w:tr w14:paraId="0AB3E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76DD4CBC">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7A0C9E67">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2623DEB3">
            <w:pPr>
              <w:spacing w:line="360" w:lineRule="auto"/>
              <w:jc w:val="center"/>
              <w:rPr>
                <w:rFonts w:hint="eastAsia" w:ascii="宋体" w:hAnsi="宋体" w:eastAsia="宋体" w:cs="宋体"/>
                <w:color w:val="auto"/>
                <w:sz w:val="18"/>
                <w:szCs w:val="18"/>
                <w:highlight w:val="none"/>
              </w:rPr>
            </w:pPr>
          </w:p>
        </w:tc>
        <w:tc>
          <w:tcPr>
            <w:tcW w:w="2172" w:type="dxa"/>
            <w:vAlign w:val="center"/>
          </w:tcPr>
          <w:p w14:paraId="1EF9B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主要工程项目的施工方案、方法与技术措施</w:t>
            </w:r>
          </w:p>
        </w:tc>
        <w:tc>
          <w:tcPr>
            <w:tcW w:w="696" w:type="dxa"/>
            <w:vAlign w:val="center"/>
          </w:tcPr>
          <w:p w14:paraId="376E2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4分</w:t>
            </w:r>
          </w:p>
        </w:tc>
        <w:tc>
          <w:tcPr>
            <w:tcW w:w="3190" w:type="dxa"/>
            <w:vAlign w:val="center"/>
          </w:tcPr>
          <w:p w14:paraId="6F773A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满足基本要求：2.4分；</w:t>
            </w:r>
          </w:p>
          <w:p w14:paraId="15193D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优良：2.4～4分。</w:t>
            </w:r>
          </w:p>
        </w:tc>
      </w:tr>
      <w:tr w14:paraId="12BEA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6C22D137">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5D42CFCB">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0DA461ED">
            <w:pPr>
              <w:spacing w:line="360" w:lineRule="auto"/>
              <w:jc w:val="center"/>
              <w:rPr>
                <w:rFonts w:hint="eastAsia" w:ascii="宋体" w:hAnsi="宋体" w:eastAsia="宋体" w:cs="宋体"/>
                <w:color w:val="auto"/>
                <w:sz w:val="18"/>
                <w:szCs w:val="18"/>
                <w:highlight w:val="none"/>
              </w:rPr>
            </w:pPr>
          </w:p>
        </w:tc>
        <w:tc>
          <w:tcPr>
            <w:tcW w:w="2172" w:type="dxa"/>
            <w:vAlign w:val="center"/>
          </w:tcPr>
          <w:p w14:paraId="6CB34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工期保证体系及</w:t>
            </w:r>
          </w:p>
          <w:p w14:paraId="1F2B0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保证措施</w:t>
            </w:r>
          </w:p>
        </w:tc>
        <w:tc>
          <w:tcPr>
            <w:tcW w:w="696" w:type="dxa"/>
            <w:vAlign w:val="center"/>
          </w:tcPr>
          <w:p w14:paraId="6E9E8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3分</w:t>
            </w:r>
          </w:p>
        </w:tc>
        <w:tc>
          <w:tcPr>
            <w:tcW w:w="3190" w:type="dxa"/>
            <w:vAlign w:val="center"/>
          </w:tcPr>
          <w:p w14:paraId="324621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满足基本要求：1.8分；</w:t>
            </w:r>
          </w:p>
          <w:p w14:paraId="6CC73D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优良：1.8～3分。</w:t>
            </w:r>
          </w:p>
        </w:tc>
      </w:tr>
      <w:tr w14:paraId="4C98D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798B5963">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673EC5E8">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7642DB39">
            <w:pPr>
              <w:spacing w:line="360" w:lineRule="auto"/>
              <w:jc w:val="center"/>
              <w:rPr>
                <w:rFonts w:hint="eastAsia" w:ascii="宋体" w:hAnsi="宋体" w:eastAsia="宋体" w:cs="宋体"/>
                <w:color w:val="auto"/>
                <w:sz w:val="18"/>
                <w:szCs w:val="18"/>
                <w:highlight w:val="none"/>
              </w:rPr>
            </w:pPr>
          </w:p>
        </w:tc>
        <w:tc>
          <w:tcPr>
            <w:tcW w:w="2172" w:type="dxa"/>
            <w:vAlign w:val="center"/>
          </w:tcPr>
          <w:p w14:paraId="4EEC5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工程质量管理体系及保证措施</w:t>
            </w:r>
          </w:p>
        </w:tc>
        <w:tc>
          <w:tcPr>
            <w:tcW w:w="696" w:type="dxa"/>
            <w:vAlign w:val="center"/>
          </w:tcPr>
          <w:p w14:paraId="3B2C1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3分</w:t>
            </w:r>
          </w:p>
        </w:tc>
        <w:tc>
          <w:tcPr>
            <w:tcW w:w="3190" w:type="dxa"/>
            <w:vAlign w:val="center"/>
          </w:tcPr>
          <w:p w14:paraId="4C2251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满足基本要求：1.8分；</w:t>
            </w:r>
          </w:p>
          <w:p w14:paraId="3470A1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优良：1.8～3分。</w:t>
            </w:r>
          </w:p>
        </w:tc>
      </w:tr>
      <w:tr w14:paraId="132E0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65F0F8C8">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32640B29">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49E37DC4">
            <w:pPr>
              <w:spacing w:line="360" w:lineRule="auto"/>
              <w:jc w:val="center"/>
              <w:rPr>
                <w:rFonts w:hint="eastAsia" w:ascii="宋体" w:hAnsi="宋体" w:eastAsia="宋体" w:cs="宋体"/>
                <w:color w:val="auto"/>
                <w:sz w:val="18"/>
                <w:szCs w:val="18"/>
                <w:highlight w:val="none"/>
              </w:rPr>
            </w:pPr>
          </w:p>
        </w:tc>
        <w:tc>
          <w:tcPr>
            <w:tcW w:w="2172" w:type="dxa"/>
            <w:vAlign w:val="center"/>
          </w:tcPr>
          <w:p w14:paraId="3A71E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安全生产管理体系及保证措施</w:t>
            </w:r>
          </w:p>
        </w:tc>
        <w:tc>
          <w:tcPr>
            <w:tcW w:w="696" w:type="dxa"/>
            <w:vAlign w:val="center"/>
          </w:tcPr>
          <w:p w14:paraId="689AD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2分</w:t>
            </w:r>
          </w:p>
        </w:tc>
        <w:tc>
          <w:tcPr>
            <w:tcW w:w="3190" w:type="dxa"/>
            <w:vAlign w:val="center"/>
          </w:tcPr>
          <w:p w14:paraId="6940FE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满足基本要求：1.2分；</w:t>
            </w:r>
          </w:p>
          <w:p w14:paraId="629AE5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优良：1.2～2分。</w:t>
            </w:r>
          </w:p>
        </w:tc>
      </w:tr>
      <w:tr w14:paraId="44330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67E96737">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568C7129">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19AB559B">
            <w:pPr>
              <w:spacing w:line="360" w:lineRule="auto"/>
              <w:jc w:val="center"/>
              <w:rPr>
                <w:rFonts w:hint="eastAsia" w:ascii="宋体" w:hAnsi="宋体" w:eastAsia="宋体" w:cs="宋体"/>
                <w:color w:val="auto"/>
                <w:sz w:val="18"/>
                <w:szCs w:val="18"/>
                <w:highlight w:val="none"/>
              </w:rPr>
            </w:pPr>
          </w:p>
        </w:tc>
        <w:tc>
          <w:tcPr>
            <w:tcW w:w="2172" w:type="dxa"/>
            <w:vAlign w:val="center"/>
          </w:tcPr>
          <w:p w14:paraId="5CE19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环境保护、水土保持保证体系及保证措施</w:t>
            </w:r>
          </w:p>
        </w:tc>
        <w:tc>
          <w:tcPr>
            <w:tcW w:w="696" w:type="dxa"/>
            <w:vAlign w:val="center"/>
          </w:tcPr>
          <w:p w14:paraId="75B16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w:t>
            </w:r>
          </w:p>
        </w:tc>
        <w:tc>
          <w:tcPr>
            <w:tcW w:w="3190" w:type="dxa"/>
            <w:vAlign w:val="center"/>
          </w:tcPr>
          <w:p w14:paraId="605839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满足基本要求：0.6分；</w:t>
            </w:r>
          </w:p>
          <w:p w14:paraId="3EAB1C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优良：0.6～1分。</w:t>
            </w:r>
          </w:p>
        </w:tc>
      </w:tr>
      <w:tr w14:paraId="5E3F1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3B22EC9B">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04142606">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35780CC2">
            <w:pPr>
              <w:spacing w:line="360" w:lineRule="auto"/>
              <w:jc w:val="center"/>
              <w:rPr>
                <w:rFonts w:hint="eastAsia" w:ascii="宋体" w:hAnsi="宋体" w:eastAsia="宋体" w:cs="宋体"/>
                <w:color w:val="auto"/>
                <w:sz w:val="18"/>
                <w:szCs w:val="18"/>
                <w:highlight w:val="none"/>
              </w:rPr>
            </w:pPr>
          </w:p>
        </w:tc>
        <w:tc>
          <w:tcPr>
            <w:tcW w:w="2172" w:type="dxa"/>
            <w:vAlign w:val="center"/>
          </w:tcPr>
          <w:p w14:paraId="54FA7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文明施工、文物保护保证体系及保证措施</w:t>
            </w:r>
          </w:p>
        </w:tc>
        <w:tc>
          <w:tcPr>
            <w:tcW w:w="696" w:type="dxa"/>
            <w:vAlign w:val="center"/>
          </w:tcPr>
          <w:p w14:paraId="5E9C4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w:t>
            </w:r>
          </w:p>
        </w:tc>
        <w:tc>
          <w:tcPr>
            <w:tcW w:w="3190" w:type="dxa"/>
            <w:vAlign w:val="center"/>
          </w:tcPr>
          <w:p w14:paraId="064AA3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满足基本要求：0.6分；</w:t>
            </w:r>
          </w:p>
          <w:p w14:paraId="7A7C04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优良：0.6～1分。</w:t>
            </w:r>
          </w:p>
        </w:tc>
      </w:tr>
      <w:tr w14:paraId="46BA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77" w:type="dxa"/>
            <w:vMerge w:val="continue"/>
            <w:vAlign w:val="center"/>
          </w:tcPr>
          <w:p w14:paraId="16551ED1">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51A96D24">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5FE81D42">
            <w:pPr>
              <w:spacing w:line="360" w:lineRule="auto"/>
              <w:jc w:val="center"/>
              <w:rPr>
                <w:rFonts w:hint="eastAsia" w:ascii="宋体" w:hAnsi="宋体" w:eastAsia="宋体" w:cs="宋体"/>
                <w:color w:val="auto"/>
                <w:sz w:val="18"/>
                <w:szCs w:val="18"/>
                <w:highlight w:val="none"/>
              </w:rPr>
            </w:pPr>
          </w:p>
        </w:tc>
        <w:tc>
          <w:tcPr>
            <w:tcW w:w="2172" w:type="dxa"/>
            <w:vAlign w:val="center"/>
          </w:tcPr>
          <w:p w14:paraId="3C2AA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项目风险预测与防范，事故应急预案</w:t>
            </w:r>
          </w:p>
        </w:tc>
        <w:tc>
          <w:tcPr>
            <w:tcW w:w="696" w:type="dxa"/>
            <w:vAlign w:val="center"/>
          </w:tcPr>
          <w:p w14:paraId="4C8AD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1分</w:t>
            </w:r>
          </w:p>
        </w:tc>
        <w:tc>
          <w:tcPr>
            <w:tcW w:w="3190" w:type="dxa"/>
            <w:vAlign w:val="center"/>
          </w:tcPr>
          <w:p w14:paraId="45639C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满足基本要求：0.6分；</w:t>
            </w:r>
          </w:p>
          <w:p w14:paraId="5EC82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优良：0.6～1分。</w:t>
            </w:r>
          </w:p>
        </w:tc>
      </w:tr>
      <w:tr w14:paraId="47065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977" w:type="dxa"/>
            <w:vMerge w:val="restart"/>
            <w:vAlign w:val="center"/>
          </w:tcPr>
          <w:p w14:paraId="522EF38B">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2.2.4（2）</w:t>
            </w:r>
          </w:p>
        </w:tc>
        <w:tc>
          <w:tcPr>
            <w:tcW w:w="965" w:type="dxa"/>
            <w:vMerge w:val="restart"/>
            <w:vAlign w:val="center"/>
          </w:tcPr>
          <w:p w14:paraId="0D4E8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主要</w:t>
            </w:r>
          </w:p>
          <w:p w14:paraId="07F3E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人员</w:t>
            </w:r>
          </w:p>
        </w:tc>
        <w:tc>
          <w:tcPr>
            <w:tcW w:w="1135" w:type="dxa"/>
            <w:vMerge w:val="restart"/>
            <w:vAlign w:val="center"/>
          </w:tcPr>
          <w:p w14:paraId="14501545">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2172" w:type="dxa"/>
            <w:vMerge w:val="restart"/>
            <w:vAlign w:val="center"/>
          </w:tcPr>
          <w:p w14:paraId="72021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项目经理</w:t>
            </w:r>
          </w:p>
          <w:p w14:paraId="2074F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任职资格与业绩</w:t>
            </w:r>
          </w:p>
        </w:tc>
        <w:tc>
          <w:tcPr>
            <w:tcW w:w="696" w:type="dxa"/>
            <w:vAlign w:val="center"/>
          </w:tcPr>
          <w:p w14:paraId="4E0D13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6分</w:t>
            </w:r>
          </w:p>
        </w:tc>
        <w:tc>
          <w:tcPr>
            <w:tcW w:w="3190" w:type="dxa"/>
            <w:vAlign w:val="center"/>
          </w:tcPr>
          <w:p w14:paraId="1AAB8C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满足最低资格要求得6分。</w:t>
            </w:r>
          </w:p>
        </w:tc>
      </w:tr>
      <w:tr w14:paraId="535C9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exact"/>
          <w:jc w:val="center"/>
        </w:trPr>
        <w:tc>
          <w:tcPr>
            <w:tcW w:w="977" w:type="dxa"/>
            <w:vMerge w:val="continue"/>
            <w:vAlign w:val="center"/>
          </w:tcPr>
          <w:p w14:paraId="27A4F0BC">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562A4657">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2DE471FE">
            <w:pPr>
              <w:spacing w:line="360" w:lineRule="auto"/>
              <w:jc w:val="center"/>
              <w:rPr>
                <w:rFonts w:hint="eastAsia" w:ascii="宋体" w:hAnsi="宋体" w:eastAsia="宋体" w:cs="宋体"/>
                <w:color w:val="auto"/>
                <w:sz w:val="18"/>
                <w:szCs w:val="18"/>
                <w:highlight w:val="none"/>
              </w:rPr>
            </w:pPr>
          </w:p>
        </w:tc>
        <w:tc>
          <w:tcPr>
            <w:tcW w:w="2172" w:type="dxa"/>
            <w:vMerge w:val="continue"/>
            <w:vAlign w:val="center"/>
          </w:tcPr>
          <w:p w14:paraId="711F5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696" w:type="dxa"/>
            <w:shd w:val="clear" w:color="auto" w:fill="auto"/>
            <w:vAlign w:val="center"/>
          </w:tcPr>
          <w:p w14:paraId="12436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4分</w:t>
            </w:r>
          </w:p>
        </w:tc>
        <w:tc>
          <w:tcPr>
            <w:tcW w:w="3190" w:type="dxa"/>
            <w:shd w:val="clear" w:color="auto" w:fill="auto"/>
            <w:vAlign w:val="center"/>
          </w:tcPr>
          <w:p w14:paraId="742015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在满足最低要求基础上，每增加1项以项目经理或项目副经理身份完成的高速公路养护工程施工业绩加2分，最多加4分。</w:t>
            </w:r>
          </w:p>
        </w:tc>
      </w:tr>
      <w:tr w14:paraId="5D966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977" w:type="dxa"/>
            <w:vMerge w:val="continue"/>
            <w:vAlign w:val="center"/>
          </w:tcPr>
          <w:p w14:paraId="0DBB29DA">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7CFEFD51">
            <w:pPr>
              <w:spacing w:line="360" w:lineRule="auto"/>
              <w:jc w:val="center"/>
              <w:rPr>
                <w:rFonts w:hint="eastAsia" w:ascii="宋体" w:hAnsi="宋体" w:eastAsia="宋体" w:cs="宋体"/>
                <w:color w:val="auto"/>
                <w:sz w:val="18"/>
                <w:szCs w:val="18"/>
                <w:highlight w:val="none"/>
              </w:rPr>
            </w:pPr>
          </w:p>
        </w:tc>
        <w:tc>
          <w:tcPr>
            <w:tcW w:w="1135" w:type="dxa"/>
            <w:vMerge w:val="restart"/>
            <w:vAlign w:val="center"/>
          </w:tcPr>
          <w:p w14:paraId="585EB724">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2172" w:type="dxa"/>
            <w:vMerge w:val="restart"/>
            <w:vAlign w:val="center"/>
          </w:tcPr>
          <w:p w14:paraId="7F367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项目总工</w:t>
            </w:r>
          </w:p>
          <w:p w14:paraId="043B4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任职资格与业绩</w:t>
            </w:r>
          </w:p>
        </w:tc>
        <w:tc>
          <w:tcPr>
            <w:tcW w:w="696" w:type="dxa"/>
            <w:vAlign w:val="center"/>
          </w:tcPr>
          <w:p w14:paraId="1CB10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6分</w:t>
            </w:r>
          </w:p>
        </w:tc>
        <w:tc>
          <w:tcPr>
            <w:tcW w:w="3190" w:type="dxa"/>
            <w:vAlign w:val="center"/>
          </w:tcPr>
          <w:p w14:paraId="54BB8F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满足最低资格要求得</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分。</w:t>
            </w:r>
          </w:p>
        </w:tc>
      </w:tr>
      <w:tr w14:paraId="1362F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1" w:hRule="exact"/>
          <w:jc w:val="center"/>
        </w:trPr>
        <w:tc>
          <w:tcPr>
            <w:tcW w:w="977" w:type="dxa"/>
            <w:vMerge w:val="continue"/>
            <w:vAlign w:val="center"/>
          </w:tcPr>
          <w:p w14:paraId="30F4BF8C">
            <w:pPr>
              <w:spacing w:line="360" w:lineRule="auto"/>
              <w:jc w:val="center"/>
              <w:rPr>
                <w:rFonts w:hint="eastAsia" w:ascii="宋体" w:hAnsi="宋体" w:eastAsia="宋体" w:cs="宋体"/>
                <w:color w:val="auto"/>
                <w:sz w:val="18"/>
                <w:szCs w:val="18"/>
                <w:highlight w:val="none"/>
              </w:rPr>
            </w:pPr>
          </w:p>
        </w:tc>
        <w:tc>
          <w:tcPr>
            <w:tcW w:w="965" w:type="dxa"/>
            <w:vMerge w:val="continue"/>
            <w:vAlign w:val="center"/>
          </w:tcPr>
          <w:p w14:paraId="0679D513">
            <w:pPr>
              <w:spacing w:line="360" w:lineRule="auto"/>
              <w:jc w:val="center"/>
              <w:rPr>
                <w:rFonts w:hint="eastAsia" w:ascii="宋体" w:hAnsi="宋体" w:eastAsia="宋体" w:cs="宋体"/>
                <w:color w:val="auto"/>
                <w:sz w:val="18"/>
                <w:szCs w:val="18"/>
                <w:highlight w:val="none"/>
              </w:rPr>
            </w:pPr>
          </w:p>
        </w:tc>
        <w:tc>
          <w:tcPr>
            <w:tcW w:w="1135" w:type="dxa"/>
            <w:vMerge w:val="continue"/>
            <w:vAlign w:val="center"/>
          </w:tcPr>
          <w:p w14:paraId="14A1C80A">
            <w:pPr>
              <w:spacing w:line="360" w:lineRule="auto"/>
              <w:jc w:val="center"/>
              <w:rPr>
                <w:rFonts w:hint="eastAsia" w:ascii="宋体" w:hAnsi="宋体" w:eastAsia="宋体" w:cs="宋体"/>
                <w:color w:val="auto"/>
                <w:sz w:val="18"/>
                <w:szCs w:val="18"/>
                <w:highlight w:val="none"/>
              </w:rPr>
            </w:pPr>
          </w:p>
        </w:tc>
        <w:tc>
          <w:tcPr>
            <w:tcW w:w="2172" w:type="dxa"/>
            <w:vMerge w:val="continue"/>
            <w:vAlign w:val="center"/>
          </w:tcPr>
          <w:p w14:paraId="3E60D238">
            <w:pPr>
              <w:spacing w:line="360" w:lineRule="auto"/>
              <w:ind w:right="113"/>
              <w:jc w:val="center"/>
              <w:rPr>
                <w:rFonts w:hint="eastAsia" w:ascii="宋体" w:hAnsi="宋体" w:eastAsia="宋体" w:cs="宋体"/>
                <w:color w:val="auto"/>
                <w:sz w:val="18"/>
                <w:szCs w:val="18"/>
                <w:highlight w:val="none"/>
              </w:rPr>
            </w:pPr>
          </w:p>
        </w:tc>
        <w:tc>
          <w:tcPr>
            <w:tcW w:w="696" w:type="dxa"/>
            <w:vAlign w:val="center"/>
          </w:tcPr>
          <w:p w14:paraId="395F4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4分</w:t>
            </w:r>
          </w:p>
        </w:tc>
        <w:tc>
          <w:tcPr>
            <w:tcW w:w="3190" w:type="dxa"/>
            <w:vAlign w:val="center"/>
          </w:tcPr>
          <w:p w14:paraId="076C1C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在满足最低要求基础上，每增加1项以项目总工或项目副总工身份完成的高速公路养护工程施工业绩加2分，最多加4分。</w:t>
            </w:r>
          </w:p>
        </w:tc>
      </w:tr>
      <w:tr w14:paraId="4A176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1" w:hRule="exact"/>
          <w:jc w:val="center"/>
        </w:trPr>
        <w:tc>
          <w:tcPr>
            <w:tcW w:w="977" w:type="dxa"/>
            <w:vAlign w:val="center"/>
          </w:tcPr>
          <w:p w14:paraId="2F6A15EE">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2.2.4（3）</w:t>
            </w:r>
          </w:p>
        </w:tc>
        <w:tc>
          <w:tcPr>
            <w:tcW w:w="965" w:type="dxa"/>
            <w:vAlign w:val="center"/>
          </w:tcPr>
          <w:p w14:paraId="2676AE66">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评标价</w:t>
            </w:r>
          </w:p>
        </w:tc>
        <w:tc>
          <w:tcPr>
            <w:tcW w:w="1135" w:type="dxa"/>
            <w:vAlign w:val="center"/>
          </w:tcPr>
          <w:p w14:paraId="3E0C85CC">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50分</w:t>
            </w:r>
          </w:p>
        </w:tc>
        <w:tc>
          <w:tcPr>
            <w:tcW w:w="6058" w:type="dxa"/>
            <w:gridSpan w:val="3"/>
            <w:vAlign w:val="center"/>
          </w:tcPr>
          <w:p w14:paraId="4BFE9F01">
            <w:pPr>
              <w:spacing w:line="360" w:lineRule="auto"/>
              <w:ind w:left="-21" w:leftChars="-37" w:right="113" w:hanging="57" w:hangingChars="3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评标价得分计算：</w:t>
            </w:r>
          </w:p>
          <w:p w14:paraId="27439AAE">
            <w:pPr>
              <w:spacing w:line="360" w:lineRule="auto"/>
              <w:ind w:left="-21" w:leftChars="-37" w:right="113" w:hanging="57" w:hangingChars="3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（1）如果投标人的评标价＞评标基准价，则评标价得分=50-偏差率绝对值×100×0.</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w:t>
            </w:r>
          </w:p>
          <w:p w14:paraId="44B5B49F">
            <w:pPr>
              <w:spacing w:line="360" w:lineRule="auto"/>
              <w:ind w:left="-21" w:leftChars="-37" w:right="113" w:hanging="57" w:hangingChars="3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（2）如果投标人的评标价≤评标基准价，则评标价得分=50-偏差率绝对值×100×0.</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w:t>
            </w:r>
          </w:p>
          <w:p w14:paraId="59812639">
            <w:pPr>
              <w:spacing w:line="360" w:lineRule="auto"/>
              <w:ind w:left="-10" w:leftChars="-5" w:right="113"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评标价得分最低扣至0分。</w:t>
            </w:r>
          </w:p>
        </w:tc>
      </w:tr>
    </w:tbl>
    <w:p w14:paraId="7F82512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5D434E59">
      <w:pPr>
        <w:spacing w:line="360" w:lineRule="auto"/>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续上表</w:t>
      </w:r>
    </w:p>
    <w:tbl>
      <w:tblPr>
        <w:tblStyle w:val="33"/>
        <w:tblW w:w="93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623"/>
        <w:gridCol w:w="1330"/>
        <w:gridCol w:w="1277"/>
        <w:gridCol w:w="1032"/>
        <w:gridCol w:w="993"/>
        <w:gridCol w:w="3036"/>
      </w:tblGrid>
      <w:tr w14:paraId="43EDE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6275" w:type="dxa"/>
            <w:gridSpan w:val="6"/>
            <w:vAlign w:val="center"/>
          </w:tcPr>
          <w:p w14:paraId="68899942">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评分因素与权重分值</w:t>
            </w:r>
          </w:p>
        </w:tc>
        <w:tc>
          <w:tcPr>
            <w:tcW w:w="3036" w:type="dxa"/>
            <w:vMerge w:val="restart"/>
            <w:vAlign w:val="center"/>
          </w:tcPr>
          <w:p w14:paraId="40593C4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val="0"/>
                <w:bCs/>
                <w:color w:val="auto"/>
                <w:sz w:val="18"/>
                <w:szCs w:val="18"/>
                <w:highlight w:val="none"/>
              </w:rPr>
              <w:t>评分标准</w:t>
            </w:r>
          </w:p>
        </w:tc>
      </w:tr>
      <w:tr w14:paraId="55FC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020" w:type="dxa"/>
            <w:vAlign w:val="center"/>
          </w:tcPr>
          <w:p w14:paraId="3228AC15">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条款号</w:t>
            </w:r>
          </w:p>
        </w:tc>
        <w:tc>
          <w:tcPr>
            <w:tcW w:w="1953" w:type="dxa"/>
            <w:gridSpan w:val="2"/>
            <w:vAlign w:val="center"/>
          </w:tcPr>
          <w:p w14:paraId="3214D909">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评分因素</w:t>
            </w:r>
          </w:p>
        </w:tc>
        <w:tc>
          <w:tcPr>
            <w:tcW w:w="1277" w:type="dxa"/>
            <w:vAlign w:val="center"/>
          </w:tcPr>
          <w:p w14:paraId="0162E8C2">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评分因素</w:t>
            </w:r>
          </w:p>
          <w:p w14:paraId="0F88A419">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权重分值</w:t>
            </w:r>
          </w:p>
        </w:tc>
        <w:tc>
          <w:tcPr>
            <w:tcW w:w="1032" w:type="dxa"/>
            <w:vAlign w:val="center"/>
          </w:tcPr>
          <w:p w14:paraId="114FF5A7">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各评分因素细分项</w:t>
            </w:r>
          </w:p>
        </w:tc>
        <w:tc>
          <w:tcPr>
            <w:tcW w:w="993" w:type="dxa"/>
            <w:vAlign w:val="center"/>
          </w:tcPr>
          <w:p w14:paraId="26348103">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分值</w:t>
            </w:r>
          </w:p>
        </w:tc>
        <w:tc>
          <w:tcPr>
            <w:tcW w:w="3036" w:type="dxa"/>
            <w:vMerge w:val="continue"/>
            <w:vAlign w:val="center"/>
          </w:tcPr>
          <w:p w14:paraId="3734C12A">
            <w:pPr>
              <w:spacing w:line="360" w:lineRule="auto"/>
              <w:jc w:val="center"/>
              <w:rPr>
                <w:rFonts w:hint="eastAsia" w:ascii="宋体" w:hAnsi="宋体" w:eastAsia="宋体" w:cs="宋体"/>
                <w:color w:val="auto"/>
                <w:sz w:val="18"/>
                <w:szCs w:val="18"/>
                <w:highlight w:val="none"/>
              </w:rPr>
            </w:pPr>
          </w:p>
        </w:tc>
      </w:tr>
      <w:tr w14:paraId="3300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020" w:type="dxa"/>
            <w:vMerge w:val="restart"/>
            <w:vAlign w:val="center"/>
          </w:tcPr>
          <w:p w14:paraId="4BB0A088">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2.2.4（4）</w:t>
            </w:r>
          </w:p>
        </w:tc>
        <w:tc>
          <w:tcPr>
            <w:tcW w:w="623" w:type="dxa"/>
            <w:vMerge w:val="restart"/>
            <w:vAlign w:val="center"/>
          </w:tcPr>
          <w:p w14:paraId="4A1C264E">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其他因素</w:t>
            </w:r>
          </w:p>
        </w:tc>
        <w:tc>
          <w:tcPr>
            <w:tcW w:w="1330" w:type="dxa"/>
            <w:vMerge w:val="restart"/>
            <w:vAlign w:val="center"/>
          </w:tcPr>
          <w:p w14:paraId="37268C11">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业绩</w:t>
            </w:r>
          </w:p>
        </w:tc>
        <w:tc>
          <w:tcPr>
            <w:tcW w:w="1277" w:type="dxa"/>
            <w:vMerge w:val="restart"/>
            <w:vAlign w:val="center"/>
          </w:tcPr>
          <w:p w14:paraId="36104F31">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w:t>
            </w:r>
            <w:r>
              <w:rPr>
                <w:rFonts w:hint="eastAsia" w:ascii="宋体" w:hAnsi="宋体" w:eastAsia="宋体" w:cs="宋体"/>
                <w:sz w:val="18"/>
                <w:szCs w:val="18"/>
                <w:highlight w:val="none"/>
              </w:rPr>
              <w:t>分</w:t>
            </w:r>
          </w:p>
        </w:tc>
        <w:tc>
          <w:tcPr>
            <w:tcW w:w="1032" w:type="dxa"/>
            <w:vMerge w:val="restart"/>
            <w:vAlign w:val="center"/>
          </w:tcPr>
          <w:p w14:paraId="1EEBAD74">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企业</w:t>
            </w:r>
          </w:p>
          <w:p w14:paraId="45390777">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业绩</w:t>
            </w:r>
          </w:p>
        </w:tc>
        <w:tc>
          <w:tcPr>
            <w:tcW w:w="993" w:type="dxa"/>
            <w:vAlign w:val="center"/>
          </w:tcPr>
          <w:p w14:paraId="4D868572">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6分</w:t>
            </w:r>
          </w:p>
        </w:tc>
        <w:tc>
          <w:tcPr>
            <w:tcW w:w="3036" w:type="dxa"/>
            <w:vAlign w:val="center"/>
          </w:tcPr>
          <w:p w14:paraId="6DD34B14">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满足最低资格要求得6分。</w:t>
            </w:r>
          </w:p>
        </w:tc>
      </w:tr>
      <w:tr w14:paraId="53AA6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5" w:hRule="atLeast"/>
          <w:jc w:val="center"/>
        </w:trPr>
        <w:tc>
          <w:tcPr>
            <w:tcW w:w="1020" w:type="dxa"/>
            <w:vMerge w:val="continue"/>
            <w:vAlign w:val="center"/>
          </w:tcPr>
          <w:p w14:paraId="4D84AB21">
            <w:pPr>
              <w:pStyle w:val="103"/>
              <w:spacing w:before="20" w:line="240" w:lineRule="auto"/>
              <w:ind w:left="107" w:right="97" w:firstLine="5"/>
              <w:jc w:val="both"/>
              <w:rPr>
                <w:rFonts w:hint="eastAsia" w:ascii="宋体" w:hAnsi="宋体" w:eastAsia="宋体" w:cs="宋体"/>
                <w:sz w:val="18"/>
                <w:szCs w:val="18"/>
                <w:highlight w:val="none"/>
              </w:rPr>
            </w:pPr>
          </w:p>
        </w:tc>
        <w:tc>
          <w:tcPr>
            <w:tcW w:w="623" w:type="dxa"/>
            <w:vMerge w:val="continue"/>
            <w:vAlign w:val="center"/>
          </w:tcPr>
          <w:p w14:paraId="0291EA88">
            <w:pPr>
              <w:pStyle w:val="103"/>
              <w:spacing w:before="20" w:line="240" w:lineRule="auto"/>
              <w:ind w:left="107" w:right="97" w:firstLine="5"/>
              <w:jc w:val="both"/>
              <w:rPr>
                <w:rFonts w:hint="eastAsia" w:ascii="宋体" w:hAnsi="宋体" w:eastAsia="宋体" w:cs="宋体"/>
                <w:sz w:val="18"/>
                <w:szCs w:val="18"/>
                <w:highlight w:val="none"/>
              </w:rPr>
            </w:pPr>
          </w:p>
        </w:tc>
        <w:tc>
          <w:tcPr>
            <w:tcW w:w="1330" w:type="dxa"/>
            <w:vMerge w:val="continue"/>
            <w:vAlign w:val="center"/>
          </w:tcPr>
          <w:p w14:paraId="7E34D49F">
            <w:pPr>
              <w:pStyle w:val="103"/>
              <w:spacing w:before="20" w:line="240" w:lineRule="auto"/>
              <w:ind w:left="107" w:right="97" w:firstLine="5"/>
              <w:jc w:val="both"/>
              <w:rPr>
                <w:rFonts w:hint="eastAsia" w:ascii="宋体" w:hAnsi="宋体" w:eastAsia="宋体" w:cs="宋体"/>
                <w:sz w:val="18"/>
                <w:szCs w:val="18"/>
                <w:highlight w:val="none"/>
              </w:rPr>
            </w:pPr>
          </w:p>
        </w:tc>
        <w:tc>
          <w:tcPr>
            <w:tcW w:w="1277" w:type="dxa"/>
            <w:vMerge w:val="continue"/>
            <w:vAlign w:val="center"/>
          </w:tcPr>
          <w:p w14:paraId="5127B981">
            <w:pPr>
              <w:pStyle w:val="103"/>
              <w:spacing w:before="20" w:line="240" w:lineRule="auto"/>
              <w:ind w:left="107" w:right="97" w:firstLine="5"/>
              <w:jc w:val="both"/>
              <w:rPr>
                <w:rFonts w:hint="eastAsia" w:ascii="宋体" w:hAnsi="宋体" w:eastAsia="宋体" w:cs="宋体"/>
                <w:sz w:val="18"/>
                <w:szCs w:val="18"/>
                <w:highlight w:val="none"/>
              </w:rPr>
            </w:pPr>
          </w:p>
        </w:tc>
        <w:tc>
          <w:tcPr>
            <w:tcW w:w="1032" w:type="dxa"/>
            <w:vMerge w:val="continue"/>
            <w:vAlign w:val="center"/>
          </w:tcPr>
          <w:p w14:paraId="3C870288">
            <w:pPr>
              <w:pStyle w:val="103"/>
              <w:spacing w:before="20" w:line="240" w:lineRule="auto"/>
              <w:ind w:left="107" w:right="97" w:firstLine="5"/>
              <w:jc w:val="both"/>
              <w:rPr>
                <w:rFonts w:hint="eastAsia" w:ascii="宋体" w:hAnsi="宋体" w:eastAsia="宋体" w:cs="宋体"/>
                <w:sz w:val="18"/>
                <w:szCs w:val="18"/>
                <w:highlight w:val="none"/>
              </w:rPr>
            </w:pPr>
          </w:p>
        </w:tc>
        <w:tc>
          <w:tcPr>
            <w:tcW w:w="993" w:type="dxa"/>
            <w:vAlign w:val="center"/>
          </w:tcPr>
          <w:p w14:paraId="60B3E291">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4分</w:t>
            </w:r>
          </w:p>
        </w:tc>
        <w:tc>
          <w:tcPr>
            <w:tcW w:w="3036" w:type="dxa"/>
            <w:vAlign w:val="center"/>
          </w:tcPr>
          <w:p w14:paraId="6ABF1BDA">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在满足</w:t>
            </w:r>
            <w:r>
              <w:rPr>
                <w:rFonts w:hint="eastAsia" w:ascii="宋体" w:hAnsi="宋体" w:eastAsia="宋体" w:cs="宋体"/>
                <w:sz w:val="18"/>
                <w:szCs w:val="18"/>
                <w:highlight w:val="none"/>
              </w:rPr>
              <w:t>最低资格</w:t>
            </w:r>
            <w:r>
              <w:rPr>
                <w:rFonts w:hint="eastAsia" w:ascii="宋体" w:hAnsi="宋体" w:eastAsia="宋体" w:cs="宋体"/>
                <w:sz w:val="18"/>
                <w:szCs w:val="18"/>
                <w:highlight w:val="none"/>
                <w:lang w:val="en-US" w:eastAsia="zh-CN"/>
              </w:rPr>
              <w:t>要求基础上，投标人（如为联合体则为联合体所有成员）每增加50公里满足最低资格条件要求的业绩加1.5分，最多加4分。中间值内插计算得分。</w:t>
            </w:r>
          </w:p>
          <w:p w14:paraId="3E0C03DA">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楷体" w:hAnsi="楷体" w:eastAsia="楷体" w:cs="楷体"/>
                <w:sz w:val="18"/>
                <w:szCs w:val="18"/>
                <w:highlight w:val="none"/>
                <w:lang w:val="en-US" w:eastAsia="zh-CN"/>
              </w:rPr>
              <w:t>注：以联合体形式投标的，按所有联合体成员业绩计算。</w:t>
            </w:r>
          </w:p>
        </w:tc>
      </w:tr>
      <w:tr w14:paraId="32DE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0" w:hRule="atLeast"/>
          <w:jc w:val="center"/>
        </w:trPr>
        <w:tc>
          <w:tcPr>
            <w:tcW w:w="9311" w:type="dxa"/>
            <w:gridSpan w:val="7"/>
            <w:vAlign w:val="center"/>
          </w:tcPr>
          <w:p w14:paraId="3BCF5EB0">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需要补充的其他内容：</w:t>
            </w:r>
          </w:p>
          <w:p w14:paraId="3361650D">
            <w:pPr>
              <w:pStyle w:val="103"/>
              <w:spacing w:before="20" w:line="240" w:lineRule="auto"/>
              <w:ind w:left="107" w:right="97" w:firstLine="361" w:firstLineChars="201"/>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各评分因素（评标价和履约信誉评分项除外）得分一般不得低于其权重分值的60%，且各评分因素得分应以评标委员会各成员的打分平均值确定，该平均值以去掉一个最高分和一个最低分后计算。评标委员会成员对某一项评分因素的评分低于权重分值60%的，应在评标报告中作出说明。所有评分分值均保留至小数点后两位，小数点后第三位四舍五入。</w:t>
            </w:r>
          </w:p>
          <w:p w14:paraId="49BD6B97">
            <w:pPr>
              <w:pStyle w:val="103"/>
              <w:spacing w:before="20" w:line="240" w:lineRule="auto"/>
              <w:ind w:left="107" w:right="97" w:firstLine="361" w:firstLineChars="201"/>
              <w:jc w:val="both"/>
              <w:rPr>
                <w:rFonts w:hint="eastAsia" w:ascii="宋体" w:hAnsi="宋体" w:eastAsia="宋体" w:cs="宋体"/>
                <w:color w:val="auto"/>
                <w:sz w:val="18"/>
                <w:szCs w:val="18"/>
                <w:highlight w:val="none"/>
              </w:rPr>
            </w:pPr>
            <w:r>
              <w:rPr>
                <w:rFonts w:hint="eastAsia" w:ascii="宋体" w:hAnsi="宋体" w:eastAsia="宋体" w:cs="宋体"/>
                <w:sz w:val="18"/>
                <w:szCs w:val="18"/>
                <w:highlight w:val="none"/>
                <w:lang w:val="en-US" w:eastAsia="zh-CN"/>
              </w:rPr>
              <w:t>2.施工组织设计采用“暗标”评审，如果某投标人的施工组织设计没有按照招标文件规定的格式、内容编制，且经评标委员会认定会暴露投标人信息的，评标委员会应一致将其施工组织设计评为0分，在详细评审中做</w:t>
            </w:r>
            <w:r>
              <w:rPr>
                <w:rFonts w:hint="eastAsia" w:ascii="宋体" w:hAnsi="宋体" w:eastAsia="宋体" w:cs="宋体"/>
                <w:sz w:val="18"/>
                <w:szCs w:val="18"/>
                <w:highlight w:val="none"/>
              </w:rPr>
              <w:t>否决</w:t>
            </w:r>
            <w:r>
              <w:rPr>
                <w:rFonts w:hint="eastAsia" w:ascii="宋体" w:hAnsi="宋体" w:eastAsia="宋体" w:cs="宋体"/>
                <w:sz w:val="18"/>
                <w:szCs w:val="18"/>
                <w:highlight w:val="none"/>
                <w:lang w:val="en-US" w:eastAsia="zh-CN"/>
              </w:rPr>
              <w:t>处理，并在评标报告中作出详细说明。</w:t>
            </w:r>
          </w:p>
        </w:tc>
      </w:tr>
    </w:tbl>
    <w:p w14:paraId="19678F82">
      <w:pPr>
        <w:jc w:val="left"/>
        <w:rPr>
          <w:rFonts w:hint="eastAsia" w:ascii="宋体" w:hAnsi="宋体" w:eastAsia="宋体" w:cs="宋体"/>
          <w:color w:val="auto"/>
          <w:sz w:val="18"/>
          <w:szCs w:val="18"/>
          <w:highlight w:val="none"/>
        </w:rPr>
      </w:pPr>
    </w:p>
    <w:p w14:paraId="60EBC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napToGrid w:val="0"/>
          <w:color w:val="000000"/>
          <w:spacing w:val="5"/>
          <w:kern w:val="0"/>
          <w:sz w:val="18"/>
          <w:szCs w:val="18"/>
          <w:highlight w:val="none"/>
          <w:lang w:val="en-US" w:eastAsia="zh-CN" w:bidi="ar-SA"/>
        </w:rPr>
      </w:pPr>
      <w:bookmarkStart w:id="7" w:name="_Toc509492449"/>
      <w:r>
        <w:rPr>
          <w:rFonts w:hint="eastAsia" w:ascii="黑体" w:hAnsi="黑体" w:eastAsia="黑体" w:cs="黑体"/>
          <w:snapToGrid w:val="0"/>
          <w:color w:val="000000"/>
          <w:spacing w:val="5"/>
          <w:kern w:val="0"/>
          <w:sz w:val="18"/>
          <w:szCs w:val="18"/>
          <w:highlight w:val="none"/>
          <w:lang w:val="en-US" w:eastAsia="zh-CN" w:bidi="ar-SA"/>
        </w:rPr>
        <w:t>评标办法</w:t>
      </w:r>
    </w:p>
    <w:bookmarkEnd w:id="7"/>
    <w:p w14:paraId="0A071A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8" w:name="_Toc234382664"/>
      <w:bookmarkStart w:id="9" w:name="_Toc35268506"/>
      <w:bookmarkStart w:id="10" w:name="_Toc32306"/>
      <w:r>
        <w:rPr>
          <w:rFonts w:hint="eastAsia" w:ascii="宋体" w:hAnsi="宋体" w:eastAsia="宋体" w:cs="宋体"/>
          <w:snapToGrid w:val="0"/>
          <w:color w:val="000000"/>
          <w:spacing w:val="5"/>
          <w:kern w:val="0"/>
          <w:sz w:val="18"/>
          <w:szCs w:val="18"/>
          <w:highlight w:val="none"/>
          <w:lang w:val="en-US" w:eastAsia="zh-CN" w:bidi="ar-SA"/>
        </w:rPr>
        <w:t>1.评标方法</w:t>
      </w:r>
      <w:bookmarkEnd w:id="8"/>
      <w:bookmarkEnd w:id="9"/>
      <w:bookmarkEnd w:id="10"/>
    </w:p>
    <w:p w14:paraId="032808C5">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451FE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11" w:name="_Toc35268507"/>
      <w:bookmarkStart w:id="12" w:name="_Toc28850"/>
      <w:bookmarkStart w:id="13" w:name="_Toc234382665"/>
      <w:r>
        <w:rPr>
          <w:rFonts w:hint="eastAsia" w:ascii="宋体" w:hAnsi="宋体" w:eastAsia="宋体" w:cs="宋体"/>
          <w:snapToGrid w:val="0"/>
          <w:color w:val="000000"/>
          <w:spacing w:val="5"/>
          <w:kern w:val="0"/>
          <w:sz w:val="18"/>
          <w:szCs w:val="18"/>
          <w:highlight w:val="none"/>
          <w:lang w:val="en-US" w:eastAsia="zh-CN" w:bidi="ar-SA"/>
        </w:rPr>
        <w:t>2.评审标准</w:t>
      </w:r>
      <w:bookmarkEnd w:id="11"/>
      <w:bookmarkEnd w:id="12"/>
      <w:bookmarkEnd w:id="13"/>
    </w:p>
    <w:p w14:paraId="6B14D1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14" w:name="_Toc8950"/>
      <w:bookmarkStart w:id="15" w:name="_Toc35268508"/>
      <w:r>
        <w:rPr>
          <w:rFonts w:hint="eastAsia" w:ascii="宋体" w:hAnsi="宋体" w:eastAsia="宋体" w:cs="宋体"/>
          <w:snapToGrid w:val="0"/>
          <w:color w:val="000000"/>
          <w:spacing w:val="5"/>
          <w:kern w:val="0"/>
          <w:sz w:val="18"/>
          <w:szCs w:val="18"/>
          <w:highlight w:val="none"/>
          <w:lang w:val="en-US" w:eastAsia="zh-CN" w:bidi="ar-SA"/>
        </w:rPr>
        <w:t>2.1初步评审标准</w:t>
      </w:r>
      <w:bookmarkEnd w:id="14"/>
      <w:bookmarkEnd w:id="15"/>
    </w:p>
    <w:p w14:paraId="1FE29B15">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2.1.1形式评审标准：见评标办法前附表。</w:t>
      </w:r>
    </w:p>
    <w:p w14:paraId="1B7DA49E">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2.1.2资格评审标准：见评标办法前附表（适用于未进行资格预审的）。</w:t>
      </w:r>
    </w:p>
    <w:p w14:paraId="38B1656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2.1.2资格评审标准：见资格预审文件第三章“资格审查办法”详细审查标准（适用于已进行资格预审的）。</w:t>
      </w:r>
    </w:p>
    <w:p w14:paraId="58DCD274">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2.1.3响应性评审标准：见评标办法前附表。</w:t>
      </w:r>
    </w:p>
    <w:p w14:paraId="0A44691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16" w:name="_Toc31123"/>
      <w:bookmarkStart w:id="17" w:name="_Toc35268509"/>
      <w:r>
        <w:rPr>
          <w:rFonts w:hint="eastAsia" w:ascii="宋体" w:hAnsi="宋体" w:eastAsia="宋体" w:cs="宋体"/>
          <w:snapToGrid w:val="0"/>
          <w:color w:val="000000"/>
          <w:spacing w:val="5"/>
          <w:kern w:val="0"/>
          <w:sz w:val="18"/>
          <w:szCs w:val="18"/>
          <w:highlight w:val="none"/>
          <w:lang w:val="en-US" w:eastAsia="zh-CN" w:bidi="ar-SA"/>
        </w:rPr>
        <w:t>2.2分值构成与评分标准</w:t>
      </w:r>
      <w:bookmarkEnd w:id="16"/>
      <w:bookmarkEnd w:id="17"/>
    </w:p>
    <w:p w14:paraId="250FB69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2.2.1分值构成</w:t>
      </w:r>
    </w:p>
    <w:p w14:paraId="1DD58B11">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（1）施工组织设计：见评标办法前附表；</w:t>
      </w:r>
    </w:p>
    <w:p w14:paraId="258E4AFF">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（2）主要人员：见评标办法前附表；</w:t>
      </w:r>
    </w:p>
    <w:p w14:paraId="033AB8B8">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（3）投标报价：见评标办法前附表；</w:t>
      </w:r>
    </w:p>
    <w:p w14:paraId="19A70A19">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（4）其他评分因素：见评标办法前附表。</w:t>
      </w:r>
    </w:p>
    <w:p w14:paraId="5C4039C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2.2.2评标基准价计算</w:t>
      </w:r>
    </w:p>
    <w:p w14:paraId="43B7F94F">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评标基准价计算方法：见评标办法前附表。</w:t>
      </w:r>
    </w:p>
    <w:p w14:paraId="7988322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2.2.3投标报价的偏差率计算</w:t>
      </w:r>
    </w:p>
    <w:p w14:paraId="036B6ED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投标报价的偏差率计算公式：见评标办法前附表。</w:t>
      </w:r>
    </w:p>
    <w:p w14:paraId="4E5AE4A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2.2.4评分标准</w:t>
      </w:r>
    </w:p>
    <w:p w14:paraId="720AE3ED">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（1）施工组织设计评分标准：见评标办法前附表；</w:t>
      </w:r>
    </w:p>
    <w:p w14:paraId="458BEEB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（2）主要人员评分标准：见评标办法前附表；</w:t>
      </w:r>
    </w:p>
    <w:p w14:paraId="417B9F29">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（3）投标报价评分标准：见评标办法前附表；</w:t>
      </w:r>
    </w:p>
    <w:p w14:paraId="27613249">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（4）其他因素评分标准：见评标办法前附表。</w:t>
      </w:r>
    </w:p>
    <w:p w14:paraId="5FAE28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18" w:name="_Toc35268510"/>
      <w:bookmarkStart w:id="19" w:name="_Toc19829"/>
      <w:r>
        <w:rPr>
          <w:rFonts w:hint="eastAsia" w:ascii="宋体" w:hAnsi="宋体" w:eastAsia="宋体" w:cs="宋体"/>
          <w:snapToGrid w:val="0"/>
          <w:color w:val="000000"/>
          <w:spacing w:val="5"/>
          <w:kern w:val="0"/>
          <w:sz w:val="18"/>
          <w:szCs w:val="18"/>
          <w:highlight w:val="none"/>
          <w:lang w:val="en-US" w:eastAsia="zh-CN" w:bidi="ar-SA"/>
        </w:rPr>
        <w:t>3.评标程序</w:t>
      </w:r>
      <w:bookmarkEnd w:id="18"/>
      <w:bookmarkEnd w:id="19"/>
    </w:p>
    <w:p w14:paraId="24D859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0" w:name="_Toc10958"/>
      <w:bookmarkStart w:id="21" w:name="_Toc35268511"/>
      <w:r>
        <w:rPr>
          <w:rFonts w:hint="eastAsia" w:ascii="宋体" w:hAnsi="宋体" w:eastAsia="宋体" w:cs="宋体"/>
          <w:snapToGrid w:val="0"/>
          <w:color w:val="000000"/>
          <w:spacing w:val="5"/>
          <w:kern w:val="0"/>
          <w:sz w:val="18"/>
          <w:szCs w:val="18"/>
          <w:highlight w:val="none"/>
          <w:lang w:val="en-US" w:eastAsia="zh-CN" w:bidi="ar-SA"/>
        </w:rPr>
        <w:t>3.1第一个信封初步评审</w:t>
      </w:r>
      <w:bookmarkEnd w:id="20"/>
      <w:bookmarkEnd w:id="21"/>
    </w:p>
    <w:p w14:paraId="22684A94">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467443BF">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3.1.2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23E2EB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2" w:name="_Toc10032"/>
      <w:bookmarkStart w:id="23" w:name="_Toc35268512"/>
      <w:r>
        <w:rPr>
          <w:rFonts w:hint="eastAsia" w:ascii="宋体" w:hAnsi="宋体" w:eastAsia="宋体" w:cs="宋体"/>
          <w:snapToGrid w:val="0"/>
          <w:color w:val="000000"/>
          <w:spacing w:val="5"/>
          <w:kern w:val="0"/>
          <w:sz w:val="18"/>
          <w:szCs w:val="18"/>
          <w:highlight w:val="none"/>
          <w:lang w:val="en-US" w:eastAsia="zh-CN" w:bidi="ar-SA"/>
        </w:rPr>
        <w:t>3.2第一个信封详细评审</w:t>
      </w:r>
      <w:bookmarkEnd w:id="22"/>
      <w:bookmarkEnd w:id="23"/>
    </w:p>
    <w:p w14:paraId="3F70C1F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3.2.1评标委员会按本章第2.2款规定的量化因素和分值进行打分，并计算出各投标人的商务和技术得分。</w:t>
      </w:r>
    </w:p>
    <w:p w14:paraId="15E7AF45">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（1）按本章第2.2.4（1）目规定的评审因素和分值对施工组织设计部分计算出得分A；</w:t>
      </w:r>
    </w:p>
    <w:p w14:paraId="55D3D57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（2）按本章第2.2.4（2）目规定的评审因素和分值对主要人员部分计算出得分B；</w:t>
      </w:r>
    </w:p>
    <w:p w14:paraId="364388F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（3）按本章第2.2.4（4）目规定的评审因素和分值对其他部分计算出得分D。</w:t>
      </w:r>
    </w:p>
    <w:p w14:paraId="2CFD2E0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3.2.2投标人的商务和技术得分分值计算保留小数点后两位，小数点后第三位“四舍五入”。</w:t>
      </w:r>
    </w:p>
    <w:p w14:paraId="4F063E1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3.2.3投标人的商务和技术得分=A+B+D。</w:t>
      </w:r>
    </w:p>
    <w:p w14:paraId="336EB7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4" w:name="_Toc22133"/>
      <w:bookmarkStart w:id="25" w:name="_Toc35268513"/>
      <w:r>
        <w:rPr>
          <w:rFonts w:hint="eastAsia" w:ascii="宋体" w:hAnsi="宋体" w:eastAsia="宋体" w:cs="宋体"/>
          <w:snapToGrid w:val="0"/>
          <w:color w:val="000000"/>
          <w:spacing w:val="5"/>
          <w:kern w:val="0"/>
          <w:sz w:val="18"/>
          <w:szCs w:val="18"/>
          <w:highlight w:val="none"/>
          <w:lang w:val="en-US" w:eastAsia="zh-CN" w:bidi="ar-SA"/>
        </w:rPr>
        <w:t>3.3第二个信封开标</w:t>
      </w:r>
      <w:bookmarkEnd w:id="24"/>
      <w:bookmarkEnd w:id="25"/>
    </w:p>
    <w:p w14:paraId="1A253603">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第一个信封（商务及技术文件）评审结束后，招标人将按照第二章“投标人须知”第5.1款规定的时间和地点对通过投标文件第一个信封（商务及技术文件）评审的投标文件第二个信封（报价文件）进行开标。</w:t>
      </w:r>
    </w:p>
    <w:p w14:paraId="4570EFB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6" w:name="_Toc30297"/>
      <w:bookmarkStart w:id="27" w:name="_Toc35268514"/>
      <w:r>
        <w:rPr>
          <w:rFonts w:hint="eastAsia" w:ascii="宋体" w:hAnsi="宋体" w:eastAsia="宋体" w:cs="宋体"/>
          <w:snapToGrid w:val="0"/>
          <w:color w:val="000000"/>
          <w:spacing w:val="5"/>
          <w:kern w:val="0"/>
          <w:sz w:val="18"/>
          <w:szCs w:val="18"/>
          <w:highlight w:val="none"/>
          <w:lang w:val="en-US" w:eastAsia="zh-CN" w:bidi="ar-SA"/>
        </w:rPr>
        <w:t>3.4第二个信封初步评审</w:t>
      </w:r>
      <w:bookmarkEnd w:id="26"/>
      <w:bookmarkEnd w:id="27"/>
    </w:p>
    <w:p w14:paraId="29038F51">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3.4.1评标委员会依据本章第2.1.1项、第2.1.3项规定的评审标准对投标文件第二个信封（报价文件）进行初步评审。有一项不符合评审标准的，评标委员会应否决其投标。</w:t>
      </w:r>
    </w:p>
    <w:p w14:paraId="02FB481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3.4.2</w:t>
      </w:r>
      <w:r>
        <w:rPr>
          <w:rFonts w:hint="eastAsia" w:ascii="宋体" w:hAnsi="宋体" w:eastAsia="宋体" w:cs="宋体"/>
          <w:snapToGrid w:val="0"/>
          <w:color w:val="000000"/>
          <w:spacing w:val="5"/>
          <w:kern w:val="0"/>
          <w:sz w:val="18"/>
          <w:szCs w:val="18"/>
          <w:highlight w:val="none"/>
          <w:vertAlign w:val="superscript"/>
          <w:lang w:val="en-US" w:eastAsia="zh-CN" w:bidi="ar-SA"/>
        </w:rPr>
        <w:footnoteReference w:id="1"/>
      </w:r>
      <w:r>
        <w:rPr>
          <w:rFonts w:hint="eastAsia" w:ascii="宋体" w:hAnsi="宋体" w:eastAsia="宋体" w:cs="宋体"/>
          <w:snapToGrid w:val="0"/>
          <w:color w:val="000000"/>
          <w:spacing w:val="5"/>
          <w:kern w:val="0"/>
          <w:sz w:val="18"/>
          <w:szCs w:val="18"/>
          <w:highlight w:val="none"/>
          <w:lang w:val="en-US" w:eastAsia="zh-CN" w:bidi="ar-SA"/>
        </w:rPr>
        <w:t>投标报价有算术错误的，评标委员会按以下原则对投标报价进行修正，修正的价格经投标人书面确认后具有约束力。投标人不接受修正价格的，评标委员会应否决其投标。</w:t>
      </w:r>
    </w:p>
    <w:p w14:paraId="506AFBA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（1）投标文件中的大写金额与小写金额不一致的，以大写金额为准；</w:t>
      </w:r>
    </w:p>
    <w:p w14:paraId="1A6427B3">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（2）总价金额与依据单价计算出的结果不一致的，以单价金额为准修正总价，但单价金额小数点有明显错误的除外；</w:t>
      </w:r>
    </w:p>
    <w:p w14:paraId="549FC8B4">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（3）当单价与数量相乘不等于合价时，以单价计算为准，如果单价有明显的小数点位置差错，应以标出的合价为准，同时对单价予以修正；</w:t>
      </w:r>
    </w:p>
    <w:p w14:paraId="56C54498">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（4）当各子目的合价累计不等于总价时，应以各子目合价累计数为准，修正总价。</w:t>
      </w:r>
    </w:p>
    <w:p w14:paraId="442B4C38">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3.4.3工程量清单中的投标报价有其他错误的，评标委员会按以下原则对投标报价进行修正，修正的价格经投标人书面确认后具有约束力。投标人不接受修正价格的，评标委员会应否决其投标。</w:t>
      </w:r>
    </w:p>
    <w:p w14:paraId="5AB4184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78B8C5D">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F54A1E3">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（3）当单价与数量的乘积与合价（金额）虽然一致，但投标人修改了该子目的工程数量，则其合价按招标人给定的工程数量乘以投标人所报单价予以修正。</w:t>
      </w:r>
    </w:p>
    <w:p w14:paraId="1A53CBB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3.4.4修正后的最终投标报价若超过最高投标限价（如有），评标委员会应否决其投标。</w:t>
      </w:r>
    </w:p>
    <w:p w14:paraId="361B6ED1">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3.4.5修正后的最终投标报价仅作为签订合同的一个依据，不参与评标价得分的计算。</w:t>
      </w:r>
    </w:p>
    <w:p w14:paraId="051911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8" w:name="_Toc35268515"/>
      <w:bookmarkStart w:id="29" w:name="_Toc31943"/>
      <w:r>
        <w:rPr>
          <w:rFonts w:hint="eastAsia" w:ascii="宋体" w:hAnsi="宋体" w:eastAsia="宋体" w:cs="宋体"/>
          <w:snapToGrid w:val="0"/>
          <w:color w:val="000000"/>
          <w:spacing w:val="5"/>
          <w:kern w:val="0"/>
          <w:sz w:val="18"/>
          <w:szCs w:val="18"/>
          <w:highlight w:val="none"/>
          <w:lang w:val="en-US" w:eastAsia="zh-CN" w:bidi="ar-SA"/>
        </w:rPr>
        <w:t>3.5第二个信封详细评审</w:t>
      </w:r>
      <w:bookmarkEnd w:id="28"/>
      <w:bookmarkEnd w:id="29"/>
    </w:p>
    <w:p w14:paraId="74497258">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3.5.1评标委员会按本章第2.2.4（3）目规定的评审因素和分值对投标报价计算出得分C。投标报价得分分值计算保留小数点后两位，小数点后第三位“四舍五入”。</w:t>
      </w:r>
    </w:p>
    <w:p w14:paraId="233E69D1">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3.5.2投标人得分=投标人的商务和技术得分+C。</w:t>
      </w:r>
    </w:p>
    <w:p w14:paraId="4EBCC85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C2D58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30" w:name="_Toc10653"/>
      <w:bookmarkStart w:id="31" w:name="_Toc35268516"/>
      <w:r>
        <w:rPr>
          <w:rFonts w:hint="eastAsia" w:ascii="宋体" w:hAnsi="宋体" w:eastAsia="宋体" w:cs="宋体"/>
          <w:snapToGrid w:val="0"/>
          <w:color w:val="000000"/>
          <w:spacing w:val="5"/>
          <w:kern w:val="0"/>
          <w:sz w:val="18"/>
          <w:szCs w:val="18"/>
          <w:highlight w:val="none"/>
          <w:lang w:val="en-US" w:eastAsia="zh-CN" w:bidi="ar-SA"/>
        </w:rPr>
        <w:t>3.6投标文件相关信息的核查</w:t>
      </w:r>
      <w:bookmarkEnd w:id="30"/>
      <w:bookmarkEnd w:id="31"/>
    </w:p>
    <w:p w14:paraId="70923109">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7D625FA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125D195E">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（1）有下列情形之一的，属于投标人相互串通投标：</w:t>
      </w:r>
    </w:p>
    <w:p w14:paraId="0B44468D">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a.投标人之间协商投标报价等投标文件的实质性内容；</w:t>
      </w:r>
    </w:p>
    <w:p w14:paraId="6EB787C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b.投标人之间约定中标人；</w:t>
      </w:r>
    </w:p>
    <w:p w14:paraId="5B25658F">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c.投标人之间约定部分投标人放弃投标或中标；</w:t>
      </w:r>
    </w:p>
    <w:p w14:paraId="53A349C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d.属于同一集团、协会、商会等组织成员的投标人按照该组织要求协同投标；</w:t>
      </w:r>
    </w:p>
    <w:p w14:paraId="10344204">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e.投标人之间为谋取中标或者排斥特定投标人而采取的其他联合行动。</w:t>
      </w:r>
    </w:p>
    <w:p w14:paraId="1445BDFF">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（2）有下列情形之一的，视为投标人相互串通投标：</w:t>
      </w:r>
    </w:p>
    <w:p w14:paraId="0AA2FB2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a.不同投标人的投标文件由同一单位或者个人编制；</w:t>
      </w:r>
    </w:p>
    <w:p w14:paraId="5EDD0891">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b.不同投标人委托同一单位或个人办理投标事宜；</w:t>
      </w:r>
    </w:p>
    <w:p w14:paraId="6EB7A78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c.不同投标人的投标文件载明的项目管理成员为同一人；</w:t>
      </w:r>
    </w:p>
    <w:p w14:paraId="0FC72A95">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d.不同投标人的投标文件异常一致或投标报价呈规律性差异；</w:t>
      </w:r>
    </w:p>
    <w:p w14:paraId="494E2A3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e.不同投标人的投标文件相互混装；</w:t>
      </w:r>
    </w:p>
    <w:p w14:paraId="4481AA83">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f.不同投标人的投标保证金从同一单位或个人的账户转出。</w:t>
      </w:r>
    </w:p>
    <w:p w14:paraId="0B1B5267">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（3）有下列情形之一的，属于招标人与投标人串通投标：</w:t>
      </w:r>
    </w:p>
    <w:p w14:paraId="0C10282E">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a.招标人在开标前开启投标文件并将有关信息泄露给其他投标人；</w:t>
      </w:r>
    </w:p>
    <w:p w14:paraId="1D0F9D5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b.招标人直接或间接向投标人泄露标底、评标委员会成员等信息；</w:t>
      </w:r>
    </w:p>
    <w:p w14:paraId="682DA59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c.招标人明示或暗示投标人压低或抬高投标报价；</w:t>
      </w:r>
    </w:p>
    <w:p w14:paraId="4008A8F7">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d.招标人授意投标人撤换、修改投标文件；</w:t>
      </w:r>
    </w:p>
    <w:p w14:paraId="64C588E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e.招标人明示或暗示投标人为特定投标人中标提供方便；</w:t>
      </w:r>
    </w:p>
    <w:p w14:paraId="2E86BD5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f.招标人与投标人为谋求特定投标人中标而采取的其他串通行为。</w:t>
      </w:r>
    </w:p>
    <w:p w14:paraId="2BB80CA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（4）投标人有下列情形之一的，属于弄虚作假的行为：</w:t>
      </w:r>
    </w:p>
    <w:p w14:paraId="24848D47">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a.使用通过受让或租借等方式获取的资格、资质证书投标；</w:t>
      </w:r>
    </w:p>
    <w:p w14:paraId="31F869B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b.使用伪造、变造的许可证件；</w:t>
      </w:r>
    </w:p>
    <w:p w14:paraId="42134AA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c.提供虚假的财务状况或业绩；</w:t>
      </w:r>
    </w:p>
    <w:p w14:paraId="4083BAD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d.提供虚假的项目负责人或主要技术人员简历、劳动关系证明；</w:t>
      </w:r>
    </w:p>
    <w:p w14:paraId="0CEFB5AD">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e.提供虚假的信用状况；</w:t>
      </w:r>
    </w:p>
    <w:p w14:paraId="43B8E6B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f.其他弄虚作假的行为。</w:t>
      </w:r>
    </w:p>
    <w:p w14:paraId="6712DD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32" w:name="_Toc19301"/>
      <w:bookmarkStart w:id="33" w:name="_Toc35268517"/>
      <w:r>
        <w:rPr>
          <w:rFonts w:hint="eastAsia" w:ascii="宋体" w:hAnsi="宋体" w:eastAsia="宋体" w:cs="宋体"/>
          <w:snapToGrid w:val="0"/>
          <w:color w:val="000000"/>
          <w:spacing w:val="5"/>
          <w:kern w:val="0"/>
          <w:sz w:val="18"/>
          <w:szCs w:val="18"/>
          <w:highlight w:val="none"/>
          <w:lang w:val="en-US" w:eastAsia="zh-CN" w:bidi="ar-SA"/>
        </w:rPr>
        <w:t>3.7投标文件的澄清和说明</w:t>
      </w:r>
      <w:bookmarkEnd w:id="32"/>
      <w:bookmarkEnd w:id="33"/>
    </w:p>
    <w:p w14:paraId="69DEE712">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539D6D9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3.7.2澄清和说明不得超出投标文件的范围或改变投标文件的实质性内容（算术性错误修正的除外）。投标人的书面澄清、说明属于投标文件的组成部分。</w:t>
      </w:r>
    </w:p>
    <w:p w14:paraId="6E69B926">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3.7.3评标委员会不得暗示或诱导投标人作出澄清、说明，对投标人提交的澄清、说明有疑问的，可以要求投标人进一步澄清或说明，直至满足评标委员会的要求。</w:t>
      </w:r>
    </w:p>
    <w:p w14:paraId="78B14390">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3.7.4凡超出招标文件规定的或给发包人带来未曾要求的利益的变化、偏差或其他因素在评标时不予考虑。</w:t>
      </w:r>
    </w:p>
    <w:p w14:paraId="4325F3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34" w:name="_Toc35268518"/>
      <w:bookmarkStart w:id="35" w:name="_Toc29475"/>
      <w:r>
        <w:rPr>
          <w:rFonts w:hint="eastAsia" w:ascii="宋体" w:hAnsi="宋体" w:eastAsia="宋体" w:cs="宋体"/>
          <w:snapToGrid w:val="0"/>
          <w:color w:val="000000"/>
          <w:spacing w:val="5"/>
          <w:kern w:val="0"/>
          <w:sz w:val="18"/>
          <w:szCs w:val="18"/>
          <w:highlight w:val="none"/>
          <w:lang w:val="en-US" w:eastAsia="zh-CN" w:bidi="ar-SA"/>
        </w:rPr>
        <w:t>3.8不得否决投标的情形</w:t>
      </w:r>
      <w:bookmarkEnd w:id="34"/>
      <w:bookmarkEnd w:id="35"/>
    </w:p>
    <w:p w14:paraId="0668755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投标文件存在第二章“投标人须知”第1.12.3项所列情形的，均视为细微偏差，评标委员会不得否决投标人的投标，应按照第二章“投标人须知”第1.12.4项规定的原则处理。</w:t>
      </w:r>
    </w:p>
    <w:p w14:paraId="0C5784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36" w:name="_Toc727"/>
      <w:bookmarkStart w:id="37" w:name="_Toc35268519"/>
      <w:r>
        <w:rPr>
          <w:rFonts w:hint="eastAsia" w:ascii="宋体" w:hAnsi="宋体" w:eastAsia="宋体" w:cs="宋体"/>
          <w:snapToGrid w:val="0"/>
          <w:color w:val="000000"/>
          <w:spacing w:val="5"/>
          <w:kern w:val="0"/>
          <w:sz w:val="18"/>
          <w:szCs w:val="18"/>
          <w:highlight w:val="none"/>
          <w:lang w:val="en-US" w:eastAsia="zh-CN" w:bidi="ar-SA"/>
        </w:rPr>
        <w:t>3.9评标结果</w:t>
      </w:r>
      <w:bookmarkEnd w:id="36"/>
      <w:bookmarkEnd w:id="37"/>
    </w:p>
    <w:p w14:paraId="67D43C5B">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3.9.1除第二章“投标人须知”前附表授权直接确定中标人外，评标委员会按照得分由高到低的顺序推荐中标候选人，并标明排序。</w:t>
      </w:r>
    </w:p>
    <w:p w14:paraId="33DF77E8">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3.9.2评标委员会完成评标后，应向招标人提交书面评标报告。</w:t>
      </w:r>
    </w:p>
    <w:sectPr>
      <w:footerReference r:id="rId5" w:type="default"/>
      <w:footnotePr>
        <w:numFmt w:val="decimalEnclosedCircleChinese"/>
        <w:numRestart w:val="eachPage"/>
      </w:footnotePr>
      <w:pgSz w:w="11907" w:h="16840"/>
      <w:pgMar w:top="1134" w:right="1134" w:bottom="1134" w:left="1134" w:header="794" w:footer="7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E8BFDD-2E64-437A-9B41-400E048E19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28B6405-EE23-4A8E-A417-263D537991E4}"/>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DF8AC4D4-0135-4281-ADF4-026058A01CE3}"/>
  </w:font>
  <w:font w:name="楷体_GB2312">
    <w:panose1 w:val="02010609030101010101"/>
    <w:charset w:val="86"/>
    <w:family w:val="modern"/>
    <w:pitch w:val="default"/>
    <w:sig w:usb0="00000001" w:usb1="080E0000" w:usb2="00000000" w:usb3="00000000" w:csb0="00040000" w:csb1="00000000"/>
  </w:font>
  <w:font w:name="monospace">
    <w:altName w:val="Cambria"/>
    <w:panose1 w:val="00000000000000000000"/>
    <w:charset w:val="00"/>
    <w:family w:val="roman"/>
    <w:pitch w:val="default"/>
    <w:sig w:usb0="00000000" w:usb1="00000000" w:usb2="00000000" w:usb3="00000000" w:csb0="00000000" w:csb1="00000000"/>
  </w:font>
  <w:font w:name="宋体_x0002_ā">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SourceHanSansCN-Medium">
    <w:altName w:val="Cambria"/>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522">
    <w:pPr>
      <w:pStyle w:val="19"/>
      <w:jc w:val="center"/>
      <w:rPr>
        <w:rFonts w:ascii="宋体" w:hAnsi="宋体"/>
        <w:sz w:val="21"/>
        <w:szCs w:val="21"/>
      </w:rPr>
    </w:pPr>
  </w:p>
  <w:p w14:paraId="6BF64866">
    <w:pPr>
      <w:pStyle w:val="1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14FCF364">
      <w:pPr>
        <w:pStyle w:val="23"/>
        <w:pBdr>
          <w:top w:val="none" w:color="auto" w:sz="0" w:space="0"/>
          <w:left w:val="none" w:color="auto" w:sz="0" w:space="0"/>
          <w:bottom w:val="none" w:color="auto" w:sz="0" w:space="0"/>
          <w:right w:val="none" w:color="auto" w:sz="0" w:space="0"/>
        </w:pBdr>
        <w:jc w:val="both"/>
        <w:rPr>
          <w:rFonts w:ascii="楷体" w:hAnsi="楷体" w:eastAsia="楷体"/>
        </w:rPr>
      </w:pPr>
      <w:r>
        <w:rPr>
          <w:rStyle w:val="4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69C751CF">
      <w:pPr>
        <w:pStyle w:val="23"/>
      </w:pPr>
      <w:r>
        <w:rPr>
          <w:rStyle w:val="47"/>
        </w:rPr>
        <w:footnoteRef/>
      </w:r>
      <w:r>
        <w:t xml:space="preserve"> </w:t>
      </w:r>
      <w:r>
        <w:rPr>
          <w:rFonts w:hint="eastAsia"/>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第3.4.2项和第3.4.3项的规定对投标报价进行修正，第3.4.2项至第3.4.5项内容不适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jc2MGZiOTA0NWVjMWI5YmI5NDhkNzlkZDgzODcifQ=="/>
  </w:docVars>
  <w:rsids>
    <w:rsidRoot w:val="009B6261"/>
    <w:rsid w:val="00003BF8"/>
    <w:rsid w:val="00007325"/>
    <w:rsid w:val="00014CBB"/>
    <w:rsid w:val="000160E7"/>
    <w:rsid w:val="00016E9F"/>
    <w:rsid w:val="000219A2"/>
    <w:rsid w:val="00021C07"/>
    <w:rsid w:val="000223A9"/>
    <w:rsid w:val="00030B25"/>
    <w:rsid w:val="00032D5F"/>
    <w:rsid w:val="00035071"/>
    <w:rsid w:val="0004338B"/>
    <w:rsid w:val="0004347F"/>
    <w:rsid w:val="00043970"/>
    <w:rsid w:val="00043CC0"/>
    <w:rsid w:val="00045358"/>
    <w:rsid w:val="0005777E"/>
    <w:rsid w:val="00064EEE"/>
    <w:rsid w:val="00074B3F"/>
    <w:rsid w:val="000800D0"/>
    <w:rsid w:val="00082C6A"/>
    <w:rsid w:val="0009309B"/>
    <w:rsid w:val="000947C9"/>
    <w:rsid w:val="00097D7B"/>
    <w:rsid w:val="000A0173"/>
    <w:rsid w:val="000A3507"/>
    <w:rsid w:val="000A4893"/>
    <w:rsid w:val="000B5E08"/>
    <w:rsid w:val="000C26CD"/>
    <w:rsid w:val="000C2904"/>
    <w:rsid w:val="000C7E30"/>
    <w:rsid w:val="000D5278"/>
    <w:rsid w:val="000D6779"/>
    <w:rsid w:val="000E5DB9"/>
    <w:rsid w:val="000E67AD"/>
    <w:rsid w:val="000E7E11"/>
    <w:rsid w:val="000F4529"/>
    <w:rsid w:val="000F7B51"/>
    <w:rsid w:val="00102617"/>
    <w:rsid w:val="00103269"/>
    <w:rsid w:val="001050C1"/>
    <w:rsid w:val="00111536"/>
    <w:rsid w:val="00123081"/>
    <w:rsid w:val="00126975"/>
    <w:rsid w:val="001276FF"/>
    <w:rsid w:val="0014122D"/>
    <w:rsid w:val="00145DD9"/>
    <w:rsid w:val="0015589D"/>
    <w:rsid w:val="001568C7"/>
    <w:rsid w:val="00156EDB"/>
    <w:rsid w:val="001610E2"/>
    <w:rsid w:val="001618A8"/>
    <w:rsid w:val="00161A82"/>
    <w:rsid w:val="00162B6D"/>
    <w:rsid w:val="001633C6"/>
    <w:rsid w:val="00163650"/>
    <w:rsid w:val="0016726C"/>
    <w:rsid w:val="00170C24"/>
    <w:rsid w:val="001742DB"/>
    <w:rsid w:val="00191B8A"/>
    <w:rsid w:val="001957F0"/>
    <w:rsid w:val="001B2EE3"/>
    <w:rsid w:val="001B67B0"/>
    <w:rsid w:val="001D4C44"/>
    <w:rsid w:val="001D61FB"/>
    <w:rsid w:val="001E0797"/>
    <w:rsid w:val="001F0BF8"/>
    <w:rsid w:val="001F3143"/>
    <w:rsid w:val="001F3D85"/>
    <w:rsid w:val="001F7153"/>
    <w:rsid w:val="00205C64"/>
    <w:rsid w:val="0020776B"/>
    <w:rsid w:val="00221627"/>
    <w:rsid w:val="00222462"/>
    <w:rsid w:val="002225D5"/>
    <w:rsid w:val="0022578F"/>
    <w:rsid w:val="002271A1"/>
    <w:rsid w:val="00243E9F"/>
    <w:rsid w:val="00243EED"/>
    <w:rsid w:val="00246E7B"/>
    <w:rsid w:val="002478B0"/>
    <w:rsid w:val="00253B90"/>
    <w:rsid w:val="002547EA"/>
    <w:rsid w:val="002655F8"/>
    <w:rsid w:val="00274979"/>
    <w:rsid w:val="00280CBB"/>
    <w:rsid w:val="00285A62"/>
    <w:rsid w:val="002871DF"/>
    <w:rsid w:val="00297ED0"/>
    <w:rsid w:val="002A4723"/>
    <w:rsid w:val="002A49F1"/>
    <w:rsid w:val="002A5700"/>
    <w:rsid w:val="002A70F1"/>
    <w:rsid w:val="002B1237"/>
    <w:rsid w:val="002B286B"/>
    <w:rsid w:val="002B342B"/>
    <w:rsid w:val="002B6CFD"/>
    <w:rsid w:val="002B78A1"/>
    <w:rsid w:val="002C22A1"/>
    <w:rsid w:val="002C6AE1"/>
    <w:rsid w:val="002D0F1A"/>
    <w:rsid w:val="002E69AC"/>
    <w:rsid w:val="002E70AA"/>
    <w:rsid w:val="002E7ABF"/>
    <w:rsid w:val="003005F3"/>
    <w:rsid w:val="00300F23"/>
    <w:rsid w:val="0030140C"/>
    <w:rsid w:val="00304A11"/>
    <w:rsid w:val="00304B2D"/>
    <w:rsid w:val="00313D49"/>
    <w:rsid w:val="003176F2"/>
    <w:rsid w:val="00321BE8"/>
    <w:rsid w:val="00323558"/>
    <w:rsid w:val="00325C74"/>
    <w:rsid w:val="00344742"/>
    <w:rsid w:val="00355AD0"/>
    <w:rsid w:val="0036165B"/>
    <w:rsid w:val="00365EE3"/>
    <w:rsid w:val="0037482E"/>
    <w:rsid w:val="00375AF0"/>
    <w:rsid w:val="00377343"/>
    <w:rsid w:val="00381969"/>
    <w:rsid w:val="003829FE"/>
    <w:rsid w:val="003843D8"/>
    <w:rsid w:val="00387FCB"/>
    <w:rsid w:val="00391178"/>
    <w:rsid w:val="0039129E"/>
    <w:rsid w:val="00392005"/>
    <w:rsid w:val="00393D71"/>
    <w:rsid w:val="003A1458"/>
    <w:rsid w:val="003A43F1"/>
    <w:rsid w:val="003A6966"/>
    <w:rsid w:val="003B4977"/>
    <w:rsid w:val="003B752E"/>
    <w:rsid w:val="003C4198"/>
    <w:rsid w:val="003D5D7B"/>
    <w:rsid w:val="003D608D"/>
    <w:rsid w:val="003D6EC2"/>
    <w:rsid w:val="003D7539"/>
    <w:rsid w:val="003E010F"/>
    <w:rsid w:val="003E4BE7"/>
    <w:rsid w:val="003E4F7E"/>
    <w:rsid w:val="003E6FFF"/>
    <w:rsid w:val="00402361"/>
    <w:rsid w:val="00404ABE"/>
    <w:rsid w:val="00406896"/>
    <w:rsid w:val="00406EA3"/>
    <w:rsid w:val="00407ED3"/>
    <w:rsid w:val="0041635B"/>
    <w:rsid w:val="004165D4"/>
    <w:rsid w:val="00426525"/>
    <w:rsid w:val="00427C3E"/>
    <w:rsid w:val="0043245B"/>
    <w:rsid w:val="00434399"/>
    <w:rsid w:val="004447AC"/>
    <w:rsid w:val="0044481E"/>
    <w:rsid w:val="004507E6"/>
    <w:rsid w:val="00450CD0"/>
    <w:rsid w:val="00456E5A"/>
    <w:rsid w:val="004628BE"/>
    <w:rsid w:val="00467319"/>
    <w:rsid w:val="0048022C"/>
    <w:rsid w:val="004839EC"/>
    <w:rsid w:val="004A4CEC"/>
    <w:rsid w:val="004A5F7C"/>
    <w:rsid w:val="004B0113"/>
    <w:rsid w:val="004B420E"/>
    <w:rsid w:val="004B5E71"/>
    <w:rsid w:val="004B5EC5"/>
    <w:rsid w:val="004C185F"/>
    <w:rsid w:val="004C2BBB"/>
    <w:rsid w:val="004C5115"/>
    <w:rsid w:val="004C6DF7"/>
    <w:rsid w:val="004D05EB"/>
    <w:rsid w:val="004D6483"/>
    <w:rsid w:val="004D7B03"/>
    <w:rsid w:val="004E1706"/>
    <w:rsid w:val="004F472C"/>
    <w:rsid w:val="004F7849"/>
    <w:rsid w:val="00504E83"/>
    <w:rsid w:val="005108C8"/>
    <w:rsid w:val="00513E9B"/>
    <w:rsid w:val="00515128"/>
    <w:rsid w:val="00517BB5"/>
    <w:rsid w:val="00520ADE"/>
    <w:rsid w:val="00521529"/>
    <w:rsid w:val="005261F8"/>
    <w:rsid w:val="00531AE5"/>
    <w:rsid w:val="00540E6F"/>
    <w:rsid w:val="0054291A"/>
    <w:rsid w:val="005505E2"/>
    <w:rsid w:val="00562A95"/>
    <w:rsid w:val="00585B96"/>
    <w:rsid w:val="00585D3F"/>
    <w:rsid w:val="00586736"/>
    <w:rsid w:val="00586D8C"/>
    <w:rsid w:val="0059305E"/>
    <w:rsid w:val="00595313"/>
    <w:rsid w:val="005A0EED"/>
    <w:rsid w:val="005A32BF"/>
    <w:rsid w:val="005A61EB"/>
    <w:rsid w:val="005A7DB5"/>
    <w:rsid w:val="005B3645"/>
    <w:rsid w:val="005B53B0"/>
    <w:rsid w:val="005B576E"/>
    <w:rsid w:val="005C3D6A"/>
    <w:rsid w:val="005E22D6"/>
    <w:rsid w:val="005E5598"/>
    <w:rsid w:val="005E5B67"/>
    <w:rsid w:val="005E5DA0"/>
    <w:rsid w:val="005E763A"/>
    <w:rsid w:val="005F4E19"/>
    <w:rsid w:val="005F57D3"/>
    <w:rsid w:val="005F73F7"/>
    <w:rsid w:val="0060031C"/>
    <w:rsid w:val="00601AC5"/>
    <w:rsid w:val="00604DA3"/>
    <w:rsid w:val="00611520"/>
    <w:rsid w:val="00611879"/>
    <w:rsid w:val="00612531"/>
    <w:rsid w:val="006279C7"/>
    <w:rsid w:val="0063126F"/>
    <w:rsid w:val="0063137C"/>
    <w:rsid w:val="00640F5E"/>
    <w:rsid w:val="0064660A"/>
    <w:rsid w:val="00647EC3"/>
    <w:rsid w:val="0066489C"/>
    <w:rsid w:val="0066751A"/>
    <w:rsid w:val="006724CA"/>
    <w:rsid w:val="00673077"/>
    <w:rsid w:val="00673D60"/>
    <w:rsid w:val="006821BD"/>
    <w:rsid w:val="00685277"/>
    <w:rsid w:val="00690E53"/>
    <w:rsid w:val="00691142"/>
    <w:rsid w:val="00692313"/>
    <w:rsid w:val="006A6780"/>
    <w:rsid w:val="006C0B0B"/>
    <w:rsid w:val="006C5F22"/>
    <w:rsid w:val="006D00E7"/>
    <w:rsid w:val="006D121C"/>
    <w:rsid w:val="006D17CB"/>
    <w:rsid w:val="006D30E1"/>
    <w:rsid w:val="006D3A3B"/>
    <w:rsid w:val="006E00A2"/>
    <w:rsid w:val="006E2750"/>
    <w:rsid w:val="006E6478"/>
    <w:rsid w:val="006F15D0"/>
    <w:rsid w:val="006F2C66"/>
    <w:rsid w:val="006F4795"/>
    <w:rsid w:val="007033C3"/>
    <w:rsid w:val="007043FC"/>
    <w:rsid w:val="00705DCA"/>
    <w:rsid w:val="00707369"/>
    <w:rsid w:val="00710D4F"/>
    <w:rsid w:val="00713197"/>
    <w:rsid w:val="00717749"/>
    <w:rsid w:val="00724AAE"/>
    <w:rsid w:val="00724AFF"/>
    <w:rsid w:val="007279E9"/>
    <w:rsid w:val="007366FD"/>
    <w:rsid w:val="00740161"/>
    <w:rsid w:val="0074727C"/>
    <w:rsid w:val="00753DD3"/>
    <w:rsid w:val="00755E1C"/>
    <w:rsid w:val="00757AA0"/>
    <w:rsid w:val="00763F25"/>
    <w:rsid w:val="00765B7E"/>
    <w:rsid w:val="0077179C"/>
    <w:rsid w:val="00773842"/>
    <w:rsid w:val="00775E78"/>
    <w:rsid w:val="007777DB"/>
    <w:rsid w:val="0078394B"/>
    <w:rsid w:val="00784B15"/>
    <w:rsid w:val="007937B1"/>
    <w:rsid w:val="00793EEE"/>
    <w:rsid w:val="00794713"/>
    <w:rsid w:val="007950F2"/>
    <w:rsid w:val="00797DE9"/>
    <w:rsid w:val="007A079A"/>
    <w:rsid w:val="007A0E9B"/>
    <w:rsid w:val="007A655E"/>
    <w:rsid w:val="007A6F07"/>
    <w:rsid w:val="007B01DA"/>
    <w:rsid w:val="007B0365"/>
    <w:rsid w:val="007B06E0"/>
    <w:rsid w:val="007B4F9A"/>
    <w:rsid w:val="007B59D1"/>
    <w:rsid w:val="007C0259"/>
    <w:rsid w:val="007C223B"/>
    <w:rsid w:val="007D106E"/>
    <w:rsid w:val="007D3A40"/>
    <w:rsid w:val="007E473E"/>
    <w:rsid w:val="007F3428"/>
    <w:rsid w:val="007F3B12"/>
    <w:rsid w:val="0080329F"/>
    <w:rsid w:val="00810CCB"/>
    <w:rsid w:val="00811969"/>
    <w:rsid w:val="00811E0D"/>
    <w:rsid w:val="00813831"/>
    <w:rsid w:val="00813916"/>
    <w:rsid w:val="00823445"/>
    <w:rsid w:val="00823C6A"/>
    <w:rsid w:val="00827845"/>
    <w:rsid w:val="00827CF2"/>
    <w:rsid w:val="008312B3"/>
    <w:rsid w:val="00832FAA"/>
    <w:rsid w:val="00836631"/>
    <w:rsid w:val="00837E11"/>
    <w:rsid w:val="0084569A"/>
    <w:rsid w:val="00852838"/>
    <w:rsid w:val="0085475D"/>
    <w:rsid w:val="00854E85"/>
    <w:rsid w:val="00856480"/>
    <w:rsid w:val="00862F42"/>
    <w:rsid w:val="00865BC6"/>
    <w:rsid w:val="00872B4B"/>
    <w:rsid w:val="00881D28"/>
    <w:rsid w:val="00882315"/>
    <w:rsid w:val="00884530"/>
    <w:rsid w:val="00885521"/>
    <w:rsid w:val="00885F06"/>
    <w:rsid w:val="0088769D"/>
    <w:rsid w:val="0089088B"/>
    <w:rsid w:val="008935B0"/>
    <w:rsid w:val="00896EAA"/>
    <w:rsid w:val="008A7BC6"/>
    <w:rsid w:val="008B428C"/>
    <w:rsid w:val="008B6295"/>
    <w:rsid w:val="008D0F10"/>
    <w:rsid w:val="008D3FFF"/>
    <w:rsid w:val="008D49CE"/>
    <w:rsid w:val="008D4B01"/>
    <w:rsid w:val="008D6FD7"/>
    <w:rsid w:val="008E50FC"/>
    <w:rsid w:val="008E734D"/>
    <w:rsid w:val="00901F9D"/>
    <w:rsid w:val="009027F7"/>
    <w:rsid w:val="009042D0"/>
    <w:rsid w:val="00905AE8"/>
    <w:rsid w:val="00906D36"/>
    <w:rsid w:val="00913A00"/>
    <w:rsid w:val="00914B4E"/>
    <w:rsid w:val="0092040C"/>
    <w:rsid w:val="009213F9"/>
    <w:rsid w:val="00925C7E"/>
    <w:rsid w:val="00926276"/>
    <w:rsid w:val="00926846"/>
    <w:rsid w:val="00934D4C"/>
    <w:rsid w:val="00937C9C"/>
    <w:rsid w:val="0094100F"/>
    <w:rsid w:val="009463AC"/>
    <w:rsid w:val="00947ECC"/>
    <w:rsid w:val="00952F9A"/>
    <w:rsid w:val="00953D87"/>
    <w:rsid w:val="0095477D"/>
    <w:rsid w:val="00956781"/>
    <w:rsid w:val="009646AD"/>
    <w:rsid w:val="00965C8C"/>
    <w:rsid w:val="009725AB"/>
    <w:rsid w:val="00975656"/>
    <w:rsid w:val="00977CF6"/>
    <w:rsid w:val="00985AE8"/>
    <w:rsid w:val="00992707"/>
    <w:rsid w:val="009A139A"/>
    <w:rsid w:val="009A5B3B"/>
    <w:rsid w:val="009B03D4"/>
    <w:rsid w:val="009B325A"/>
    <w:rsid w:val="009B5E67"/>
    <w:rsid w:val="009B6261"/>
    <w:rsid w:val="009C3F29"/>
    <w:rsid w:val="009D1188"/>
    <w:rsid w:val="009D7EED"/>
    <w:rsid w:val="009E0D14"/>
    <w:rsid w:val="009E355E"/>
    <w:rsid w:val="009E47FC"/>
    <w:rsid w:val="009E6373"/>
    <w:rsid w:val="009E7D22"/>
    <w:rsid w:val="009F05A0"/>
    <w:rsid w:val="00A1442F"/>
    <w:rsid w:val="00A15572"/>
    <w:rsid w:val="00A15673"/>
    <w:rsid w:val="00A27CFB"/>
    <w:rsid w:val="00A33672"/>
    <w:rsid w:val="00A34270"/>
    <w:rsid w:val="00A35004"/>
    <w:rsid w:val="00A432C8"/>
    <w:rsid w:val="00A465C7"/>
    <w:rsid w:val="00A54D98"/>
    <w:rsid w:val="00A55010"/>
    <w:rsid w:val="00A56F9B"/>
    <w:rsid w:val="00A577D5"/>
    <w:rsid w:val="00A57939"/>
    <w:rsid w:val="00A60BB8"/>
    <w:rsid w:val="00A679AE"/>
    <w:rsid w:val="00A72E96"/>
    <w:rsid w:val="00A7772A"/>
    <w:rsid w:val="00A838CB"/>
    <w:rsid w:val="00A86147"/>
    <w:rsid w:val="00A872AF"/>
    <w:rsid w:val="00A8740A"/>
    <w:rsid w:val="00A92581"/>
    <w:rsid w:val="00A92EF1"/>
    <w:rsid w:val="00A95615"/>
    <w:rsid w:val="00AA1DE5"/>
    <w:rsid w:val="00AA35B1"/>
    <w:rsid w:val="00AA3FE4"/>
    <w:rsid w:val="00AA40CD"/>
    <w:rsid w:val="00AB0C1D"/>
    <w:rsid w:val="00AB3284"/>
    <w:rsid w:val="00AB3870"/>
    <w:rsid w:val="00AB4320"/>
    <w:rsid w:val="00AB5CE6"/>
    <w:rsid w:val="00AC1338"/>
    <w:rsid w:val="00AC252F"/>
    <w:rsid w:val="00AC6A3B"/>
    <w:rsid w:val="00AC7CFC"/>
    <w:rsid w:val="00AD35A6"/>
    <w:rsid w:val="00AD3973"/>
    <w:rsid w:val="00AE0D13"/>
    <w:rsid w:val="00AE3313"/>
    <w:rsid w:val="00AE69AF"/>
    <w:rsid w:val="00AE6F41"/>
    <w:rsid w:val="00AF51F8"/>
    <w:rsid w:val="00AF6F89"/>
    <w:rsid w:val="00B017A1"/>
    <w:rsid w:val="00B02111"/>
    <w:rsid w:val="00B02595"/>
    <w:rsid w:val="00B0285A"/>
    <w:rsid w:val="00B042C1"/>
    <w:rsid w:val="00B13734"/>
    <w:rsid w:val="00B17AA8"/>
    <w:rsid w:val="00B2040A"/>
    <w:rsid w:val="00B31D16"/>
    <w:rsid w:val="00B32AB7"/>
    <w:rsid w:val="00B34129"/>
    <w:rsid w:val="00B3511B"/>
    <w:rsid w:val="00B3664B"/>
    <w:rsid w:val="00B416DB"/>
    <w:rsid w:val="00B53527"/>
    <w:rsid w:val="00B55D80"/>
    <w:rsid w:val="00B63D35"/>
    <w:rsid w:val="00B663C8"/>
    <w:rsid w:val="00B667AD"/>
    <w:rsid w:val="00B66A26"/>
    <w:rsid w:val="00B74C27"/>
    <w:rsid w:val="00B75E33"/>
    <w:rsid w:val="00B76E29"/>
    <w:rsid w:val="00B824ED"/>
    <w:rsid w:val="00B92140"/>
    <w:rsid w:val="00B95FEE"/>
    <w:rsid w:val="00BA0685"/>
    <w:rsid w:val="00BA2601"/>
    <w:rsid w:val="00BA633E"/>
    <w:rsid w:val="00BB1E2F"/>
    <w:rsid w:val="00BB7BD0"/>
    <w:rsid w:val="00BC081F"/>
    <w:rsid w:val="00BC6DAB"/>
    <w:rsid w:val="00BD1EC4"/>
    <w:rsid w:val="00BD4E99"/>
    <w:rsid w:val="00BE27DC"/>
    <w:rsid w:val="00BE69C8"/>
    <w:rsid w:val="00BF1EFC"/>
    <w:rsid w:val="00BF306D"/>
    <w:rsid w:val="00BF4D0B"/>
    <w:rsid w:val="00C04C7A"/>
    <w:rsid w:val="00C05ECF"/>
    <w:rsid w:val="00C075E1"/>
    <w:rsid w:val="00C15951"/>
    <w:rsid w:val="00C17305"/>
    <w:rsid w:val="00C20E3E"/>
    <w:rsid w:val="00C248FE"/>
    <w:rsid w:val="00C30454"/>
    <w:rsid w:val="00C32B07"/>
    <w:rsid w:val="00C3683F"/>
    <w:rsid w:val="00C42472"/>
    <w:rsid w:val="00C53D37"/>
    <w:rsid w:val="00C6247C"/>
    <w:rsid w:val="00C76468"/>
    <w:rsid w:val="00C92394"/>
    <w:rsid w:val="00CA0D92"/>
    <w:rsid w:val="00CA1F2F"/>
    <w:rsid w:val="00CA3AD4"/>
    <w:rsid w:val="00CA488B"/>
    <w:rsid w:val="00CA571C"/>
    <w:rsid w:val="00CA73DA"/>
    <w:rsid w:val="00CB0544"/>
    <w:rsid w:val="00CB56BF"/>
    <w:rsid w:val="00CC2389"/>
    <w:rsid w:val="00CC3279"/>
    <w:rsid w:val="00CC54F4"/>
    <w:rsid w:val="00CC5B49"/>
    <w:rsid w:val="00CD205F"/>
    <w:rsid w:val="00CD4CE0"/>
    <w:rsid w:val="00CD4E44"/>
    <w:rsid w:val="00CE09A4"/>
    <w:rsid w:val="00CE356C"/>
    <w:rsid w:val="00CE570A"/>
    <w:rsid w:val="00CF18BF"/>
    <w:rsid w:val="00CF2952"/>
    <w:rsid w:val="00CF68EC"/>
    <w:rsid w:val="00CF7A28"/>
    <w:rsid w:val="00CF7AEE"/>
    <w:rsid w:val="00D009FD"/>
    <w:rsid w:val="00D04479"/>
    <w:rsid w:val="00D045A8"/>
    <w:rsid w:val="00D06D00"/>
    <w:rsid w:val="00D149FD"/>
    <w:rsid w:val="00D1685C"/>
    <w:rsid w:val="00D237E1"/>
    <w:rsid w:val="00D25B31"/>
    <w:rsid w:val="00D32E1C"/>
    <w:rsid w:val="00D333F6"/>
    <w:rsid w:val="00D33B69"/>
    <w:rsid w:val="00D3617E"/>
    <w:rsid w:val="00D416E6"/>
    <w:rsid w:val="00D41D36"/>
    <w:rsid w:val="00D50BD9"/>
    <w:rsid w:val="00D51182"/>
    <w:rsid w:val="00D511BC"/>
    <w:rsid w:val="00D512D5"/>
    <w:rsid w:val="00D52BA8"/>
    <w:rsid w:val="00D52E17"/>
    <w:rsid w:val="00D565D4"/>
    <w:rsid w:val="00D60B34"/>
    <w:rsid w:val="00D669B6"/>
    <w:rsid w:val="00D67F7F"/>
    <w:rsid w:val="00D7129D"/>
    <w:rsid w:val="00D72E89"/>
    <w:rsid w:val="00D75E80"/>
    <w:rsid w:val="00D77F71"/>
    <w:rsid w:val="00D819FF"/>
    <w:rsid w:val="00D83C44"/>
    <w:rsid w:val="00D85886"/>
    <w:rsid w:val="00D85BC4"/>
    <w:rsid w:val="00D9309C"/>
    <w:rsid w:val="00D93307"/>
    <w:rsid w:val="00DA29A5"/>
    <w:rsid w:val="00DA4D51"/>
    <w:rsid w:val="00DA688B"/>
    <w:rsid w:val="00DB1CC5"/>
    <w:rsid w:val="00DB6AFE"/>
    <w:rsid w:val="00DC2741"/>
    <w:rsid w:val="00DC4E4D"/>
    <w:rsid w:val="00DC6ADD"/>
    <w:rsid w:val="00DD7ED0"/>
    <w:rsid w:val="00DF11DD"/>
    <w:rsid w:val="00DF7BF4"/>
    <w:rsid w:val="00E00784"/>
    <w:rsid w:val="00E02C23"/>
    <w:rsid w:val="00E05122"/>
    <w:rsid w:val="00E16E6D"/>
    <w:rsid w:val="00E17C06"/>
    <w:rsid w:val="00E17D64"/>
    <w:rsid w:val="00E24987"/>
    <w:rsid w:val="00E272A8"/>
    <w:rsid w:val="00E35E26"/>
    <w:rsid w:val="00E364A8"/>
    <w:rsid w:val="00E4204D"/>
    <w:rsid w:val="00E46B89"/>
    <w:rsid w:val="00E517A7"/>
    <w:rsid w:val="00E62820"/>
    <w:rsid w:val="00E6543D"/>
    <w:rsid w:val="00E7219E"/>
    <w:rsid w:val="00E72807"/>
    <w:rsid w:val="00E72E2F"/>
    <w:rsid w:val="00E81835"/>
    <w:rsid w:val="00E8671F"/>
    <w:rsid w:val="00E912A2"/>
    <w:rsid w:val="00E94104"/>
    <w:rsid w:val="00E954C3"/>
    <w:rsid w:val="00EB17D6"/>
    <w:rsid w:val="00EB3AD7"/>
    <w:rsid w:val="00EC0662"/>
    <w:rsid w:val="00EC12BC"/>
    <w:rsid w:val="00EC3C55"/>
    <w:rsid w:val="00EC4FC8"/>
    <w:rsid w:val="00EC6D4C"/>
    <w:rsid w:val="00ED3C9B"/>
    <w:rsid w:val="00EE685C"/>
    <w:rsid w:val="00EE6A23"/>
    <w:rsid w:val="00EF39FF"/>
    <w:rsid w:val="00F03B92"/>
    <w:rsid w:val="00F044F6"/>
    <w:rsid w:val="00F15AAD"/>
    <w:rsid w:val="00F15EF3"/>
    <w:rsid w:val="00F22ADC"/>
    <w:rsid w:val="00F23CFC"/>
    <w:rsid w:val="00F314A0"/>
    <w:rsid w:val="00F316C2"/>
    <w:rsid w:val="00F33E8C"/>
    <w:rsid w:val="00F34582"/>
    <w:rsid w:val="00F3555C"/>
    <w:rsid w:val="00F44983"/>
    <w:rsid w:val="00F46C22"/>
    <w:rsid w:val="00F47BBC"/>
    <w:rsid w:val="00F63E45"/>
    <w:rsid w:val="00F6453F"/>
    <w:rsid w:val="00F64583"/>
    <w:rsid w:val="00F65DE7"/>
    <w:rsid w:val="00F67411"/>
    <w:rsid w:val="00F67F9D"/>
    <w:rsid w:val="00F705A7"/>
    <w:rsid w:val="00FA1251"/>
    <w:rsid w:val="00FB2DEA"/>
    <w:rsid w:val="00FC4DBB"/>
    <w:rsid w:val="00FC6198"/>
    <w:rsid w:val="00FC7593"/>
    <w:rsid w:val="00FC7FB6"/>
    <w:rsid w:val="00FD1E10"/>
    <w:rsid w:val="00FE0DBB"/>
    <w:rsid w:val="00FE180B"/>
    <w:rsid w:val="00FE60B1"/>
    <w:rsid w:val="00FE7ADD"/>
    <w:rsid w:val="00FE7FA8"/>
    <w:rsid w:val="00FF0E69"/>
    <w:rsid w:val="01114ED0"/>
    <w:rsid w:val="01203FAE"/>
    <w:rsid w:val="013E0AFD"/>
    <w:rsid w:val="014001AC"/>
    <w:rsid w:val="01417091"/>
    <w:rsid w:val="016661FF"/>
    <w:rsid w:val="01902CB3"/>
    <w:rsid w:val="019E0CCA"/>
    <w:rsid w:val="01B00680"/>
    <w:rsid w:val="01E67811"/>
    <w:rsid w:val="01E72142"/>
    <w:rsid w:val="01EE068A"/>
    <w:rsid w:val="01F5741D"/>
    <w:rsid w:val="022F4551"/>
    <w:rsid w:val="023E2261"/>
    <w:rsid w:val="02697964"/>
    <w:rsid w:val="026F1F5B"/>
    <w:rsid w:val="027C65FF"/>
    <w:rsid w:val="02A7615B"/>
    <w:rsid w:val="02BB4A6A"/>
    <w:rsid w:val="02EE4FBE"/>
    <w:rsid w:val="03030906"/>
    <w:rsid w:val="032C2B94"/>
    <w:rsid w:val="03370432"/>
    <w:rsid w:val="036412FD"/>
    <w:rsid w:val="03D60954"/>
    <w:rsid w:val="042B5EBC"/>
    <w:rsid w:val="04431E69"/>
    <w:rsid w:val="04480344"/>
    <w:rsid w:val="04573D83"/>
    <w:rsid w:val="049D397B"/>
    <w:rsid w:val="04C35D04"/>
    <w:rsid w:val="04D85410"/>
    <w:rsid w:val="04E83035"/>
    <w:rsid w:val="04F93302"/>
    <w:rsid w:val="050C39A8"/>
    <w:rsid w:val="054E6D92"/>
    <w:rsid w:val="05556D3B"/>
    <w:rsid w:val="0558316D"/>
    <w:rsid w:val="05D865F8"/>
    <w:rsid w:val="05DC2FBD"/>
    <w:rsid w:val="05F76EA0"/>
    <w:rsid w:val="061F45BA"/>
    <w:rsid w:val="06226351"/>
    <w:rsid w:val="06325012"/>
    <w:rsid w:val="063361ED"/>
    <w:rsid w:val="064635D5"/>
    <w:rsid w:val="064965A7"/>
    <w:rsid w:val="06875FB3"/>
    <w:rsid w:val="069D5E27"/>
    <w:rsid w:val="06F876A2"/>
    <w:rsid w:val="071579E5"/>
    <w:rsid w:val="071D7ADD"/>
    <w:rsid w:val="0743556B"/>
    <w:rsid w:val="074D1ED0"/>
    <w:rsid w:val="078941E2"/>
    <w:rsid w:val="07B13BB2"/>
    <w:rsid w:val="07C77499"/>
    <w:rsid w:val="07E8334B"/>
    <w:rsid w:val="07E9112E"/>
    <w:rsid w:val="07EA7730"/>
    <w:rsid w:val="07FC4A43"/>
    <w:rsid w:val="083D52C9"/>
    <w:rsid w:val="08502203"/>
    <w:rsid w:val="085D0161"/>
    <w:rsid w:val="085D2D0B"/>
    <w:rsid w:val="085F7C90"/>
    <w:rsid w:val="08776FD7"/>
    <w:rsid w:val="087C5707"/>
    <w:rsid w:val="088D6EA9"/>
    <w:rsid w:val="08B13535"/>
    <w:rsid w:val="08C92294"/>
    <w:rsid w:val="08D15B8E"/>
    <w:rsid w:val="09B00D74"/>
    <w:rsid w:val="09D7111B"/>
    <w:rsid w:val="09F71955"/>
    <w:rsid w:val="0A211041"/>
    <w:rsid w:val="0A747118"/>
    <w:rsid w:val="0A773F41"/>
    <w:rsid w:val="0A7C5539"/>
    <w:rsid w:val="0AB132CB"/>
    <w:rsid w:val="0AB539B9"/>
    <w:rsid w:val="0B0B291B"/>
    <w:rsid w:val="0B327DC8"/>
    <w:rsid w:val="0B456AA5"/>
    <w:rsid w:val="0B5318A8"/>
    <w:rsid w:val="0B5605CC"/>
    <w:rsid w:val="0BD54C38"/>
    <w:rsid w:val="0BF45147"/>
    <w:rsid w:val="0CCB447D"/>
    <w:rsid w:val="0D34461B"/>
    <w:rsid w:val="0D3C2A75"/>
    <w:rsid w:val="0D506932"/>
    <w:rsid w:val="0D764ED8"/>
    <w:rsid w:val="0D7C27DB"/>
    <w:rsid w:val="0DA31637"/>
    <w:rsid w:val="0DCF17A6"/>
    <w:rsid w:val="0E0151EB"/>
    <w:rsid w:val="0E044DCF"/>
    <w:rsid w:val="0E7A2D46"/>
    <w:rsid w:val="0E802022"/>
    <w:rsid w:val="0F341AFC"/>
    <w:rsid w:val="0F3E448E"/>
    <w:rsid w:val="0F66573A"/>
    <w:rsid w:val="0F673CC3"/>
    <w:rsid w:val="0F6D416C"/>
    <w:rsid w:val="0F8F7EEC"/>
    <w:rsid w:val="0FC1640F"/>
    <w:rsid w:val="102651A0"/>
    <w:rsid w:val="1053344C"/>
    <w:rsid w:val="105C30B0"/>
    <w:rsid w:val="10707771"/>
    <w:rsid w:val="111D63B8"/>
    <w:rsid w:val="11506EB5"/>
    <w:rsid w:val="115A34EE"/>
    <w:rsid w:val="11635D2D"/>
    <w:rsid w:val="11815BB8"/>
    <w:rsid w:val="11F87AE5"/>
    <w:rsid w:val="12381075"/>
    <w:rsid w:val="12490E8B"/>
    <w:rsid w:val="124E368A"/>
    <w:rsid w:val="12602BED"/>
    <w:rsid w:val="12677404"/>
    <w:rsid w:val="12704669"/>
    <w:rsid w:val="129173C0"/>
    <w:rsid w:val="129B04FE"/>
    <w:rsid w:val="12A247AB"/>
    <w:rsid w:val="12AA7198"/>
    <w:rsid w:val="12F821AB"/>
    <w:rsid w:val="13225E3B"/>
    <w:rsid w:val="138F31C3"/>
    <w:rsid w:val="13910349"/>
    <w:rsid w:val="13B03D89"/>
    <w:rsid w:val="13B81DBA"/>
    <w:rsid w:val="13C82085"/>
    <w:rsid w:val="13F55C7C"/>
    <w:rsid w:val="13F56BD4"/>
    <w:rsid w:val="14005579"/>
    <w:rsid w:val="140B70A1"/>
    <w:rsid w:val="141D437D"/>
    <w:rsid w:val="148004B4"/>
    <w:rsid w:val="14DA1464"/>
    <w:rsid w:val="14DC2E12"/>
    <w:rsid w:val="15195D1C"/>
    <w:rsid w:val="152B4878"/>
    <w:rsid w:val="152D05F0"/>
    <w:rsid w:val="154E0133"/>
    <w:rsid w:val="15560482"/>
    <w:rsid w:val="15564EC3"/>
    <w:rsid w:val="15897F1C"/>
    <w:rsid w:val="15B80F2E"/>
    <w:rsid w:val="162714E3"/>
    <w:rsid w:val="16293861"/>
    <w:rsid w:val="16306F54"/>
    <w:rsid w:val="165169E0"/>
    <w:rsid w:val="166B5A28"/>
    <w:rsid w:val="16AE1C29"/>
    <w:rsid w:val="16D40834"/>
    <w:rsid w:val="16E1002F"/>
    <w:rsid w:val="17480454"/>
    <w:rsid w:val="175E7DC0"/>
    <w:rsid w:val="17694C00"/>
    <w:rsid w:val="178A26E7"/>
    <w:rsid w:val="17946704"/>
    <w:rsid w:val="17A96897"/>
    <w:rsid w:val="180F1E7C"/>
    <w:rsid w:val="18354F8B"/>
    <w:rsid w:val="18412F04"/>
    <w:rsid w:val="18670093"/>
    <w:rsid w:val="186B3909"/>
    <w:rsid w:val="18787FB3"/>
    <w:rsid w:val="1886417E"/>
    <w:rsid w:val="18A70EE1"/>
    <w:rsid w:val="18A87739"/>
    <w:rsid w:val="18AA191B"/>
    <w:rsid w:val="18C24DB9"/>
    <w:rsid w:val="18E127A9"/>
    <w:rsid w:val="19084BD2"/>
    <w:rsid w:val="191E06DC"/>
    <w:rsid w:val="192341E3"/>
    <w:rsid w:val="192F6D69"/>
    <w:rsid w:val="197A4DE9"/>
    <w:rsid w:val="198945B7"/>
    <w:rsid w:val="19B54CD8"/>
    <w:rsid w:val="19C105F4"/>
    <w:rsid w:val="19D531DF"/>
    <w:rsid w:val="19E81830"/>
    <w:rsid w:val="19F25807"/>
    <w:rsid w:val="1A2735AF"/>
    <w:rsid w:val="1AB83B5A"/>
    <w:rsid w:val="1AE71E0A"/>
    <w:rsid w:val="1B24171D"/>
    <w:rsid w:val="1B4E5AA9"/>
    <w:rsid w:val="1B511CAF"/>
    <w:rsid w:val="1C1921C8"/>
    <w:rsid w:val="1C52244F"/>
    <w:rsid w:val="1C60574F"/>
    <w:rsid w:val="1CDF55AD"/>
    <w:rsid w:val="1CE14481"/>
    <w:rsid w:val="1CF6440A"/>
    <w:rsid w:val="1D270867"/>
    <w:rsid w:val="1D54318A"/>
    <w:rsid w:val="1DAF4FC5"/>
    <w:rsid w:val="1DF11623"/>
    <w:rsid w:val="1E014C93"/>
    <w:rsid w:val="1E4944DC"/>
    <w:rsid w:val="1EC30CED"/>
    <w:rsid w:val="1EDA5BA1"/>
    <w:rsid w:val="1EFF541A"/>
    <w:rsid w:val="1F187C5A"/>
    <w:rsid w:val="1F1F594C"/>
    <w:rsid w:val="1F3179C8"/>
    <w:rsid w:val="1F7227B6"/>
    <w:rsid w:val="1FA84804"/>
    <w:rsid w:val="1FFE4568"/>
    <w:rsid w:val="2000527E"/>
    <w:rsid w:val="20764994"/>
    <w:rsid w:val="20964CA7"/>
    <w:rsid w:val="20BC3380"/>
    <w:rsid w:val="20CD31E0"/>
    <w:rsid w:val="2109077D"/>
    <w:rsid w:val="211F4451"/>
    <w:rsid w:val="213F5933"/>
    <w:rsid w:val="221D65B8"/>
    <w:rsid w:val="224D6EA7"/>
    <w:rsid w:val="225E628C"/>
    <w:rsid w:val="22A939AB"/>
    <w:rsid w:val="22A972B7"/>
    <w:rsid w:val="22D96B1C"/>
    <w:rsid w:val="22E249EA"/>
    <w:rsid w:val="22F02667"/>
    <w:rsid w:val="234C65D4"/>
    <w:rsid w:val="23BE6313"/>
    <w:rsid w:val="24180F15"/>
    <w:rsid w:val="241B6551"/>
    <w:rsid w:val="245142FB"/>
    <w:rsid w:val="2469704F"/>
    <w:rsid w:val="24722324"/>
    <w:rsid w:val="24D776A1"/>
    <w:rsid w:val="24ED38F7"/>
    <w:rsid w:val="25311A36"/>
    <w:rsid w:val="26285D44"/>
    <w:rsid w:val="263C68E5"/>
    <w:rsid w:val="26776149"/>
    <w:rsid w:val="267C5DE3"/>
    <w:rsid w:val="26947F63"/>
    <w:rsid w:val="26BE72FA"/>
    <w:rsid w:val="26D677E7"/>
    <w:rsid w:val="26E03714"/>
    <w:rsid w:val="27117D71"/>
    <w:rsid w:val="27463928"/>
    <w:rsid w:val="275A4E22"/>
    <w:rsid w:val="27784233"/>
    <w:rsid w:val="27A14CF0"/>
    <w:rsid w:val="27A86C88"/>
    <w:rsid w:val="27DC4ADC"/>
    <w:rsid w:val="27ED5B4B"/>
    <w:rsid w:val="27F50BDE"/>
    <w:rsid w:val="28081242"/>
    <w:rsid w:val="28235FAE"/>
    <w:rsid w:val="289742A6"/>
    <w:rsid w:val="28BB254B"/>
    <w:rsid w:val="28E868B0"/>
    <w:rsid w:val="295E3016"/>
    <w:rsid w:val="29A41CAF"/>
    <w:rsid w:val="29B12F1C"/>
    <w:rsid w:val="29CC0BB7"/>
    <w:rsid w:val="29D41566"/>
    <w:rsid w:val="2A094EC2"/>
    <w:rsid w:val="2A0D01D5"/>
    <w:rsid w:val="2A5B7B7F"/>
    <w:rsid w:val="2A622D69"/>
    <w:rsid w:val="2A6E5B1C"/>
    <w:rsid w:val="2B724F9D"/>
    <w:rsid w:val="2B870602"/>
    <w:rsid w:val="2B96472D"/>
    <w:rsid w:val="2C14315F"/>
    <w:rsid w:val="2C281232"/>
    <w:rsid w:val="2C490D73"/>
    <w:rsid w:val="2C69551C"/>
    <w:rsid w:val="2C6B1A3D"/>
    <w:rsid w:val="2C874E55"/>
    <w:rsid w:val="2C8A7CB4"/>
    <w:rsid w:val="2C954FA0"/>
    <w:rsid w:val="2CC35400"/>
    <w:rsid w:val="2D0B213D"/>
    <w:rsid w:val="2D1129C3"/>
    <w:rsid w:val="2D3C541C"/>
    <w:rsid w:val="2D576610"/>
    <w:rsid w:val="2D7828F8"/>
    <w:rsid w:val="2D7D7A5A"/>
    <w:rsid w:val="2D957BDB"/>
    <w:rsid w:val="2DB92947"/>
    <w:rsid w:val="2DC55411"/>
    <w:rsid w:val="2DF32513"/>
    <w:rsid w:val="2E076472"/>
    <w:rsid w:val="2E5802B0"/>
    <w:rsid w:val="2E644C2A"/>
    <w:rsid w:val="2E987C2B"/>
    <w:rsid w:val="2EC541DD"/>
    <w:rsid w:val="2ECE1AFF"/>
    <w:rsid w:val="2ED16566"/>
    <w:rsid w:val="2ED5090E"/>
    <w:rsid w:val="2F0B22FF"/>
    <w:rsid w:val="2F2873AD"/>
    <w:rsid w:val="2F4620F3"/>
    <w:rsid w:val="2F564453"/>
    <w:rsid w:val="2F7F6EC8"/>
    <w:rsid w:val="2FC86BD7"/>
    <w:rsid w:val="2FE14059"/>
    <w:rsid w:val="2FF722FC"/>
    <w:rsid w:val="30111513"/>
    <w:rsid w:val="303C0EF3"/>
    <w:rsid w:val="306005E3"/>
    <w:rsid w:val="30780F6B"/>
    <w:rsid w:val="309A7BC3"/>
    <w:rsid w:val="30C710C0"/>
    <w:rsid w:val="30E62234"/>
    <w:rsid w:val="31091E4F"/>
    <w:rsid w:val="31195FA1"/>
    <w:rsid w:val="31B40F34"/>
    <w:rsid w:val="31C072D3"/>
    <w:rsid w:val="322D2CA6"/>
    <w:rsid w:val="32D35C07"/>
    <w:rsid w:val="32F71032"/>
    <w:rsid w:val="32F76772"/>
    <w:rsid w:val="33100D42"/>
    <w:rsid w:val="33282A03"/>
    <w:rsid w:val="33C92BFC"/>
    <w:rsid w:val="33E8058A"/>
    <w:rsid w:val="3406688F"/>
    <w:rsid w:val="34237336"/>
    <w:rsid w:val="343F10D3"/>
    <w:rsid w:val="34B6406F"/>
    <w:rsid w:val="34D523DE"/>
    <w:rsid w:val="34E35FBA"/>
    <w:rsid w:val="34FB5BBD"/>
    <w:rsid w:val="35116AF0"/>
    <w:rsid w:val="35584DBD"/>
    <w:rsid w:val="356C076F"/>
    <w:rsid w:val="356C2617"/>
    <w:rsid w:val="35753F8A"/>
    <w:rsid w:val="358F23B9"/>
    <w:rsid w:val="35987525"/>
    <w:rsid w:val="35B363D1"/>
    <w:rsid w:val="35CD7CF6"/>
    <w:rsid w:val="35D61673"/>
    <w:rsid w:val="35DE5975"/>
    <w:rsid w:val="36154A5C"/>
    <w:rsid w:val="364B468C"/>
    <w:rsid w:val="36590DED"/>
    <w:rsid w:val="36913491"/>
    <w:rsid w:val="36B67FED"/>
    <w:rsid w:val="36DD3FFB"/>
    <w:rsid w:val="36E97DCF"/>
    <w:rsid w:val="37236624"/>
    <w:rsid w:val="372840E2"/>
    <w:rsid w:val="372853C4"/>
    <w:rsid w:val="37477E8E"/>
    <w:rsid w:val="374A3A7E"/>
    <w:rsid w:val="37AB5C27"/>
    <w:rsid w:val="37CB2F23"/>
    <w:rsid w:val="37FD45CF"/>
    <w:rsid w:val="3830672B"/>
    <w:rsid w:val="38327AC1"/>
    <w:rsid w:val="383B5283"/>
    <w:rsid w:val="384855BD"/>
    <w:rsid w:val="38583310"/>
    <w:rsid w:val="38B65005"/>
    <w:rsid w:val="38BB18EB"/>
    <w:rsid w:val="38E45167"/>
    <w:rsid w:val="38ED4C38"/>
    <w:rsid w:val="39224E04"/>
    <w:rsid w:val="39231639"/>
    <w:rsid w:val="394B7A94"/>
    <w:rsid w:val="394E2361"/>
    <w:rsid w:val="395A2E75"/>
    <w:rsid w:val="39BF6ED2"/>
    <w:rsid w:val="39C67C9A"/>
    <w:rsid w:val="39EE4765"/>
    <w:rsid w:val="3A040DCB"/>
    <w:rsid w:val="3A161D4E"/>
    <w:rsid w:val="3A5A3FF8"/>
    <w:rsid w:val="3AB943C3"/>
    <w:rsid w:val="3AD62A0C"/>
    <w:rsid w:val="3AE8190D"/>
    <w:rsid w:val="3B071D45"/>
    <w:rsid w:val="3B19203D"/>
    <w:rsid w:val="3B2E0471"/>
    <w:rsid w:val="3B5B306F"/>
    <w:rsid w:val="3B7D7C2E"/>
    <w:rsid w:val="3B996B44"/>
    <w:rsid w:val="3BB47700"/>
    <w:rsid w:val="3BCD29E7"/>
    <w:rsid w:val="3BFD1B24"/>
    <w:rsid w:val="3C280A99"/>
    <w:rsid w:val="3C317A73"/>
    <w:rsid w:val="3C5D43C4"/>
    <w:rsid w:val="3C925059"/>
    <w:rsid w:val="3CA54FAC"/>
    <w:rsid w:val="3CB82FDB"/>
    <w:rsid w:val="3D4A270A"/>
    <w:rsid w:val="3D5E4F3B"/>
    <w:rsid w:val="3DEC0798"/>
    <w:rsid w:val="3E1C429D"/>
    <w:rsid w:val="3E22250D"/>
    <w:rsid w:val="3E281A5F"/>
    <w:rsid w:val="3E391FCF"/>
    <w:rsid w:val="3E447BCD"/>
    <w:rsid w:val="3E4916D5"/>
    <w:rsid w:val="3E6212A0"/>
    <w:rsid w:val="3E7C124F"/>
    <w:rsid w:val="3ECE0DFA"/>
    <w:rsid w:val="3ED026C7"/>
    <w:rsid w:val="3F002817"/>
    <w:rsid w:val="3F8729EF"/>
    <w:rsid w:val="3F9270DB"/>
    <w:rsid w:val="3FA340FF"/>
    <w:rsid w:val="3FB652F4"/>
    <w:rsid w:val="3FC9262C"/>
    <w:rsid w:val="3FD12C67"/>
    <w:rsid w:val="400E1D50"/>
    <w:rsid w:val="404D27E8"/>
    <w:rsid w:val="406B009A"/>
    <w:rsid w:val="406B0314"/>
    <w:rsid w:val="40977E02"/>
    <w:rsid w:val="40A22178"/>
    <w:rsid w:val="40B97058"/>
    <w:rsid w:val="41474505"/>
    <w:rsid w:val="41534AB7"/>
    <w:rsid w:val="418F672F"/>
    <w:rsid w:val="41AF1FBB"/>
    <w:rsid w:val="41B04DE3"/>
    <w:rsid w:val="41DA3F98"/>
    <w:rsid w:val="42373ABB"/>
    <w:rsid w:val="42433786"/>
    <w:rsid w:val="42434432"/>
    <w:rsid w:val="42B45D29"/>
    <w:rsid w:val="42CF10D2"/>
    <w:rsid w:val="42DD6309"/>
    <w:rsid w:val="43153830"/>
    <w:rsid w:val="432E6BDB"/>
    <w:rsid w:val="436F39FE"/>
    <w:rsid w:val="43757F79"/>
    <w:rsid w:val="438549F1"/>
    <w:rsid w:val="43960ACF"/>
    <w:rsid w:val="439F046B"/>
    <w:rsid w:val="44451961"/>
    <w:rsid w:val="44673832"/>
    <w:rsid w:val="447D2D74"/>
    <w:rsid w:val="44852366"/>
    <w:rsid w:val="44875AB2"/>
    <w:rsid w:val="44B02520"/>
    <w:rsid w:val="44C61F7F"/>
    <w:rsid w:val="451112EF"/>
    <w:rsid w:val="4516541C"/>
    <w:rsid w:val="45D33689"/>
    <w:rsid w:val="45E13FD8"/>
    <w:rsid w:val="45EB58DC"/>
    <w:rsid w:val="45F62029"/>
    <w:rsid w:val="46192DDC"/>
    <w:rsid w:val="463D6469"/>
    <w:rsid w:val="46581C82"/>
    <w:rsid w:val="466D7720"/>
    <w:rsid w:val="46804AC7"/>
    <w:rsid w:val="46C35267"/>
    <w:rsid w:val="46C64991"/>
    <w:rsid w:val="46DA1AD6"/>
    <w:rsid w:val="471C6760"/>
    <w:rsid w:val="473644CA"/>
    <w:rsid w:val="47807760"/>
    <w:rsid w:val="478F652A"/>
    <w:rsid w:val="47A22B15"/>
    <w:rsid w:val="4803505C"/>
    <w:rsid w:val="480768FB"/>
    <w:rsid w:val="48A76B24"/>
    <w:rsid w:val="48DE7532"/>
    <w:rsid w:val="49045E50"/>
    <w:rsid w:val="490F0295"/>
    <w:rsid w:val="49110E87"/>
    <w:rsid w:val="49191930"/>
    <w:rsid w:val="494F34B5"/>
    <w:rsid w:val="497A3377"/>
    <w:rsid w:val="499727CC"/>
    <w:rsid w:val="49B51D67"/>
    <w:rsid w:val="49C05734"/>
    <w:rsid w:val="4A310F2F"/>
    <w:rsid w:val="4A58168F"/>
    <w:rsid w:val="4A5D6CA6"/>
    <w:rsid w:val="4A633B90"/>
    <w:rsid w:val="4A700485"/>
    <w:rsid w:val="4A9961F4"/>
    <w:rsid w:val="4A9D6407"/>
    <w:rsid w:val="4AAD65F4"/>
    <w:rsid w:val="4AD62E68"/>
    <w:rsid w:val="4ADB5E1D"/>
    <w:rsid w:val="4AF85D75"/>
    <w:rsid w:val="4B140074"/>
    <w:rsid w:val="4B187071"/>
    <w:rsid w:val="4B1E29AC"/>
    <w:rsid w:val="4B4B169A"/>
    <w:rsid w:val="4B6B7302"/>
    <w:rsid w:val="4B920465"/>
    <w:rsid w:val="4B985ABC"/>
    <w:rsid w:val="4BAE5908"/>
    <w:rsid w:val="4BCA28F2"/>
    <w:rsid w:val="4C5E0AB3"/>
    <w:rsid w:val="4CC05823"/>
    <w:rsid w:val="4CE433A9"/>
    <w:rsid w:val="4D0201D0"/>
    <w:rsid w:val="4D9D1381"/>
    <w:rsid w:val="4DA6059D"/>
    <w:rsid w:val="4DAA3127"/>
    <w:rsid w:val="4E3B1B71"/>
    <w:rsid w:val="4E636C12"/>
    <w:rsid w:val="4EAB592A"/>
    <w:rsid w:val="4EC20C4B"/>
    <w:rsid w:val="4F1E5A43"/>
    <w:rsid w:val="4F74239C"/>
    <w:rsid w:val="4F744EA1"/>
    <w:rsid w:val="4F8C6237"/>
    <w:rsid w:val="4F974FBA"/>
    <w:rsid w:val="4FB170BA"/>
    <w:rsid w:val="4FC05E03"/>
    <w:rsid w:val="4FFD7A28"/>
    <w:rsid w:val="4FFE57BD"/>
    <w:rsid w:val="501302E9"/>
    <w:rsid w:val="50353600"/>
    <w:rsid w:val="504113E9"/>
    <w:rsid w:val="504A1A7A"/>
    <w:rsid w:val="504D633C"/>
    <w:rsid w:val="507F0013"/>
    <w:rsid w:val="50DE2243"/>
    <w:rsid w:val="510A064E"/>
    <w:rsid w:val="513E671B"/>
    <w:rsid w:val="513F50A1"/>
    <w:rsid w:val="51684408"/>
    <w:rsid w:val="519640F9"/>
    <w:rsid w:val="51A61BC3"/>
    <w:rsid w:val="51AC511C"/>
    <w:rsid w:val="51C70710"/>
    <w:rsid w:val="51D27ADC"/>
    <w:rsid w:val="51D452B3"/>
    <w:rsid w:val="51E22416"/>
    <w:rsid w:val="51EA2E79"/>
    <w:rsid w:val="51F817CF"/>
    <w:rsid w:val="524C64F4"/>
    <w:rsid w:val="525E6322"/>
    <w:rsid w:val="52C11D9C"/>
    <w:rsid w:val="52CF6267"/>
    <w:rsid w:val="52DD398F"/>
    <w:rsid w:val="531468A1"/>
    <w:rsid w:val="53273664"/>
    <w:rsid w:val="53476745"/>
    <w:rsid w:val="535B54FD"/>
    <w:rsid w:val="53695333"/>
    <w:rsid w:val="537137C2"/>
    <w:rsid w:val="53AB1E8E"/>
    <w:rsid w:val="53CC1BFA"/>
    <w:rsid w:val="53D1263C"/>
    <w:rsid w:val="53EC78B0"/>
    <w:rsid w:val="54430EA5"/>
    <w:rsid w:val="54531F10"/>
    <w:rsid w:val="54852DCC"/>
    <w:rsid w:val="54A0435F"/>
    <w:rsid w:val="54D050C0"/>
    <w:rsid w:val="54E670EF"/>
    <w:rsid w:val="55B915A0"/>
    <w:rsid w:val="55FC61FC"/>
    <w:rsid w:val="56375D43"/>
    <w:rsid w:val="563C1E65"/>
    <w:rsid w:val="564C5E20"/>
    <w:rsid w:val="56A52607"/>
    <w:rsid w:val="56B56DB4"/>
    <w:rsid w:val="56E86EB7"/>
    <w:rsid w:val="57025CE8"/>
    <w:rsid w:val="57027CE0"/>
    <w:rsid w:val="572675F8"/>
    <w:rsid w:val="57297BF4"/>
    <w:rsid w:val="57715B3F"/>
    <w:rsid w:val="57931157"/>
    <w:rsid w:val="5793679F"/>
    <w:rsid w:val="57B62582"/>
    <w:rsid w:val="58294CE8"/>
    <w:rsid w:val="582F5BFA"/>
    <w:rsid w:val="58496ABB"/>
    <w:rsid w:val="584D0484"/>
    <w:rsid w:val="58C93758"/>
    <w:rsid w:val="58DA02A2"/>
    <w:rsid w:val="5915449C"/>
    <w:rsid w:val="59781FA5"/>
    <w:rsid w:val="598D22F5"/>
    <w:rsid w:val="59A91B64"/>
    <w:rsid w:val="59C734EB"/>
    <w:rsid w:val="5A01364A"/>
    <w:rsid w:val="5A26212C"/>
    <w:rsid w:val="5A5955D5"/>
    <w:rsid w:val="5A806A0A"/>
    <w:rsid w:val="5ACD56DF"/>
    <w:rsid w:val="5ACF6C04"/>
    <w:rsid w:val="5B1D29B8"/>
    <w:rsid w:val="5B5E287E"/>
    <w:rsid w:val="5B7F0004"/>
    <w:rsid w:val="5C0607FD"/>
    <w:rsid w:val="5C2A31FA"/>
    <w:rsid w:val="5C380834"/>
    <w:rsid w:val="5C716E73"/>
    <w:rsid w:val="5C794888"/>
    <w:rsid w:val="5CB00ABE"/>
    <w:rsid w:val="5CCF7D19"/>
    <w:rsid w:val="5CFC3032"/>
    <w:rsid w:val="5D162F33"/>
    <w:rsid w:val="5D310209"/>
    <w:rsid w:val="5D3C343B"/>
    <w:rsid w:val="5D437DED"/>
    <w:rsid w:val="5D5906EC"/>
    <w:rsid w:val="5D6B3362"/>
    <w:rsid w:val="5D794F45"/>
    <w:rsid w:val="5D7D17F1"/>
    <w:rsid w:val="5D81769E"/>
    <w:rsid w:val="5D902AD7"/>
    <w:rsid w:val="5DC242DC"/>
    <w:rsid w:val="5DE204E8"/>
    <w:rsid w:val="5DEB64C7"/>
    <w:rsid w:val="5E442C0E"/>
    <w:rsid w:val="5E6E2DD8"/>
    <w:rsid w:val="5E7F6CE6"/>
    <w:rsid w:val="5EB12A83"/>
    <w:rsid w:val="5EBC3097"/>
    <w:rsid w:val="5EDA182A"/>
    <w:rsid w:val="5F13397F"/>
    <w:rsid w:val="5F1E2FCC"/>
    <w:rsid w:val="5F3907FC"/>
    <w:rsid w:val="5F470A9A"/>
    <w:rsid w:val="5F6B5B0B"/>
    <w:rsid w:val="5F881CA8"/>
    <w:rsid w:val="5F954394"/>
    <w:rsid w:val="5FF94B2B"/>
    <w:rsid w:val="5FFE2B32"/>
    <w:rsid w:val="60AB0032"/>
    <w:rsid w:val="60D87ACC"/>
    <w:rsid w:val="610F33A0"/>
    <w:rsid w:val="613D1D56"/>
    <w:rsid w:val="61FB21BD"/>
    <w:rsid w:val="620E08A5"/>
    <w:rsid w:val="623E1E4C"/>
    <w:rsid w:val="624212D6"/>
    <w:rsid w:val="62421E42"/>
    <w:rsid w:val="62513258"/>
    <w:rsid w:val="6252281F"/>
    <w:rsid w:val="625B09FA"/>
    <w:rsid w:val="62906FB9"/>
    <w:rsid w:val="62A61189"/>
    <w:rsid w:val="62D653F0"/>
    <w:rsid w:val="63332665"/>
    <w:rsid w:val="63B31C5B"/>
    <w:rsid w:val="63CF256B"/>
    <w:rsid w:val="63EF723E"/>
    <w:rsid w:val="640A3BB5"/>
    <w:rsid w:val="640E5EEF"/>
    <w:rsid w:val="643B6D5C"/>
    <w:rsid w:val="6458784D"/>
    <w:rsid w:val="64966F85"/>
    <w:rsid w:val="64CB7B8C"/>
    <w:rsid w:val="64D056B7"/>
    <w:rsid w:val="64EC73DB"/>
    <w:rsid w:val="65237298"/>
    <w:rsid w:val="657C4CC0"/>
    <w:rsid w:val="65CD6DD4"/>
    <w:rsid w:val="65D16FDE"/>
    <w:rsid w:val="6606102C"/>
    <w:rsid w:val="66CD08B8"/>
    <w:rsid w:val="66D67D9F"/>
    <w:rsid w:val="670876D9"/>
    <w:rsid w:val="67112E9A"/>
    <w:rsid w:val="676807BF"/>
    <w:rsid w:val="676E03EA"/>
    <w:rsid w:val="679307D7"/>
    <w:rsid w:val="67BE2C61"/>
    <w:rsid w:val="67E1286C"/>
    <w:rsid w:val="67FE6FED"/>
    <w:rsid w:val="680037B6"/>
    <w:rsid w:val="68012F0F"/>
    <w:rsid w:val="68437083"/>
    <w:rsid w:val="6852229A"/>
    <w:rsid w:val="68921DB9"/>
    <w:rsid w:val="68A36341"/>
    <w:rsid w:val="690744A3"/>
    <w:rsid w:val="691C289A"/>
    <w:rsid w:val="693D2E71"/>
    <w:rsid w:val="693E784B"/>
    <w:rsid w:val="694442E9"/>
    <w:rsid w:val="697238CA"/>
    <w:rsid w:val="6990454A"/>
    <w:rsid w:val="69BA5BFF"/>
    <w:rsid w:val="69BF21B8"/>
    <w:rsid w:val="69BFA71A"/>
    <w:rsid w:val="69E161A9"/>
    <w:rsid w:val="69E76C4B"/>
    <w:rsid w:val="6A4B0B30"/>
    <w:rsid w:val="6A4E0286"/>
    <w:rsid w:val="6A531627"/>
    <w:rsid w:val="6A6334CB"/>
    <w:rsid w:val="6A6665A4"/>
    <w:rsid w:val="6A8D08F9"/>
    <w:rsid w:val="6AB84BCB"/>
    <w:rsid w:val="6ADF664C"/>
    <w:rsid w:val="6AF4385C"/>
    <w:rsid w:val="6B160007"/>
    <w:rsid w:val="6B506DF4"/>
    <w:rsid w:val="6B547EBF"/>
    <w:rsid w:val="6B8D03FB"/>
    <w:rsid w:val="6BAC10A4"/>
    <w:rsid w:val="6BCD6424"/>
    <w:rsid w:val="6BD727A1"/>
    <w:rsid w:val="6C60324B"/>
    <w:rsid w:val="6D047C43"/>
    <w:rsid w:val="6D30557D"/>
    <w:rsid w:val="6D420056"/>
    <w:rsid w:val="6D5B34FD"/>
    <w:rsid w:val="6D5E2269"/>
    <w:rsid w:val="6D636C37"/>
    <w:rsid w:val="6D962F62"/>
    <w:rsid w:val="6DCC18C9"/>
    <w:rsid w:val="6DD17521"/>
    <w:rsid w:val="6DF6357B"/>
    <w:rsid w:val="6E101721"/>
    <w:rsid w:val="6E3012CF"/>
    <w:rsid w:val="6E5D2D36"/>
    <w:rsid w:val="6E752907"/>
    <w:rsid w:val="6F0B6421"/>
    <w:rsid w:val="6F134A24"/>
    <w:rsid w:val="6F320A1F"/>
    <w:rsid w:val="6F5C7630"/>
    <w:rsid w:val="6F5D0DBA"/>
    <w:rsid w:val="6F8461B6"/>
    <w:rsid w:val="6F976805"/>
    <w:rsid w:val="700049D5"/>
    <w:rsid w:val="704D3347"/>
    <w:rsid w:val="70667494"/>
    <w:rsid w:val="706E30C1"/>
    <w:rsid w:val="70714C0A"/>
    <w:rsid w:val="71211F2C"/>
    <w:rsid w:val="71BB5678"/>
    <w:rsid w:val="72113D4E"/>
    <w:rsid w:val="72366A25"/>
    <w:rsid w:val="72536115"/>
    <w:rsid w:val="725724F6"/>
    <w:rsid w:val="72AF513B"/>
    <w:rsid w:val="72B556A2"/>
    <w:rsid w:val="72B914B3"/>
    <w:rsid w:val="72D83A3E"/>
    <w:rsid w:val="732763DF"/>
    <w:rsid w:val="737753F6"/>
    <w:rsid w:val="73A94E78"/>
    <w:rsid w:val="73D47729"/>
    <w:rsid w:val="743113F7"/>
    <w:rsid w:val="744427D2"/>
    <w:rsid w:val="74825E96"/>
    <w:rsid w:val="74827E8F"/>
    <w:rsid w:val="749F57E2"/>
    <w:rsid w:val="75B82733"/>
    <w:rsid w:val="75DD7E04"/>
    <w:rsid w:val="760D2C07"/>
    <w:rsid w:val="7649078F"/>
    <w:rsid w:val="76623E2F"/>
    <w:rsid w:val="76677D05"/>
    <w:rsid w:val="7682346D"/>
    <w:rsid w:val="76A154CA"/>
    <w:rsid w:val="76CF71CA"/>
    <w:rsid w:val="76D71EFC"/>
    <w:rsid w:val="76FC4E0F"/>
    <w:rsid w:val="771104B7"/>
    <w:rsid w:val="773724A9"/>
    <w:rsid w:val="773B12BD"/>
    <w:rsid w:val="77B97F03"/>
    <w:rsid w:val="77BE0AF9"/>
    <w:rsid w:val="77F20C9D"/>
    <w:rsid w:val="783A7BA4"/>
    <w:rsid w:val="783C589D"/>
    <w:rsid w:val="784032C3"/>
    <w:rsid w:val="78B13B95"/>
    <w:rsid w:val="78E56779"/>
    <w:rsid w:val="78F32400"/>
    <w:rsid w:val="790819BD"/>
    <w:rsid w:val="790D1268"/>
    <w:rsid w:val="79206F6D"/>
    <w:rsid w:val="792749DE"/>
    <w:rsid w:val="792A4A6E"/>
    <w:rsid w:val="793C46B9"/>
    <w:rsid w:val="7944350D"/>
    <w:rsid w:val="79570BE0"/>
    <w:rsid w:val="79B00956"/>
    <w:rsid w:val="79B31BC0"/>
    <w:rsid w:val="7A255D4E"/>
    <w:rsid w:val="7A4647B1"/>
    <w:rsid w:val="7A732ABC"/>
    <w:rsid w:val="7A805F15"/>
    <w:rsid w:val="7A89335E"/>
    <w:rsid w:val="7AA61025"/>
    <w:rsid w:val="7AAC5CAA"/>
    <w:rsid w:val="7B1476FA"/>
    <w:rsid w:val="7B2D3043"/>
    <w:rsid w:val="7B612A0F"/>
    <w:rsid w:val="7B6F4A91"/>
    <w:rsid w:val="7B774DF6"/>
    <w:rsid w:val="7C23124E"/>
    <w:rsid w:val="7C486C84"/>
    <w:rsid w:val="7C563781"/>
    <w:rsid w:val="7C727709"/>
    <w:rsid w:val="7CB80723"/>
    <w:rsid w:val="7CCF6862"/>
    <w:rsid w:val="7CD12061"/>
    <w:rsid w:val="7CF24954"/>
    <w:rsid w:val="7CF33158"/>
    <w:rsid w:val="7D275B8C"/>
    <w:rsid w:val="7D2F110C"/>
    <w:rsid w:val="7D50405D"/>
    <w:rsid w:val="7D5D70F8"/>
    <w:rsid w:val="7D632A4D"/>
    <w:rsid w:val="7D821773"/>
    <w:rsid w:val="7D8E03CD"/>
    <w:rsid w:val="7DD345AE"/>
    <w:rsid w:val="7DD6488A"/>
    <w:rsid w:val="7DD65E4C"/>
    <w:rsid w:val="7E21356B"/>
    <w:rsid w:val="7E4F56A7"/>
    <w:rsid w:val="7E6446CC"/>
    <w:rsid w:val="7E873748"/>
    <w:rsid w:val="7EC46081"/>
    <w:rsid w:val="7EFA3986"/>
    <w:rsid w:val="7EFE5BF4"/>
    <w:rsid w:val="7F3752DF"/>
    <w:rsid w:val="E7E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widowControl/>
      <w:tabs>
        <w:tab w:val="left" w:pos="432"/>
      </w:tabs>
      <w:ind w:left="432" w:hanging="432"/>
      <w:jc w:val="center"/>
      <w:outlineLvl w:val="0"/>
    </w:pPr>
    <w:rPr>
      <w:rFonts w:ascii="黑体" w:hAnsi="黑体"/>
      <w:kern w:val="0"/>
      <w:sz w:val="32"/>
    </w:rPr>
  </w:style>
  <w:style w:type="paragraph" w:styleId="3">
    <w:name w:val="heading 2"/>
    <w:basedOn w:val="1"/>
    <w:next w:val="4"/>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qFormat/>
    <w:uiPriority w:val="9"/>
    <w:pPr>
      <w:tabs>
        <w:tab w:val="left" w:pos="851"/>
      </w:tabs>
      <w:autoSpaceDE w:val="0"/>
      <w:autoSpaceDN w:val="0"/>
      <w:adjustRightInd w:val="0"/>
      <w:snapToGrid w:val="0"/>
      <w:spacing w:line="360" w:lineRule="auto"/>
      <w:outlineLvl w:val="2"/>
    </w:pPr>
    <w:rPr>
      <w:rFonts w:hint="eastAsia" w:ascii="宋体" w:cs="宋体"/>
      <w:kern w:val="0"/>
    </w:rPr>
  </w:style>
  <w:style w:type="paragraph" w:styleId="6">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9"/>
    <w:pPr>
      <w:tabs>
        <w:tab w:val="left" w:pos="420"/>
      </w:tabs>
      <w:spacing w:beforeLines="50" w:afterLines="50"/>
      <w:outlineLvl w:val="4"/>
    </w:pPr>
    <w:rPr>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unhideWhenUsed/>
    <w:qFormat/>
    <w:uiPriority w:val="99"/>
    <w:pPr>
      <w:ind w:firstLine="420" w:firstLineChars="200"/>
    </w:pPr>
    <w:rPr>
      <w:kern w:val="0"/>
      <w:sz w:val="20"/>
      <w:szCs w:val="24"/>
    </w:rPr>
  </w:style>
  <w:style w:type="paragraph" w:styleId="8">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9">
    <w:name w:val="annotation text"/>
    <w:basedOn w:val="1"/>
    <w:link w:val="81"/>
    <w:unhideWhenUsed/>
    <w:qFormat/>
    <w:uiPriority w:val="99"/>
    <w:pPr>
      <w:snapToGrid w:val="0"/>
      <w:ind w:firstLine="100" w:firstLineChars="100"/>
      <w:jc w:val="left"/>
    </w:pPr>
    <w:rPr>
      <w:rFonts w:eastAsia="楷体"/>
    </w:rPr>
  </w:style>
  <w:style w:type="paragraph" w:styleId="10">
    <w:name w:val="Body Text"/>
    <w:basedOn w:val="1"/>
    <w:link w:val="67"/>
    <w:unhideWhenUsed/>
    <w:qFormat/>
    <w:uiPriority w:val="99"/>
    <w:pPr>
      <w:spacing w:after="120"/>
    </w:pPr>
  </w:style>
  <w:style w:type="paragraph" w:styleId="11">
    <w:name w:val="Body Text Indent"/>
    <w:basedOn w:val="1"/>
    <w:link w:val="62"/>
    <w:unhideWhenUsed/>
    <w:qFormat/>
    <w:uiPriority w:val="99"/>
    <w:pPr>
      <w:ind w:firstLine="600" w:firstLineChars="200"/>
    </w:pPr>
    <w:rPr>
      <w:rFonts w:eastAsia="楷体_GB2312"/>
      <w:sz w:val="30"/>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unhideWhenUsed/>
    <w:qFormat/>
    <w:uiPriority w:val="39"/>
    <w:pPr>
      <w:ind w:left="420"/>
      <w:jc w:val="left"/>
    </w:pPr>
    <w:rPr>
      <w:rFonts w:asciiTheme="minorHAnsi" w:hAnsiTheme="minorHAnsi" w:cstheme="minorHAnsi"/>
      <w:i/>
      <w:iCs/>
      <w:sz w:val="20"/>
    </w:rPr>
  </w:style>
  <w:style w:type="paragraph" w:styleId="14">
    <w:name w:val="Plain Text"/>
    <w:basedOn w:val="1"/>
    <w:link w:val="73"/>
    <w:qFormat/>
    <w:uiPriority w:val="0"/>
    <w:rPr>
      <w:rFonts w:ascii="宋体" w:hAnsi="Courier New" w:cstheme="minorBidi"/>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qFormat/>
    <w:uiPriority w:val="0"/>
    <w:rPr>
      <w:sz w:val="24"/>
    </w:rPr>
  </w:style>
  <w:style w:type="paragraph" w:styleId="17">
    <w:name w:val="Body Text Indent 2"/>
    <w:basedOn w:val="1"/>
    <w:link w:val="64"/>
    <w:unhideWhenUsed/>
    <w:qFormat/>
    <w:uiPriority w:val="99"/>
    <w:pPr>
      <w:ind w:left="600"/>
    </w:pPr>
    <w:rPr>
      <w:rFonts w:eastAsia="楷体_GB2312"/>
      <w:sz w:val="30"/>
      <w:szCs w:val="24"/>
    </w:rPr>
  </w:style>
  <w:style w:type="paragraph" w:styleId="18">
    <w:name w:val="Balloon Text"/>
    <w:basedOn w:val="1"/>
    <w:link w:val="69"/>
    <w:unhideWhenUsed/>
    <w:qFormat/>
    <w:uiPriority w:val="99"/>
    <w:rPr>
      <w:sz w:val="18"/>
      <w:szCs w:val="18"/>
    </w:rPr>
  </w:style>
  <w:style w:type="paragraph" w:styleId="19">
    <w:name w:val="footer"/>
    <w:basedOn w:val="1"/>
    <w:link w:val="58"/>
    <w:unhideWhenUsed/>
    <w:qFormat/>
    <w:uiPriority w:val="0"/>
    <w:pPr>
      <w:tabs>
        <w:tab w:val="center" w:pos="4153"/>
        <w:tab w:val="right" w:pos="8306"/>
      </w:tabs>
      <w:snapToGrid w:val="0"/>
      <w:jc w:val="left"/>
    </w:pPr>
    <w:rPr>
      <w:sz w:val="18"/>
      <w:szCs w:val="18"/>
    </w:rPr>
  </w:style>
  <w:style w:type="paragraph" w:styleId="20">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footnote text"/>
    <w:basedOn w:val="1"/>
    <w:link w:val="121"/>
    <w:qFormat/>
    <w:uiPriority w:val="0"/>
    <w:pPr>
      <w:snapToGrid w:val="0"/>
      <w:jc w:val="left"/>
    </w:pPr>
    <w:rPr>
      <w:sz w:val="18"/>
      <w:szCs w:val="18"/>
    </w:rPr>
  </w:style>
  <w:style w:type="paragraph" w:styleId="24">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qFormat/>
    <w:uiPriority w:val="39"/>
    <w:pPr>
      <w:ind w:left="1680"/>
      <w:jc w:val="left"/>
    </w:pPr>
    <w:rPr>
      <w:rFonts w:asciiTheme="minorHAnsi" w:hAnsiTheme="minorHAnsi" w:cstheme="minorHAnsi"/>
      <w:sz w:val="18"/>
      <w:szCs w:val="18"/>
    </w:rPr>
  </w:style>
  <w:style w:type="paragraph" w:styleId="27">
    <w:name w:val="Body Text 2"/>
    <w:basedOn w:val="1"/>
    <w:qFormat/>
    <w:uiPriority w:val="0"/>
    <w:pPr>
      <w:spacing w:after="120" w:line="480" w:lineRule="auto"/>
    </w:pPr>
  </w:style>
  <w:style w:type="paragraph" w:styleId="28">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9">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30">
    <w:name w:val="annotation subject"/>
    <w:basedOn w:val="9"/>
    <w:next w:val="9"/>
    <w:link w:val="83"/>
    <w:unhideWhenUsed/>
    <w:qFormat/>
    <w:uiPriority w:val="99"/>
    <w:rPr>
      <w:b/>
      <w:bCs/>
    </w:rPr>
  </w:style>
  <w:style w:type="paragraph" w:styleId="31">
    <w:name w:val="Body Text First Indent"/>
    <w:basedOn w:val="10"/>
    <w:next w:val="32"/>
    <w:link w:val="68"/>
    <w:unhideWhenUsed/>
    <w:qFormat/>
    <w:uiPriority w:val="99"/>
    <w:pPr>
      <w:ind w:firstLine="420" w:firstLineChars="100"/>
    </w:pPr>
  </w:style>
  <w:style w:type="paragraph" w:styleId="32">
    <w:name w:val="Body Text First Indent 2"/>
    <w:basedOn w:val="11"/>
    <w:link w:val="122"/>
    <w:qFormat/>
    <w:uiPriority w:val="0"/>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000000"/>
      <w:u w:val="none"/>
    </w:rPr>
  </w:style>
  <w:style w:type="character" w:styleId="39">
    <w:name w:val="HTML Definition"/>
    <w:basedOn w:val="35"/>
    <w:unhideWhenUsed/>
    <w:qFormat/>
    <w:uiPriority w:val="99"/>
  </w:style>
  <w:style w:type="character" w:styleId="40">
    <w:name w:val="HTML Typewriter"/>
    <w:basedOn w:val="35"/>
    <w:unhideWhenUsed/>
    <w:qFormat/>
    <w:uiPriority w:val="99"/>
    <w:rPr>
      <w:rFonts w:hint="default" w:ascii="monospace" w:hAnsi="monospace" w:eastAsia="monospace" w:cs="monospace"/>
      <w:sz w:val="20"/>
    </w:rPr>
  </w:style>
  <w:style w:type="character" w:styleId="41">
    <w:name w:val="HTML Acronym"/>
    <w:basedOn w:val="35"/>
    <w:unhideWhenUsed/>
    <w:qFormat/>
    <w:uiPriority w:val="99"/>
  </w:style>
  <w:style w:type="character" w:styleId="42">
    <w:name w:val="HTML Variable"/>
    <w:basedOn w:val="35"/>
    <w:unhideWhenUsed/>
    <w:qFormat/>
    <w:uiPriority w:val="99"/>
  </w:style>
  <w:style w:type="character" w:styleId="43">
    <w:name w:val="Hyperlink"/>
    <w:basedOn w:val="35"/>
    <w:unhideWhenUsed/>
    <w:qFormat/>
    <w:uiPriority w:val="99"/>
    <w:rPr>
      <w:color w:val="000000"/>
      <w:u w:val="none"/>
    </w:rPr>
  </w:style>
  <w:style w:type="character" w:styleId="44">
    <w:name w:val="HTML Code"/>
    <w:basedOn w:val="35"/>
    <w:unhideWhenUsed/>
    <w:qFormat/>
    <w:uiPriority w:val="99"/>
    <w:rPr>
      <w:rFonts w:hint="default" w:ascii="monospace" w:hAnsi="monospace" w:eastAsia="monospace" w:cs="monospace"/>
      <w:sz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basedOn w:val="35"/>
    <w:qFormat/>
    <w:uiPriority w:val="0"/>
    <w:rPr>
      <w:vertAlign w:val="superscript"/>
    </w:rPr>
  </w:style>
  <w:style w:type="character" w:styleId="48">
    <w:name w:val="HTML Keyboard"/>
    <w:basedOn w:val="35"/>
    <w:unhideWhenUsed/>
    <w:qFormat/>
    <w:uiPriority w:val="99"/>
    <w:rPr>
      <w:rFonts w:ascii="monospace" w:hAnsi="monospace" w:eastAsia="monospace" w:cs="monospace"/>
      <w:sz w:val="20"/>
    </w:rPr>
  </w:style>
  <w:style w:type="character" w:styleId="49">
    <w:name w:val="HTML Sample"/>
    <w:basedOn w:val="35"/>
    <w:unhideWhenUsed/>
    <w:qFormat/>
    <w:uiPriority w:val="99"/>
    <w:rPr>
      <w:rFonts w:hint="default" w:ascii="monospace" w:hAnsi="monospace" w:eastAsia="monospace" w:cs="monospace"/>
    </w:rPr>
  </w:style>
  <w:style w:type="paragraph" w:customStyle="1" w:styleId="50">
    <w:name w:val="文档正文"/>
    <w:basedOn w:val="1"/>
    <w:qFormat/>
    <w:uiPriority w:val="0"/>
    <w:pPr>
      <w:spacing w:line="360" w:lineRule="auto"/>
      <w:ind w:firstLine="200" w:firstLineChars="200"/>
    </w:pPr>
    <w:rPr>
      <w:rFonts w:ascii="宋体" w:hAnsi="宋体"/>
      <w:sz w:val="24"/>
    </w:rPr>
  </w:style>
  <w:style w:type="paragraph" w:customStyle="1" w:styleId="51">
    <w:name w:val="Default"/>
    <w:next w:val="16"/>
    <w:qFormat/>
    <w:uiPriority w:val="0"/>
    <w:pPr>
      <w:widowControl w:val="0"/>
      <w:autoSpaceDE w:val="0"/>
      <w:autoSpaceDN w:val="0"/>
      <w:adjustRightInd w:val="0"/>
    </w:pPr>
    <w:rPr>
      <w:rFonts w:ascii="宋体_x0002_ā" w:hAnsi="Times New Roman" w:eastAsia="宋体_x0002_ā" w:cs="宋体_x0002_ā"/>
      <w:color w:val="000000"/>
      <w:sz w:val="24"/>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格式"/>
    <w:basedOn w:val="1"/>
    <w:qFormat/>
    <w:uiPriority w:val="0"/>
    <w:pPr>
      <w:widowControl/>
      <w:adjustRightInd w:val="0"/>
      <w:snapToGrid w:val="0"/>
      <w:spacing w:line="360" w:lineRule="atLeast"/>
      <w:ind w:firstLine="482"/>
      <w:textAlignment w:val="baseline"/>
    </w:pPr>
    <w:rPr>
      <w:kern w:val="0"/>
      <w:sz w:val="24"/>
    </w:rPr>
  </w:style>
  <w:style w:type="character" w:customStyle="1" w:styleId="54">
    <w:name w:val="标题 2 字符"/>
    <w:basedOn w:val="35"/>
    <w:link w:val="3"/>
    <w:qFormat/>
    <w:uiPriority w:val="9"/>
    <w:rPr>
      <w:rFonts w:asciiTheme="majorHAnsi" w:hAnsiTheme="majorHAnsi" w:eastAsiaTheme="majorEastAsia" w:cstheme="majorBidi"/>
      <w:b/>
      <w:bCs/>
      <w:kern w:val="2"/>
      <w:sz w:val="32"/>
      <w:szCs w:val="32"/>
    </w:rPr>
  </w:style>
  <w:style w:type="paragraph" w:customStyle="1" w:styleId="55">
    <w:name w:val="章节题目"/>
    <w:basedOn w:val="56"/>
    <w:next w:val="1"/>
    <w:qFormat/>
    <w:uiPriority w:val="0"/>
    <w:pPr>
      <w:spacing w:before="720" w:after="400" w:line="540" w:lineRule="atLeast"/>
      <w:ind w:right="2160"/>
    </w:pPr>
    <w:rPr>
      <w:rFonts w:ascii="Times New Roman" w:hAnsi="Times New Roman"/>
      <w:spacing w:val="-40"/>
      <w:sz w:val="60"/>
    </w:rPr>
  </w:style>
  <w:style w:type="paragraph" w:customStyle="1" w:styleId="56">
    <w:name w:val="基准标题"/>
    <w:basedOn w:val="1"/>
    <w:next w:val="10"/>
    <w:qFormat/>
    <w:uiPriority w:val="0"/>
    <w:pPr>
      <w:keepNext/>
      <w:keepLines/>
      <w:spacing w:before="140" w:line="220" w:lineRule="atLeast"/>
    </w:pPr>
    <w:rPr>
      <w:rFonts w:ascii="Arial" w:hAnsi="Arial"/>
      <w:spacing w:val="-4"/>
      <w:kern w:val="28"/>
      <w:sz w:val="22"/>
    </w:rPr>
  </w:style>
  <w:style w:type="character" w:customStyle="1" w:styleId="57">
    <w:name w:val="页眉 字符"/>
    <w:basedOn w:val="35"/>
    <w:link w:val="20"/>
    <w:qFormat/>
    <w:uiPriority w:val="0"/>
    <w:rPr>
      <w:sz w:val="18"/>
      <w:szCs w:val="18"/>
    </w:rPr>
  </w:style>
  <w:style w:type="character" w:customStyle="1" w:styleId="58">
    <w:name w:val="页脚 字符"/>
    <w:basedOn w:val="35"/>
    <w:link w:val="19"/>
    <w:qFormat/>
    <w:uiPriority w:val="0"/>
    <w:rPr>
      <w:sz w:val="18"/>
      <w:szCs w:val="18"/>
    </w:rPr>
  </w:style>
  <w:style w:type="character" w:customStyle="1" w:styleId="59">
    <w:name w:val="标题 3 字符"/>
    <w:basedOn w:val="35"/>
    <w:link w:val="5"/>
    <w:qFormat/>
    <w:uiPriority w:val="9"/>
    <w:rPr>
      <w:rFonts w:ascii="宋体" w:hAnsi="Times New Roman" w:eastAsia="宋体" w:cs="宋体"/>
      <w:kern w:val="0"/>
      <w:szCs w:val="20"/>
    </w:rPr>
  </w:style>
  <w:style w:type="character" w:customStyle="1" w:styleId="60">
    <w:name w:val="页眉 Char1"/>
    <w:basedOn w:val="35"/>
    <w:semiHidden/>
    <w:qFormat/>
    <w:uiPriority w:val="99"/>
    <w:rPr>
      <w:kern w:val="2"/>
      <w:sz w:val="18"/>
      <w:szCs w:val="18"/>
    </w:rPr>
  </w:style>
  <w:style w:type="character" w:customStyle="1" w:styleId="61">
    <w:name w:val="content4zbgg1"/>
    <w:basedOn w:val="35"/>
    <w:qFormat/>
    <w:uiPriority w:val="0"/>
    <w:rPr>
      <w:color w:val="CC0000"/>
      <w:sz w:val="18"/>
      <w:szCs w:val="18"/>
    </w:rPr>
  </w:style>
  <w:style w:type="character" w:customStyle="1" w:styleId="62">
    <w:name w:val="正文文本缩进 字符"/>
    <w:basedOn w:val="35"/>
    <w:link w:val="11"/>
    <w:qFormat/>
    <w:uiPriority w:val="99"/>
    <w:rPr>
      <w:rFonts w:ascii="Times New Roman" w:hAnsi="Times New Roman" w:eastAsia="楷体_GB2312" w:cs="Times New Roman"/>
      <w:sz w:val="30"/>
      <w:szCs w:val="24"/>
    </w:rPr>
  </w:style>
  <w:style w:type="character" w:customStyle="1" w:styleId="63">
    <w:name w:val="页脚 Char1"/>
    <w:basedOn w:val="35"/>
    <w:semiHidden/>
    <w:qFormat/>
    <w:uiPriority w:val="99"/>
    <w:rPr>
      <w:kern w:val="2"/>
      <w:sz w:val="18"/>
      <w:szCs w:val="18"/>
    </w:rPr>
  </w:style>
  <w:style w:type="character" w:customStyle="1" w:styleId="64">
    <w:name w:val="正文文本缩进 2 字符"/>
    <w:basedOn w:val="35"/>
    <w:link w:val="17"/>
    <w:qFormat/>
    <w:uiPriority w:val="99"/>
    <w:rPr>
      <w:rFonts w:ascii="Times New Roman" w:hAnsi="Times New Roman" w:eastAsia="楷体_GB2312" w:cs="Times New Roman"/>
      <w:sz w:val="30"/>
      <w:szCs w:val="24"/>
    </w:rPr>
  </w:style>
  <w:style w:type="paragraph" w:customStyle="1" w:styleId="65">
    <w:name w:val="Char"/>
    <w:basedOn w:val="1"/>
    <w:qFormat/>
    <w:uiPriority w:val="0"/>
    <w:rPr>
      <w:rFonts w:ascii="Tahoma" w:hAnsi="Tahoma"/>
      <w:sz w:val="24"/>
    </w:rPr>
  </w:style>
  <w:style w:type="paragraph" w:customStyle="1" w:styleId="66">
    <w:name w:val="列出段落1"/>
    <w:basedOn w:val="1"/>
    <w:qFormat/>
    <w:uiPriority w:val="99"/>
    <w:pPr>
      <w:ind w:firstLine="420" w:firstLineChars="200"/>
    </w:pPr>
    <w:rPr>
      <w:rFonts w:ascii="Calibri" w:hAnsi="Calibri"/>
      <w:szCs w:val="22"/>
    </w:rPr>
  </w:style>
  <w:style w:type="character" w:customStyle="1" w:styleId="67">
    <w:name w:val="正文文本 字符"/>
    <w:basedOn w:val="35"/>
    <w:link w:val="10"/>
    <w:semiHidden/>
    <w:qFormat/>
    <w:uiPriority w:val="99"/>
    <w:rPr>
      <w:rFonts w:ascii="Times New Roman" w:hAnsi="Times New Roman" w:eastAsia="宋体" w:cs="Times New Roman"/>
      <w:szCs w:val="20"/>
    </w:rPr>
  </w:style>
  <w:style w:type="character" w:customStyle="1" w:styleId="68">
    <w:name w:val="正文文本首行缩进 字符"/>
    <w:basedOn w:val="67"/>
    <w:link w:val="31"/>
    <w:semiHidden/>
    <w:qFormat/>
    <w:uiPriority w:val="99"/>
    <w:rPr>
      <w:rFonts w:ascii="Times New Roman" w:hAnsi="Times New Roman" w:eastAsia="宋体" w:cs="Times New Roman"/>
      <w:szCs w:val="20"/>
    </w:rPr>
  </w:style>
  <w:style w:type="character" w:customStyle="1" w:styleId="69">
    <w:name w:val="批注框文本 字符"/>
    <w:basedOn w:val="35"/>
    <w:link w:val="18"/>
    <w:semiHidden/>
    <w:qFormat/>
    <w:uiPriority w:val="99"/>
    <w:rPr>
      <w:rFonts w:ascii="Times New Roman" w:hAnsi="Times New Roman" w:eastAsia="宋体" w:cs="Times New Roman"/>
      <w:sz w:val="18"/>
      <w:szCs w:val="18"/>
    </w:rPr>
  </w:style>
  <w:style w:type="character" w:customStyle="1" w:styleId="70">
    <w:name w:val="正文缩进 字符"/>
    <w:basedOn w:val="35"/>
    <w:link w:val="4"/>
    <w:qFormat/>
    <w:locked/>
    <w:uiPriority w:val="99"/>
    <w:rPr>
      <w:rFonts w:ascii="Times New Roman" w:hAnsi="Times New Roman" w:eastAsia="宋体" w:cs="Times New Roman"/>
      <w:szCs w:val="24"/>
    </w:rPr>
  </w:style>
  <w:style w:type="paragraph" w:customStyle="1" w:styleId="71">
    <w:name w:val="Char1"/>
    <w:basedOn w:val="1"/>
    <w:qFormat/>
    <w:uiPriority w:val="0"/>
    <w:rPr>
      <w:rFonts w:ascii="Tahoma" w:hAnsi="Tahoma"/>
      <w:sz w:val="24"/>
    </w:rPr>
  </w:style>
  <w:style w:type="character" w:customStyle="1" w:styleId="72">
    <w:name w:val="纯文本 Char"/>
    <w:basedOn w:val="35"/>
    <w:qFormat/>
    <w:uiPriority w:val="0"/>
    <w:rPr>
      <w:rFonts w:ascii="宋体" w:hAnsi="Courier New" w:eastAsia="宋体"/>
      <w:kern w:val="2"/>
      <w:sz w:val="21"/>
    </w:rPr>
  </w:style>
  <w:style w:type="character" w:customStyle="1" w:styleId="73">
    <w:name w:val="纯文本 字符"/>
    <w:basedOn w:val="35"/>
    <w:link w:val="14"/>
    <w:semiHidden/>
    <w:qFormat/>
    <w:uiPriority w:val="99"/>
    <w:rPr>
      <w:rFonts w:ascii="宋体" w:hAnsi="Courier New" w:eastAsia="宋体" w:cs="Courier New"/>
      <w:kern w:val="2"/>
      <w:sz w:val="21"/>
      <w:szCs w:val="21"/>
    </w:rPr>
  </w:style>
  <w:style w:type="paragraph" w:customStyle="1" w:styleId="74">
    <w:name w:val="列出段落2"/>
    <w:basedOn w:val="1"/>
    <w:unhideWhenUsed/>
    <w:qFormat/>
    <w:uiPriority w:val="99"/>
    <w:pPr>
      <w:ind w:firstLine="420" w:firstLineChars="200"/>
    </w:pPr>
  </w:style>
  <w:style w:type="character" w:customStyle="1" w:styleId="75">
    <w:name w:val="font_notice2"/>
    <w:basedOn w:val="35"/>
    <w:qFormat/>
    <w:uiPriority w:val="0"/>
    <w:rPr>
      <w:color w:val="CC9999"/>
    </w:rPr>
  </w:style>
  <w:style w:type="character" w:customStyle="1" w:styleId="76">
    <w:name w:val="font01"/>
    <w:basedOn w:val="35"/>
    <w:qFormat/>
    <w:uiPriority w:val="0"/>
    <w:rPr>
      <w:rFonts w:hint="default" w:ascii="Times New Roman" w:hAnsi="Times New Roman" w:cs="Times New Roman"/>
      <w:color w:val="000000"/>
      <w:sz w:val="21"/>
      <w:szCs w:val="21"/>
      <w:u w:val="none"/>
    </w:rPr>
  </w:style>
  <w:style w:type="character" w:customStyle="1" w:styleId="77">
    <w:name w:val="font81"/>
    <w:basedOn w:val="35"/>
    <w:qFormat/>
    <w:uiPriority w:val="0"/>
    <w:rPr>
      <w:rFonts w:hint="eastAsia" w:ascii="宋体" w:hAnsi="宋体" w:eastAsia="宋体" w:cs="宋体"/>
      <w:color w:val="000000"/>
      <w:sz w:val="21"/>
      <w:szCs w:val="21"/>
      <w:u w:val="none"/>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font51"/>
    <w:basedOn w:val="35"/>
    <w:qFormat/>
    <w:uiPriority w:val="0"/>
    <w:rPr>
      <w:rFonts w:hint="eastAsia" w:ascii="宋体" w:hAnsi="宋体" w:eastAsia="宋体" w:cs="宋体"/>
      <w:color w:val="000000"/>
      <w:sz w:val="24"/>
      <w:szCs w:val="24"/>
      <w:u w:val="none"/>
    </w:rPr>
  </w:style>
  <w:style w:type="character" w:customStyle="1" w:styleId="80">
    <w:name w:val="正文文本2"/>
    <w:basedOn w:val="35"/>
    <w:qFormat/>
    <w:uiPriority w:val="0"/>
    <w:rPr>
      <w:rFonts w:ascii="MingLiU" w:hAnsi="MingLiU" w:eastAsia="MingLiU" w:cs="MingLiU"/>
      <w:color w:val="000000"/>
      <w:spacing w:val="0"/>
      <w:w w:val="100"/>
      <w:position w:val="0"/>
      <w:sz w:val="20"/>
      <w:szCs w:val="20"/>
      <w:shd w:val="clear" w:color="auto" w:fill="FFFFFF"/>
      <w:lang w:val="zh-CN"/>
    </w:rPr>
  </w:style>
  <w:style w:type="character" w:customStyle="1" w:styleId="81">
    <w:name w:val="批注文字 字符"/>
    <w:basedOn w:val="35"/>
    <w:link w:val="9"/>
    <w:qFormat/>
    <w:uiPriority w:val="99"/>
    <w:rPr>
      <w:rFonts w:eastAsia="楷体"/>
      <w:kern w:val="2"/>
      <w:sz w:val="21"/>
    </w:rPr>
  </w:style>
  <w:style w:type="paragraph" w:customStyle="1" w:styleId="8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批注主题 字符"/>
    <w:basedOn w:val="81"/>
    <w:link w:val="30"/>
    <w:semiHidden/>
    <w:qFormat/>
    <w:uiPriority w:val="99"/>
    <w:rPr>
      <w:rFonts w:eastAsia="楷体"/>
      <w:b/>
      <w:bCs/>
      <w:kern w:val="2"/>
      <w:sz w:val="21"/>
    </w:rPr>
  </w:style>
  <w:style w:type="character" w:customStyle="1" w:styleId="84">
    <w:name w:val="cur"/>
    <w:basedOn w:val="35"/>
    <w:qFormat/>
    <w:uiPriority w:val="0"/>
    <w:rPr>
      <w:rFonts w:hint="default" w:ascii="SourceHanSansCN-Medium" w:hAnsi="SourceHanSansCN-Medium" w:eastAsia="SourceHanSansCN-Medium" w:cs="SourceHanSansCN-Medium"/>
      <w:color w:val="BC1D22"/>
    </w:rPr>
  </w:style>
  <w:style w:type="character" w:customStyle="1" w:styleId="85">
    <w:name w:val="font31"/>
    <w:basedOn w:val="35"/>
    <w:qFormat/>
    <w:uiPriority w:val="0"/>
    <w:rPr>
      <w:rFonts w:hint="eastAsia" w:ascii="宋体" w:hAnsi="宋体" w:eastAsia="宋体" w:cs="宋体"/>
      <w:color w:val="000000"/>
      <w:sz w:val="22"/>
      <w:szCs w:val="22"/>
      <w:u w:val="none"/>
    </w:rPr>
  </w:style>
  <w:style w:type="character" w:customStyle="1" w:styleId="86">
    <w:name w:val="font11"/>
    <w:basedOn w:val="35"/>
    <w:qFormat/>
    <w:uiPriority w:val="0"/>
    <w:rPr>
      <w:rFonts w:hint="eastAsia" w:ascii="宋体" w:hAnsi="宋体" w:eastAsia="宋体" w:cs="宋体"/>
      <w:color w:val="000000"/>
      <w:sz w:val="24"/>
      <w:szCs w:val="24"/>
      <w:u w:val="none"/>
      <w:vertAlign w:val="superscript"/>
    </w:rPr>
  </w:style>
  <w:style w:type="paragraph" w:customStyle="1" w:styleId="87">
    <w:name w:val="reader-word-layer reader-word-s3-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Table Paragraph"/>
    <w:basedOn w:val="1"/>
    <w:qFormat/>
    <w:uiPriority w:val="1"/>
    <w:pPr>
      <w:jc w:val="left"/>
    </w:pPr>
    <w:rPr>
      <w:rFonts w:ascii="宋体" w:hAnsi="宋体" w:cs="宋体"/>
      <w:kern w:val="0"/>
      <w:sz w:val="22"/>
      <w:szCs w:val="22"/>
      <w:lang w:eastAsia="en-US"/>
    </w:rPr>
  </w:style>
  <w:style w:type="paragraph" w:styleId="89">
    <w:name w:val="List Paragraph"/>
    <w:basedOn w:val="1"/>
    <w:qFormat/>
    <w:uiPriority w:val="99"/>
    <w:pPr>
      <w:ind w:firstLine="420" w:firstLineChars="200"/>
    </w:pPr>
  </w:style>
  <w:style w:type="character" w:customStyle="1" w:styleId="90">
    <w:name w:val="apple-converted-space"/>
    <w:qFormat/>
    <w:uiPriority w:val="0"/>
  </w:style>
  <w:style w:type="table" w:customStyle="1" w:styleId="91">
    <w:name w:val="网格型1"/>
    <w:basedOn w:val="3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未处理的提及1"/>
    <w:basedOn w:val="35"/>
    <w:semiHidden/>
    <w:unhideWhenUsed/>
    <w:qFormat/>
    <w:uiPriority w:val="99"/>
    <w:rPr>
      <w:color w:val="605E5C"/>
      <w:shd w:val="clear" w:color="auto" w:fill="E1DFDD"/>
    </w:rPr>
  </w:style>
  <w:style w:type="paragraph" w:customStyle="1" w:styleId="93">
    <w:name w:val="章"/>
    <w:basedOn w:val="2"/>
    <w:qFormat/>
    <w:uiPriority w:val="0"/>
    <w:pPr>
      <w:tabs>
        <w:tab w:val="left" w:pos="1200"/>
        <w:tab w:val="center" w:pos="4153"/>
        <w:tab w:val="clear" w:pos="432"/>
      </w:tabs>
      <w:adjustRightInd w:val="0"/>
      <w:snapToGrid w:val="0"/>
      <w:ind w:left="150" w:leftChars="150" w:hanging="720"/>
      <w:jc w:val="left"/>
    </w:pPr>
    <w:rPr>
      <w:color w:val="000000"/>
      <w:spacing w:val="-4"/>
      <w:kern w:val="2"/>
      <w:sz w:val="28"/>
      <w:szCs w:val="28"/>
    </w:rPr>
  </w:style>
  <w:style w:type="paragraph" w:customStyle="1" w:styleId="94">
    <w:name w:val="中文正文、"/>
    <w:basedOn w:val="1"/>
    <w:qFormat/>
    <w:uiPriority w:val="0"/>
    <w:pPr>
      <w:ind w:firstLine="420"/>
      <w:jc w:val="left"/>
    </w:pPr>
    <w:rPr>
      <w:szCs w:val="21"/>
    </w:rPr>
  </w:style>
  <w:style w:type="paragraph" w:customStyle="1" w:styleId="95">
    <w:name w:val="标题一、"/>
    <w:basedOn w:val="1"/>
    <w:qFormat/>
    <w:uiPriority w:val="0"/>
    <w:pPr>
      <w:spacing w:beforeLines="100" w:afterLines="100"/>
      <w:jc w:val="center"/>
      <w:outlineLvl w:val="0"/>
    </w:pPr>
    <w:rPr>
      <w:rFonts w:ascii="黑体" w:eastAsia="黑体"/>
      <w:sz w:val="32"/>
      <w:szCs w:val="32"/>
    </w:rPr>
  </w:style>
  <w:style w:type="paragraph" w:customStyle="1" w:styleId="96">
    <w:name w:val="标题二、"/>
    <w:basedOn w:val="1"/>
    <w:qFormat/>
    <w:uiPriority w:val="0"/>
    <w:pPr>
      <w:outlineLvl w:val="2"/>
    </w:pPr>
    <w:rPr>
      <w:rFonts w:ascii="宋体" w:hAnsi="宋体"/>
      <w:b/>
      <w:szCs w:val="21"/>
    </w:rPr>
  </w:style>
  <w:style w:type="paragraph" w:customStyle="1" w:styleId="97">
    <w:name w:val="p0"/>
    <w:basedOn w:val="1"/>
    <w:qFormat/>
    <w:uiPriority w:val="0"/>
    <w:pPr>
      <w:widowControl/>
    </w:pPr>
    <w:rPr>
      <w:kern w:val="0"/>
      <w:szCs w:val="21"/>
    </w:rPr>
  </w:style>
  <w:style w:type="paragraph" w:customStyle="1" w:styleId="98">
    <w:name w:val="样式 标题 2 + Times New Roman 四号 非加粗 段前: 5 磅 段后: 0 磅 行距: 固定值 20..."/>
    <w:basedOn w:val="3"/>
    <w:qFormat/>
    <w:uiPriority w:val="0"/>
    <w:pPr>
      <w:spacing w:before="100" w:line="400" w:lineRule="exact"/>
    </w:pPr>
    <w:rPr>
      <w:rFonts w:ascii="Times New Roman" w:hAnsi="Times New Roman"/>
      <w:bCs w:val="0"/>
      <w:sz w:val="28"/>
      <w:szCs w:val="20"/>
    </w:rPr>
  </w:style>
  <w:style w:type="character" w:customStyle="1" w:styleId="99">
    <w:name w:val="font121"/>
    <w:qFormat/>
    <w:uiPriority w:val="0"/>
    <w:rPr>
      <w:rFonts w:hint="default" w:ascii="Calibri" w:hAnsi="Calibri" w:cs="Calibri"/>
      <w:color w:val="000000"/>
      <w:sz w:val="24"/>
      <w:szCs w:val="24"/>
      <w:u w:val="none"/>
    </w:rPr>
  </w:style>
  <w:style w:type="paragraph" w:customStyle="1" w:styleId="100">
    <w:name w:val="CM99"/>
    <w:basedOn w:val="51"/>
    <w:next w:val="51"/>
    <w:qFormat/>
    <w:uiPriority w:val="0"/>
    <w:rPr>
      <w:rFonts w:cs="Times New Roman"/>
      <w:color w:val="auto"/>
    </w:rPr>
  </w:style>
  <w:style w:type="paragraph" w:customStyle="1" w:styleId="101">
    <w:name w:val="图文"/>
    <w:basedOn w:val="1"/>
    <w:qFormat/>
    <w:uiPriority w:val="0"/>
    <w:pPr>
      <w:adjustRightInd w:val="0"/>
      <w:snapToGrid w:val="0"/>
      <w:spacing w:after="50" w:line="360" w:lineRule="auto"/>
    </w:pPr>
    <w:rPr>
      <w:sz w:val="24"/>
    </w:rPr>
  </w:style>
  <w:style w:type="paragraph" w:customStyle="1" w:styleId="102">
    <w:name w:val="样式 标题 3 + (中文) 黑体 小四 非加粗 段前: 7.8 磅 段后: 0 磅 行距: 固定值 20 磅"/>
    <w:basedOn w:val="5"/>
    <w:qFormat/>
    <w:uiPriority w:val="0"/>
    <w:pPr>
      <w:spacing w:line="400" w:lineRule="exact"/>
    </w:pPr>
    <w:rPr>
      <w:rFonts w:eastAsia="黑体"/>
      <w:sz w:val="24"/>
    </w:rPr>
  </w:style>
  <w:style w:type="paragraph" w:customStyle="1" w:styleId="103">
    <w:name w:val="Table Text"/>
    <w:basedOn w:val="1"/>
    <w:semiHidden/>
    <w:qFormat/>
    <w:uiPriority w:val="0"/>
    <w:rPr>
      <w:rFonts w:ascii="宋体" w:hAnsi="宋体" w:cs="宋体"/>
      <w:sz w:val="20"/>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三级"/>
    <w:basedOn w:val="5"/>
    <w:qFormat/>
    <w:uiPriority w:val="0"/>
    <w:pPr>
      <w:spacing w:before="120" w:after="120" w:line="415" w:lineRule="auto"/>
      <w:ind w:firstLine="241" w:firstLineChars="100"/>
      <w:jc w:val="center"/>
    </w:pPr>
    <w:rPr>
      <w:rFonts w:ascii="黑体" w:hAnsi="黑体" w:eastAsia="黑体"/>
    </w:rPr>
  </w:style>
  <w:style w:type="paragraph" w:customStyle="1" w:styleId="106">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customStyle="1" w:styleId="107">
    <w:name w:val="MSG_EN_FONT_STYLE_NAME_TEMPLATE_ROLE_NUMBER MSG_EN_FONT_STYLE_NAME_BY_ROLE_TEXT 131"/>
    <w:basedOn w:val="1"/>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rPr>
  </w:style>
  <w:style w:type="character" w:customStyle="1" w:styleId="108">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09">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paragraph" w:customStyle="1" w:styleId="110">
    <w:name w:val="正文文本 (7)"/>
    <w:basedOn w:val="1"/>
    <w:qFormat/>
    <w:uiPriority w:val="0"/>
    <w:pPr>
      <w:shd w:val="clear" w:color="auto" w:fill="FFFFFF"/>
      <w:spacing w:before="120" w:after="300" w:line="0" w:lineRule="atLeast"/>
      <w:jc w:val="center"/>
    </w:pPr>
    <w:rPr>
      <w:rFonts w:ascii="宋体" w:hAnsi="宋体" w:cs="宋体"/>
      <w:spacing w:val="10"/>
      <w:kern w:val="0"/>
      <w:sz w:val="22"/>
    </w:rPr>
  </w:style>
  <w:style w:type="paragraph" w:customStyle="1" w:styleId="111">
    <w:name w:val="正文文本 (19)"/>
    <w:basedOn w:val="1"/>
    <w:qFormat/>
    <w:uiPriority w:val="0"/>
    <w:pPr>
      <w:shd w:val="clear" w:color="auto" w:fill="FFFFFF"/>
      <w:spacing w:line="559" w:lineRule="exact"/>
      <w:jc w:val="left"/>
    </w:pPr>
    <w:rPr>
      <w:rFonts w:ascii="Cambria" w:hAnsi="Cambria" w:cs="Cambria"/>
      <w:b/>
      <w:bCs/>
      <w:kern w:val="0"/>
      <w:sz w:val="23"/>
      <w:szCs w:val="23"/>
    </w:rPr>
  </w:style>
  <w:style w:type="paragraph" w:customStyle="1" w:styleId="112">
    <w:name w:val="MSG_EN_FONT_STYLE_NAME_TEMPLATE_ROLE MSG_EN_FONT_STYLE_NAME_BY_ROLE_RUNNING_TITLE1"/>
    <w:basedOn w:val="1"/>
    <w:qFormat/>
    <w:uiPriority w:val="0"/>
    <w:pPr>
      <w:shd w:val="clear" w:color="auto" w:fill="FFFFFF"/>
      <w:spacing w:line="188" w:lineRule="exact"/>
      <w:jc w:val="left"/>
    </w:pPr>
    <w:rPr>
      <w:kern w:val="0"/>
      <w:sz w:val="17"/>
      <w:szCs w:val="17"/>
    </w:rPr>
  </w:style>
  <w:style w:type="character" w:customStyle="1" w:styleId="113">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114">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115">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116">
    <w:name w:val="NormalCharacter"/>
    <w:qFormat/>
    <w:uiPriority w:val="0"/>
  </w:style>
  <w:style w:type="character" w:customStyle="1" w:styleId="117">
    <w:name w:val="font61"/>
    <w:basedOn w:val="35"/>
    <w:qFormat/>
    <w:uiPriority w:val="0"/>
    <w:rPr>
      <w:rFonts w:hint="eastAsia" w:ascii="宋体" w:hAnsi="宋体" w:eastAsia="宋体" w:cs="宋体"/>
      <w:b/>
      <w:bCs/>
      <w:color w:val="000000"/>
      <w:sz w:val="20"/>
      <w:szCs w:val="20"/>
      <w:u w:val="none"/>
    </w:rPr>
  </w:style>
  <w:style w:type="paragraph" w:customStyle="1" w:styleId="118">
    <w:name w:val="首行缩进"/>
    <w:basedOn w:val="1"/>
    <w:qFormat/>
    <w:uiPriority w:val="0"/>
    <w:pPr>
      <w:spacing w:line="360" w:lineRule="auto"/>
      <w:ind w:firstLine="480" w:firstLineChars="200"/>
    </w:pPr>
    <w:rPr>
      <w:rFonts w:ascii="Calibri" w:hAnsi="Calibri"/>
      <w:kern w:val="0"/>
      <w:sz w:val="24"/>
      <w:szCs w:val="22"/>
      <w:lang w:val="zh-CN"/>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标题 4 字符"/>
    <w:basedOn w:val="35"/>
    <w:link w:val="6"/>
    <w:qFormat/>
    <w:uiPriority w:val="0"/>
    <w:rPr>
      <w:rFonts w:ascii="Arial" w:hAnsi="Arial" w:eastAsia="黑体"/>
      <w:b/>
      <w:bCs/>
      <w:kern w:val="2"/>
      <w:sz w:val="28"/>
      <w:szCs w:val="28"/>
    </w:rPr>
  </w:style>
  <w:style w:type="character" w:customStyle="1" w:styleId="121">
    <w:name w:val="脚注文本 字符"/>
    <w:basedOn w:val="35"/>
    <w:link w:val="23"/>
    <w:qFormat/>
    <w:uiPriority w:val="0"/>
    <w:rPr>
      <w:kern w:val="2"/>
      <w:sz w:val="18"/>
      <w:szCs w:val="18"/>
    </w:rPr>
  </w:style>
  <w:style w:type="character" w:customStyle="1" w:styleId="122">
    <w:name w:val="正文文本首行缩进 2 字符"/>
    <w:basedOn w:val="62"/>
    <w:link w:val="32"/>
    <w:qFormat/>
    <w:uiPriority w:val="0"/>
    <w:rPr>
      <w:rFonts w:ascii="Times New Roman" w:hAnsi="Times New Roman" w:eastAsia="楷体_GB2312" w:cs="Times New Roman"/>
      <w:kern w:val="2"/>
      <w:sz w:val="30"/>
      <w:szCs w:val="24"/>
    </w:rPr>
  </w:style>
  <w:style w:type="character" w:customStyle="1" w:styleId="123">
    <w:name w:val="MSG_EN_FONT_STYLE_NAME_TEMPLATE_ROLE_NUMBER MSG_EN_FONT_STYLE_NAME_BY_ROLE_TEXT 13 + MSG_EN_FONT_STYLE_MODIFER_NAME Times New Roman"/>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19DE-A5FB-4710-B5CE-5BCAD29419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7758</Words>
  <Characters>8163</Characters>
  <Lines>323</Lines>
  <Paragraphs>91</Paragraphs>
  <TotalTime>24</TotalTime>
  <ScaleCrop>false</ScaleCrop>
  <LinksUpToDate>false</LinksUpToDate>
  <CharactersWithSpaces>8180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2022-06-27T23:06:00Z</dcterms:created>
  <dc:creator>郭睿</dc:creator>
  <cp:lastModifiedBy>Administrator</cp:lastModifiedBy>
  <cp:lastPrinted>2025-08-13T05:52:00Z</cp:lastPrinted>
  <dcterms:modified xsi:type="dcterms:W3CDTF">2026-05-21T06:02:18Z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CE01330A560647369C7D180B0726E69F</vt:lpwstr>
  </property>
  <property fmtid="{D5CDD505-2E9C-101B-9397-08002B2CF9AE}" pid="4" name="KSOTemplateDocerSaveRecord">
    <vt:lpwstr>eyJoZGlkIjoiOWQ1Yjc2MGZiOTA0NWVjMWI5YmI5NDhkNzlkZDgzODciLCJ1c2VySWQiOiIzNTIzNzA2NTUifQ==</vt:lpwstr>
  </property>
</Properties>
</file>