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DF3F1">
      <w:pPr>
        <w:keepLines w:val="0"/>
        <w:kinsoku/>
        <w:wordWrap/>
        <w:overflowPunct/>
        <w:topLinePunct w:val="0"/>
        <w:bidi w:val="0"/>
        <w:spacing w:line="360" w:lineRule="exact"/>
        <w:jc w:val="center"/>
        <w:textAlignment w:val="auto"/>
        <w:rPr>
          <w:rFonts w:hint="eastAsia" w:ascii="宋体" w:hAnsi="宋体" w:eastAsia="宋体" w:cs="宋体"/>
          <w:b/>
          <w:sz w:val="21"/>
          <w:szCs w:val="21"/>
          <w:lang w:val="en-US" w:eastAsia="zh-CN"/>
        </w:rPr>
      </w:pPr>
      <w:bookmarkStart w:id="0" w:name="_Hlk141166984"/>
      <w:r>
        <w:rPr>
          <w:rFonts w:hint="eastAsia" w:ascii="宋体" w:hAnsi="宋体" w:eastAsia="宋体" w:cs="宋体"/>
          <w:b/>
          <w:sz w:val="21"/>
          <w:szCs w:val="21"/>
          <w:lang w:val="en-US" w:eastAsia="zh-CN"/>
        </w:rPr>
        <w:t>吉林市2026年国道黑大公路吉林市城管止点至口前镇段和</w:t>
      </w:r>
    </w:p>
    <w:p w14:paraId="2D557019">
      <w:pPr>
        <w:keepLines w:val="0"/>
        <w:kinsoku/>
        <w:wordWrap/>
        <w:overflowPunct/>
        <w:topLinePunct w:val="0"/>
        <w:bidi w:val="0"/>
        <w:spacing w:line="360" w:lineRule="exact"/>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国道龙东公路夹皮沟镇至红石镇段及桦甸市至呼兰段路面提质工程</w:t>
      </w:r>
      <w:r>
        <w:rPr>
          <w:rFonts w:hint="eastAsia" w:ascii="宋体" w:hAnsi="宋体" w:eastAsia="宋体" w:cs="宋体"/>
          <w:b/>
          <w:sz w:val="21"/>
          <w:szCs w:val="21"/>
          <w:lang w:eastAsia="zh-CN"/>
        </w:rPr>
        <w:t>施工</w:t>
      </w:r>
    </w:p>
    <w:p w14:paraId="2941CA4A">
      <w:pPr>
        <w:keepLines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lang w:eastAsia="zh-CN"/>
        </w:rPr>
        <w:t>招标</w:t>
      </w:r>
      <w:bookmarkEnd w:id="0"/>
      <w:r>
        <w:rPr>
          <w:rFonts w:hint="eastAsia" w:ascii="宋体" w:hAnsi="宋体" w:eastAsia="宋体" w:cs="宋体"/>
          <w:b/>
          <w:sz w:val="21"/>
          <w:szCs w:val="21"/>
        </w:rPr>
        <w:t>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1487BD9D">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72113A4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55E0EAAF">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见附录1</w:t>
            </w:r>
          </w:p>
          <w:p w14:paraId="18E8EE42">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财务要求：见附录2</w:t>
            </w:r>
          </w:p>
          <w:p w14:paraId="75F74DF5">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业绩要求：见附录3</w:t>
            </w:r>
          </w:p>
          <w:p w14:paraId="3E057AB3">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信誉要求：见附录4</w:t>
            </w:r>
          </w:p>
          <w:p w14:paraId="4960C8B2">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项目经理经历和项目总工资格：见附录5</w:t>
            </w:r>
          </w:p>
          <w:p w14:paraId="712D9CD8">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361A2E1D">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eq \o\ac(</w:instrText>
            </w:r>
            <w:r>
              <w:rPr>
                <w:rFonts w:hint="eastAsia" w:ascii="宋体" w:hAnsi="宋体" w:eastAsia="宋体" w:cs="宋体"/>
                <w:color w:val="auto"/>
                <w:position w:val="-4"/>
                <w:sz w:val="31"/>
                <w:szCs w:val="21"/>
                <w:highlight w:val="none"/>
                <w:lang w:val="zh-CN"/>
              </w:rPr>
              <w:instrText xml:space="preserve">□</w:instrText>
            </w:r>
            <w:r>
              <w:rPr>
                <w:rFonts w:hint="eastAsia" w:ascii="宋体" w:hAnsi="宋体" w:eastAsia="宋体" w:cs="宋体"/>
                <w:color w:val="auto"/>
                <w:position w:val="0"/>
                <w:sz w:val="21"/>
                <w:szCs w:val="21"/>
                <w:highlight w:val="none"/>
                <w:lang w:val="zh-CN"/>
              </w:rPr>
              <w:instrText xml:space="preserve">)</w:instrTex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rPr>
              <w:t>不接受</w:t>
            </w:r>
          </w:p>
          <w:p w14:paraId="2CD739D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fldChar w:fldCharType="begin"/>
            </w:r>
            <w:r>
              <w:rPr>
                <w:rFonts w:hint="eastAsia" w:ascii="宋体" w:hAnsi="宋体" w:eastAsia="宋体" w:cs="宋体"/>
                <w:color w:val="auto"/>
                <w:kern w:val="0"/>
                <w:sz w:val="21"/>
                <w:szCs w:val="21"/>
                <w:highlight w:val="none"/>
                <w:lang w:val="zh-CN"/>
              </w:rPr>
              <w:instrText xml:space="preserve"> </w:instrText>
            </w:r>
            <w:r>
              <w:rPr>
                <w:rFonts w:hint="eastAsia" w:ascii="宋体" w:hAnsi="宋体" w:eastAsia="宋体" w:cs="宋体"/>
                <w:color w:val="auto"/>
                <w:kern w:val="0"/>
                <w:sz w:val="21"/>
                <w:szCs w:val="21"/>
                <w:highlight w:val="none"/>
                <w:lang w:val="zh-CN"/>
              </w:rPr>
              <w:instrText xml:space="preserve">eq \o\ac(</w:instrText>
            </w:r>
            <w:r>
              <w:rPr>
                <w:rFonts w:hint="eastAsia" w:ascii="宋体" w:hAnsi="宋体" w:eastAsia="宋体" w:cs="宋体"/>
                <w:color w:val="auto"/>
                <w:kern w:val="0"/>
                <w:position w:val="-4"/>
                <w:sz w:val="31"/>
                <w:szCs w:val="21"/>
                <w:highlight w:val="none"/>
                <w:lang w:val="zh-CN"/>
              </w:rPr>
              <w:instrText xml:space="preserve">□</w:instrText>
            </w:r>
            <w:r>
              <w:rPr>
                <w:rFonts w:hint="eastAsia" w:ascii="宋体" w:hAnsi="宋体" w:eastAsia="宋体" w:cs="宋体"/>
                <w:color w:val="auto"/>
                <w:kern w:val="0"/>
                <w:position w:val="0"/>
                <w:sz w:val="21"/>
                <w:szCs w:val="21"/>
                <w:highlight w:val="none"/>
                <w:lang w:val="zh-CN"/>
              </w:rPr>
              <w:instrText xml:space="preserve">,√)</w:instrText>
            </w:r>
            <w:r>
              <w:rPr>
                <w:rFonts w:hint="eastAsia" w:ascii="宋体" w:hAnsi="宋体" w:eastAsia="宋体" w:cs="宋体"/>
                <w:color w:val="auto"/>
                <w:kern w:val="0"/>
                <w:sz w:val="21"/>
                <w:szCs w:val="21"/>
                <w:highlight w:val="none"/>
                <w:lang w:val="zh-CN"/>
              </w:rPr>
              <w:fldChar w:fldCharType="end"/>
            </w:r>
            <w:r>
              <w:rPr>
                <w:rFonts w:hint="eastAsia" w:ascii="宋体" w:hAnsi="宋体" w:eastAsia="宋体" w:cs="宋体"/>
                <w:color w:val="auto"/>
                <w:sz w:val="21"/>
                <w:szCs w:val="21"/>
                <w:highlight w:val="none"/>
              </w:rPr>
              <w:t>接受，应满足下列要求：</w:t>
            </w:r>
            <w:r>
              <w:rPr>
                <w:rFonts w:hint="eastAsia" w:ascii="宋体" w:hAnsi="宋体" w:eastAsia="宋体" w:cs="宋体"/>
                <w:color w:val="auto"/>
                <w:sz w:val="21"/>
                <w:szCs w:val="21"/>
                <w:highlight w:val="none"/>
                <w:lang w:val="en-US" w:eastAsia="zh-CN"/>
              </w:rPr>
              <w:t>见第一章招标公告</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t>3</w:t>
            </w:r>
          </w:p>
        </w:tc>
        <w:tc>
          <w:tcPr>
            <w:tcW w:w="2006" w:type="dxa"/>
            <w:tcBorders>
              <w:top w:val="single" w:color="000000" w:sz="4" w:space="0"/>
              <w:left w:val="single" w:color="000000" w:sz="4" w:space="0"/>
              <w:bottom w:val="single" w:color="000000" w:sz="4" w:space="0"/>
              <w:right w:val="single" w:color="000000" w:sz="4" w:space="0"/>
            </w:tcBorders>
            <w:vAlign w:val="center"/>
          </w:tcPr>
          <w:p w14:paraId="6EA0DDAD">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0D7BF67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45304DF3">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432AB4FB">
            <w:pPr>
              <w:pStyle w:val="15"/>
              <w:keepNext/>
              <w:keepLines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eastAsia="zh-CN"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bl>
    <w:p w14:paraId="02661FC0">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bookmarkStart w:id="1" w:name="_Toc179632551"/>
      <w:bookmarkStart w:id="2" w:name="_Toc502741808"/>
      <w:bookmarkStart w:id="3" w:name="_Toc152045534"/>
      <w:bookmarkStart w:id="4" w:name="_Toc144974502"/>
      <w:bookmarkStart w:id="5" w:name="_Toc152042310"/>
      <w:bookmarkStart w:id="6" w:name="_Toc110596237"/>
      <w:bookmarkStart w:id="7" w:name="_Toc346800722"/>
      <w:bookmarkStart w:id="8" w:name="_Hlk141167126"/>
      <w:r>
        <w:rPr>
          <w:rFonts w:hint="eastAsia" w:ascii="宋体" w:hAnsi="宋体" w:eastAsia="宋体" w:cs="宋体"/>
          <w:color w:val="auto"/>
          <w:sz w:val="21"/>
          <w:szCs w:val="21"/>
          <w:highlight w:val="none"/>
        </w:rPr>
        <w:t>1.4投标人资格要求（适用于未进行资格预审的）</w:t>
      </w:r>
      <w:bookmarkEnd w:id="1"/>
      <w:bookmarkEnd w:id="2"/>
      <w:bookmarkEnd w:id="3"/>
      <w:bookmarkEnd w:id="4"/>
      <w:bookmarkEnd w:id="5"/>
    </w:p>
    <w:p w14:paraId="10D7DC1E">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1.4.1投标人应具备承担本标段施工的资质条件、能力和信誉。</w:t>
      </w:r>
    </w:p>
    <w:p w14:paraId="5BC18635">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：见投标人须知前附表；</w:t>
      </w:r>
    </w:p>
    <w:p w14:paraId="1E1876FE">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财务要求：见投标人须知前附表；</w:t>
      </w:r>
    </w:p>
    <w:p w14:paraId="05472715">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0E9F06F2">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1D49A2CC">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项目经理和项目总工资格：见投标人须知前附表；</w:t>
      </w:r>
    </w:p>
    <w:p w14:paraId="5DD3B3F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06DF9AFA">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3806211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6E63A598">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0A193DB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68BB1110">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w:t>
      </w:r>
      <w:r>
        <w:rPr>
          <w:rFonts w:hint="eastAsia" w:ascii="宋体" w:hAnsi="宋体" w:eastAsia="宋体" w:cs="宋体"/>
          <w:color w:val="auto"/>
          <w:sz w:val="21"/>
          <w:szCs w:val="21"/>
          <w:highlight w:val="none"/>
          <w:lang w:eastAsia="zh-CN"/>
        </w:rPr>
        <w:t>己</w:t>
      </w:r>
      <w:r>
        <w:rPr>
          <w:rFonts w:hint="eastAsia" w:ascii="宋体" w:hAnsi="宋体" w:eastAsia="宋体" w:cs="宋体"/>
          <w:color w:val="auto"/>
          <w:sz w:val="21"/>
          <w:szCs w:val="21"/>
          <w:highlight w:val="none"/>
        </w:rPr>
        <w:t>名义单独或参加其他联合体在同一标段中投标；</w:t>
      </w:r>
    </w:p>
    <w:p w14:paraId="2F798768">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190CD7A9">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1B425B2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640B107E">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为招标人不具有独立法人资格的附属机构（单位）；</w:t>
      </w:r>
    </w:p>
    <w:p w14:paraId="6EBA86D8">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与招标人存在利害关系且可能影响招标公正性；</w:t>
      </w:r>
    </w:p>
    <w:p w14:paraId="59A6B1A7">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与本标段的其他投标人同为一个单位负责人；</w:t>
      </w:r>
    </w:p>
    <w:p w14:paraId="795A2E13">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与本标段的其他投标人存在控股、管理关系；</w:t>
      </w:r>
    </w:p>
    <w:p w14:paraId="1ABB1EB9">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为本标段前期准备提供设计或咨询服务的法人或其任何附属机构（单位）；</w:t>
      </w:r>
    </w:p>
    <w:p w14:paraId="45652D20">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为本标段的监理人；</w:t>
      </w:r>
    </w:p>
    <w:p w14:paraId="08C04A1A">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为本标段的代建人；</w:t>
      </w:r>
    </w:p>
    <w:p w14:paraId="50BEF02E">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为本标段的招标代理机构；</w:t>
      </w:r>
    </w:p>
    <w:p w14:paraId="54D4F35D">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与本标段的监理人或代建人或招标代理机构同为一个法定代表人；</w:t>
      </w:r>
    </w:p>
    <w:p w14:paraId="6F075A75">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与本标段的监理人或代建人或招标代理机构存在控股或参股关系；</w:t>
      </w:r>
    </w:p>
    <w:p w14:paraId="50925100">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法律法规或投标人须知前附表规定的其他情形。</w:t>
      </w:r>
    </w:p>
    <w:p w14:paraId="21901F0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4E0095AD">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4D1BCD74">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被责令停业，暂扣或吊销执照，或吊销资质证书；</w:t>
      </w:r>
    </w:p>
    <w:p w14:paraId="1FDA71F1">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进入清算程序，或被宣告破产，或其他丧失履约能力的情形；</w:t>
      </w:r>
    </w:p>
    <w:p w14:paraId="364D0D2C">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在国家企业信用信息公示系统（http://www.gsxt.gov.cn/）中被列入严重违法失信企业名单；</w:t>
      </w:r>
    </w:p>
    <w:p w14:paraId="092D8AC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在“信用中国”网站（http://www.creditchina.gov.cn/）中被列入失信被执行人名单；</w:t>
      </w:r>
    </w:p>
    <w:p w14:paraId="4CD3A68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投标人或其法定代表人、拟委任的项目经理在近三年内有行贿犯罪行为的；</w:t>
      </w:r>
    </w:p>
    <w:p w14:paraId="24017FDF">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法律法规或投标人须知前附表规定的其他情形。</w:t>
      </w:r>
    </w:p>
    <w:p w14:paraId="4013ED2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投标人（包括联合体各成员）应进入交通运输部“全国公路建设市场监督管理系统（https://hwdms.mot.gov.cn）”中的公路工程施工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p w14:paraId="36B83890">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p>
    <w:bookmarkEnd w:id="6"/>
    <w:bookmarkEnd w:id="7"/>
    <w:bookmarkEnd w:id="8"/>
    <w:p w14:paraId="20032637">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9" w:name="_Toc14275"/>
      <w:r>
        <w:rPr>
          <w:rFonts w:hint="eastAsia" w:ascii="宋体" w:hAnsi="宋体" w:eastAsia="宋体" w:cs="宋体"/>
          <w:b/>
          <w:color w:val="auto"/>
          <w:sz w:val="21"/>
          <w:szCs w:val="21"/>
          <w:highlight w:val="none"/>
        </w:rPr>
        <w:t>附录1 资格审查条件（资质最低要求）</w:t>
      </w:r>
      <w:bookmarkEnd w:id="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2"/>
      </w:tblGrid>
      <w:tr w14:paraId="641C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12" w:space="0"/>
              <w:left w:val="single" w:color="auto" w:sz="12" w:space="0"/>
            </w:tcBorders>
            <w:vAlign w:val="center"/>
          </w:tcPr>
          <w:p w14:paraId="3A0B481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382" w:type="dxa"/>
            <w:tcBorders>
              <w:top w:val="single" w:color="auto" w:sz="12" w:space="0"/>
              <w:right w:val="single" w:color="auto" w:sz="12" w:space="0"/>
            </w:tcBorders>
            <w:vAlign w:val="center"/>
          </w:tcPr>
          <w:p w14:paraId="020BF30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施工企业资质等级要求</w:t>
            </w:r>
          </w:p>
        </w:tc>
      </w:tr>
      <w:tr w14:paraId="29F5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left w:val="single" w:color="auto" w:sz="12" w:space="0"/>
            </w:tcBorders>
            <w:shd w:val="clear" w:color="auto" w:fill="auto"/>
            <w:vAlign w:val="center"/>
          </w:tcPr>
          <w:p w14:paraId="1547FAB0">
            <w:pPr>
              <w:keepLines w:val="0"/>
              <w:widowControl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kern w:val="2"/>
                <w:sz w:val="21"/>
                <w:szCs w:val="21"/>
                <w:lang w:val="en-US" w:eastAsia="zh-CN" w:bidi="ar-SA"/>
              </w:rPr>
              <w:t>JL26YH06</w:t>
            </w:r>
          </w:p>
        </w:tc>
        <w:tc>
          <w:tcPr>
            <w:tcW w:w="8382" w:type="dxa"/>
            <w:tcBorders>
              <w:right w:val="single" w:color="auto" w:sz="12" w:space="0"/>
            </w:tcBorders>
            <w:shd w:val="clear" w:color="auto" w:fill="auto"/>
            <w:vAlign w:val="top"/>
          </w:tcPr>
          <w:p w14:paraId="25DA98C8">
            <w:pPr>
              <w:keepLines w:val="0"/>
              <w:kinsoku/>
              <w:wordWrap/>
              <w:overflowPunct/>
              <w:topLinePunct w:val="0"/>
              <w:bidi w:val="0"/>
              <w:spacing w:line="360" w:lineRule="exac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⑴</w:t>
            </w:r>
            <w:r>
              <w:rPr>
                <w:rFonts w:hint="eastAsia" w:ascii="宋体" w:hAnsi="宋体" w:eastAsia="宋体" w:cs="宋体"/>
                <w:b w:val="0"/>
                <w:bCs w:val="0"/>
                <w:sz w:val="21"/>
                <w:szCs w:val="21"/>
              </w:rPr>
              <w:t>交通运输主管部门颁发的路基路面养护甲级资质</w:t>
            </w:r>
            <w:r>
              <w:rPr>
                <w:rFonts w:hint="eastAsia" w:ascii="宋体" w:hAnsi="宋体" w:eastAsia="宋体" w:cs="宋体"/>
                <w:b w:val="0"/>
                <w:bCs w:val="0"/>
                <w:sz w:val="21"/>
                <w:szCs w:val="21"/>
                <w:lang w:eastAsia="zh-CN"/>
              </w:rPr>
              <w:t>；</w:t>
            </w:r>
          </w:p>
          <w:p w14:paraId="0D8F5945">
            <w:pPr>
              <w:keepLines w:val="0"/>
              <w:kinsoku/>
              <w:wordWrap/>
              <w:overflowPunct/>
              <w:topLinePunct w:val="0"/>
              <w:bidi w:val="0"/>
              <w:spacing w:line="360" w:lineRule="exact"/>
              <w:textAlignment w:val="auto"/>
              <w:rPr>
                <w:rFonts w:hint="eastAsia" w:ascii="宋体" w:hAnsi="宋体" w:eastAsia="宋体" w:cs="宋体"/>
                <w:b w:val="0"/>
                <w:bCs w:val="0"/>
                <w:sz w:val="21"/>
                <w:szCs w:val="21"/>
                <w:lang w:eastAsia="zh-CN"/>
              </w:rPr>
            </w:pPr>
            <w:r>
              <w:rPr>
                <w:rFonts w:hint="eastAsia" w:ascii="宋体" w:hAnsi="宋体" w:eastAsia="宋体" w:cs="宋体"/>
                <w:color w:val="auto"/>
                <w:sz w:val="21"/>
                <w:szCs w:val="21"/>
                <w:highlight w:val="none"/>
                <w:lang w:val="en-US" w:eastAsia="zh-CN"/>
              </w:rPr>
              <w:t>⑵</w:t>
            </w:r>
            <w:r>
              <w:rPr>
                <w:rFonts w:hint="eastAsia" w:ascii="宋体" w:hAnsi="宋体" w:eastAsia="宋体" w:cs="宋体"/>
                <w:b w:val="0"/>
                <w:bCs w:val="0"/>
                <w:sz w:val="21"/>
                <w:szCs w:val="21"/>
              </w:rPr>
              <w:t>交通运输主管部门颁发的桥梁养护甲级或乙级资质</w:t>
            </w:r>
            <w:r>
              <w:rPr>
                <w:rFonts w:hint="eastAsia" w:ascii="宋体" w:hAnsi="宋体" w:eastAsia="宋体" w:cs="宋体"/>
                <w:b w:val="0"/>
                <w:bCs w:val="0"/>
                <w:sz w:val="21"/>
                <w:szCs w:val="21"/>
                <w:lang w:eastAsia="zh-CN"/>
              </w:rPr>
              <w:t>；</w:t>
            </w:r>
          </w:p>
          <w:p w14:paraId="5698569E">
            <w:pPr>
              <w:keepLines w:val="0"/>
              <w:kinsoku/>
              <w:wordWrap/>
              <w:overflowPunct/>
              <w:topLinePunct w:val="0"/>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⑶</w:t>
            </w:r>
            <w:r>
              <w:rPr>
                <w:rFonts w:hint="eastAsia" w:ascii="宋体" w:hAnsi="宋体" w:eastAsia="宋体" w:cs="宋体"/>
                <w:b w:val="0"/>
                <w:bCs w:val="0"/>
                <w:sz w:val="21"/>
                <w:szCs w:val="21"/>
              </w:rPr>
              <w:t>交通运输主管部门颁发的交通安全设施养护资质</w:t>
            </w:r>
            <w:r>
              <w:rPr>
                <w:rFonts w:hint="eastAsia" w:ascii="宋体" w:hAnsi="宋体" w:eastAsia="宋体" w:cs="宋体"/>
                <w:b w:val="0"/>
                <w:bCs w:val="0"/>
                <w:color w:val="000000"/>
                <w:sz w:val="21"/>
                <w:szCs w:val="21"/>
                <w:shd w:val="clear" w:color="auto" w:fill="FFFFFF"/>
              </w:rPr>
              <w:t>（可以承担各等级公路交通安全设施的各类养护工程）</w:t>
            </w:r>
            <w:r>
              <w:rPr>
                <w:rFonts w:hint="eastAsia" w:ascii="宋体" w:hAnsi="宋体" w:eastAsia="宋体" w:cs="宋体"/>
                <w:b w:val="0"/>
                <w:bCs w:val="0"/>
                <w:color w:val="000000"/>
                <w:sz w:val="21"/>
                <w:szCs w:val="21"/>
                <w:shd w:val="clear" w:color="auto" w:fill="FFFFFF"/>
                <w:lang w:eastAsia="zh-CN"/>
              </w:rPr>
              <w:t>。</w:t>
            </w:r>
          </w:p>
        </w:tc>
      </w:tr>
      <w:tr w14:paraId="0AEA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left w:val="single" w:color="auto" w:sz="12" w:space="0"/>
            </w:tcBorders>
            <w:shd w:val="clear" w:color="auto" w:fill="auto"/>
            <w:vAlign w:val="center"/>
          </w:tcPr>
          <w:p w14:paraId="5637FC84">
            <w:pPr>
              <w:keepLines w:val="0"/>
              <w:widowControl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kern w:val="2"/>
                <w:sz w:val="21"/>
                <w:szCs w:val="21"/>
                <w:lang w:val="en-US" w:eastAsia="zh-CN" w:bidi="ar-SA"/>
              </w:rPr>
              <w:t>JL26YH07JL26YH09</w:t>
            </w:r>
          </w:p>
        </w:tc>
        <w:tc>
          <w:tcPr>
            <w:tcW w:w="8382" w:type="dxa"/>
            <w:tcBorders>
              <w:right w:val="single" w:color="auto" w:sz="12" w:space="0"/>
            </w:tcBorders>
            <w:shd w:val="clear" w:color="auto" w:fill="auto"/>
            <w:vAlign w:val="top"/>
          </w:tcPr>
          <w:p w14:paraId="164509F6">
            <w:pPr>
              <w:keepLines w:val="0"/>
              <w:kinsoku/>
              <w:wordWrap/>
              <w:overflowPunct/>
              <w:topLinePunct w:val="0"/>
              <w:bidi w:val="0"/>
              <w:spacing w:line="360" w:lineRule="exac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⑴</w:t>
            </w:r>
            <w:r>
              <w:rPr>
                <w:rFonts w:hint="eastAsia" w:ascii="宋体" w:hAnsi="宋体" w:eastAsia="宋体" w:cs="宋体"/>
                <w:b w:val="0"/>
                <w:bCs w:val="0"/>
                <w:sz w:val="21"/>
                <w:szCs w:val="21"/>
              </w:rPr>
              <w:t>交通运输主管部门颁发的路基路面养护甲级或乙级资质</w:t>
            </w:r>
            <w:r>
              <w:rPr>
                <w:rFonts w:hint="eastAsia" w:ascii="宋体" w:hAnsi="宋体" w:eastAsia="宋体" w:cs="宋体"/>
                <w:b w:val="0"/>
                <w:bCs w:val="0"/>
                <w:sz w:val="21"/>
                <w:szCs w:val="21"/>
                <w:lang w:eastAsia="zh-CN"/>
              </w:rPr>
              <w:t>；</w:t>
            </w:r>
          </w:p>
          <w:p w14:paraId="5677CF6E">
            <w:pPr>
              <w:keepLines w:val="0"/>
              <w:kinsoku/>
              <w:wordWrap/>
              <w:overflowPunct/>
              <w:topLinePunct w:val="0"/>
              <w:bidi w:val="0"/>
              <w:spacing w:line="360" w:lineRule="exact"/>
              <w:textAlignment w:val="auto"/>
              <w:rPr>
                <w:rFonts w:hint="eastAsia" w:ascii="宋体" w:hAnsi="宋体" w:eastAsia="宋体" w:cs="宋体"/>
                <w:b w:val="0"/>
                <w:bCs w:val="0"/>
                <w:sz w:val="21"/>
                <w:szCs w:val="21"/>
                <w:lang w:eastAsia="zh-CN"/>
              </w:rPr>
            </w:pPr>
            <w:r>
              <w:rPr>
                <w:rFonts w:hint="eastAsia" w:ascii="宋体" w:hAnsi="宋体" w:eastAsia="宋体" w:cs="宋体"/>
                <w:color w:val="auto"/>
                <w:sz w:val="21"/>
                <w:szCs w:val="21"/>
                <w:highlight w:val="none"/>
                <w:lang w:val="en-US" w:eastAsia="zh-CN"/>
              </w:rPr>
              <w:t>⑵</w:t>
            </w:r>
            <w:r>
              <w:rPr>
                <w:rFonts w:hint="eastAsia" w:ascii="宋体" w:hAnsi="宋体" w:eastAsia="宋体" w:cs="宋体"/>
                <w:b w:val="0"/>
                <w:bCs w:val="0"/>
                <w:sz w:val="21"/>
                <w:szCs w:val="21"/>
              </w:rPr>
              <w:t>交通运输主管部门颁发的桥梁养护甲级</w:t>
            </w:r>
            <w:r>
              <w:rPr>
                <w:rFonts w:hint="eastAsia" w:ascii="宋体" w:hAnsi="宋体" w:eastAsia="宋体" w:cs="宋体"/>
                <w:b w:val="0"/>
                <w:bCs w:val="0"/>
                <w:sz w:val="21"/>
                <w:szCs w:val="21"/>
                <w:lang w:eastAsia="zh-CN"/>
              </w:rPr>
              <w:t>；</w:t>
            </w:r>
          </w:p>
          <w:p w14:paraId="48662B24">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⑶</w:t>
            </w:r>
            <w:r>
              <w:rPr>
                <w:rFonts w:hint="eastAsia" w:ascii="宋体" w:hAnsi="宋体" w:eastAsia="宋体" w:cs="宋体"/>
                <w:b w:val="0"/>
                <w:bCs w:val="0"/>
                <w:sz w:val="21"/>
                <w:szCs w:val="21"/>
              </w:rPr>
              <w:t>交通运输主管部门颁发的交通安全设施养护资质</w:t>
            </w:r>
            <w:r>
              <w:rPr>
                <w:rFonts w:hint="eastAsia" w:ascii="宋体" w:hAnsi="宋体" w:eastAsia="宋体" w:cs="宋体"/>
                <w:b w:val="0"/>
                <w:bCs w:val="0"/>
                <w:sz w:val="21"/>
                <w:szCs w:val="21"/>
                <w:lang w:eastAsia="zh-CN"/>
              </w:rPr>
              <w:t>。</w:t>
            </w:r>
          </w:p>
        </w:tc>
      </w:tr>
      <w:tr w14:paraId="3E71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left w:val="single" w:color="auto" w:sz="12" w:space="0"/>
              <w:bottom w:val="single" w:color="auto" w:sz="12" w:space="0"/>
            </w:tcBorders>
            <w:shd w:val="clear" w:color="auto" w:fill="auto"/>
            <w:vAlign w:val="center"/>
          </w:tcPr>
          <w:p w14:paraId="265D5A10">
            <w:pPr>
              <w:keepLines w:val="0"/>
              <w:widowControl w:val="0"/>
              <w:kinsoku/>
              <w:wordWrap/>
              <w:overflowPunct/>
              <w:topLinePunct w:val="0"/>
              <w:bidi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kern w:val="2"/>
                <w:sz w:val="21"/>
                <w:szCs w:val="21"/>
                <w:lang w:val="en-US" w:eastAsia="zh-CN" w:bidi="ar-SA"/>
              </w:rPr>
              <w:t>JL26YH08JL26YH10JL26YH11</w:t>
            </w:r>
          </w:p>
        </w:tc>
        <w:tc>
          <w:tcPr>
            <w:tcW w:w="8382" w:type="dxa"/>
            <w:tcBorders>
              <w:bottom w:val="single" w:color="auto" w:sz="12" w:space="0"/>
              <w:right w:val="single" w:color="auto" w:sz="12" w:space="0"/>
            </w:tcBorders>
            <w:shd w:val="clear" w:color="auto" w:fill="auto"/>
            <w:vAlign w:val="top"/>
          </w:tcPr>
          <w:p w14:paraId="3AAB91B1">
            <w:pPr>
              <w:keepLines w:val="0"/>
              <w:kinsoku/>
              <w:wordWrap/>
              <w:overflowPunct/>
              <w:topLinePunct w:val="0"/>
              <w:bidi w:val="0"/>
              <w:spacing w:line="360" w:lineRule="exac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⑴</w:t>
            </w:r>
            <w:r>
              <w:rPr>
                <w:rFonts w:hint="eastAsia" w:ascii="宋体" w:hAnsi="宋体" w:eastAsia="宋体" w:cs="宋体"/>
                <w:b w:val="0"/>
                <w:bCs w:val="0"/>
                <w:sz w:val="21"/>
                <w:szCs w:val="21"/>
              </w:rPr>
              <w:t>交通运输主管部门颁发的路基路面养护甲级或乙级资质</w:t>
            </w:r>
            <w:r>
              <w:rPr>
                <w:rFonts w:hint="eastAsia" w:ascii="宋体" w:hAnsi="宋体" w:eastAsia="宋体" w:cs="宋体"/>
                <w:b w:val="0"/>
                <w:bCs w:val="0"/>
                <w:sz w:val="21"/>
                <w:szCs w:val="21"/>
                <w:lang w:eastAsia="zh-CN"/>
              </w:rPr>
              <w:t>；</w:t>
            </w:r>
          </w:p>
          <w:p w14:paraId="3139AFB8">
            <w:pPr>
              <w:keepLines w:val="0"/>
              <w:kinsoku/>
              <w:wordWrap/>
              <w:overflowPunct/>
              <w:topLinePunct w:val="0"/>
              <w:bidi w:val="0"/>
              <w:spacing w:line="360" w:lineRule="exact"/>
              <w:textAlignment w:val="auto"/>
              <w:rPr>
                <w:rFonts w:hint="eastAsia" w:ascii="宋体" w:hAnsi="宋体" w:eastAsia="宋体" w:cs="宋体"/>
                <w:b w:val="0"/>
                <w:bCs w:val="0"/>
                <w:sz w:val="21"/>
                <w:szCs w:val="21"/>
                <w:lang w:eastAsia="zh-CN"/>
              </w:rPr>
            </w:pPr>
            <w:r>
              <w:rPr>
                <w:rFonts w:hint="eastAsia" w:ascii="宋体" w:hAnsi="宋体" w:eastAsia="宋体" w:cs="宋体"/>
                <w:color w:val="auto"/>
                <w:sz w:val="21"/>
                <w:szCs w:val="21"/>
                <w:highlight w:val="none"/>
                <w:lang w:val="en-US" w:eastAsia="zh-CN"/>
              </w:rPr>
              <w:t>⑵</w:t>
            </w:r>
            <w:r>
              <w:rPr>
                <w:rFonts w:hint="eastAsia" w:ascii="宋体" w:hAnsi="宋体" w:eastAsia="宋体" w:cs="宋体"/>
                <w:b w:val="0"/>
                <w:bCs w:val="0"/>
                <w:sz w:val="21"/>
                <w:szCs w:val="21"/>
              </w:rPr>
              <w:t>交通运输主管部门颁发的桥梁养护甲级或乙级资质</w:t>
            </w:r>
            <w:r>
              <w:rPr>
                <w:rFonts w:hint="eastAsia" w:ascii="宋体" w:hAnsi="宋体" w:eastAsia="宋体" w:cs="宋体"/>
                <w:b w:val="0"/>
                <w:bCs w:val="0"/>
                <w:sz w:val="21"/>
                <w:szCs w:val="21"/>
                <w:lang w:eastAsia="zh-CN"/>
              </w:rPr>
              <w:t>；</w:t>
            </w:r>
          </w:p>
          <w:p w14:paraId="392E70F0">
            <w:pPr>
              <w:keepLines w:val="0"/>
              <w:kinsoku/>
              <w:wordWrap/>
              <w:overflowPunct/>
              <w:topLinePunct w:val="0"/>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⑶</w:t>
            </w:r>
            <w:r>
              <w:rPr>
                <w:rFonts w:hint="eastAsia" w:ascii="宋体" w:hAnsi="宋体" w:eastAsia="宋体" w:cs="宋体"/>
                <w:b w:val="0"/>
                <w:bCs w:val="0"/>
                <w:sz w:val="21"/>
                <w:szCs w:val="21"/>
              </w:rPr>
              <w:t>交通运输主管部门颁发的交通安全设施养护资质</w:t>
            </w:r>
            <w:r>
              <w:rPr>
                <w:rFonts w:hint="eastAsia" w:ascii="宋体" w:hAnsi="宋体" w:eastAsia="宋体" w:cs="宋体"/>
                <w:b w:val="0"/>
                <w:bCs w:val="0"/>
                <w:sz w:val="21"/>
                <w:szCs w:val="21"/>
                <w:lang w:eastAsia="zh-CN"/>
              </w:rPr>
              <w:t>。</w:t>
            </w:r>
          </w:p>
        </w:tc>
      </w:tr>
    </w:tbl>
    <w:p w14:paraId="40C68C05">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0" w:name="_Toc27071"/>
    </w:p>
    <w:p w14:paraId="5F31768C">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附录2 资格审查条件（财务最低要求）</w:t>
      </w:r>
      <w:bookmarkEnd w:id="10"/>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79EF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68D6533D">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5654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4299CE55">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近三年具有良好的商业信誉和健全的财务会计制度。</w:t>
            </w:r>
          </w:p>
        </w:tc>
      </w:tr>
    </w:tbl>
    <w:p w14:paraId="5EF23E24">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1" w:name="_Toc4002"/>
      <w:r>
        <w:rPr>
          <w:rFonts w:hint="eastAsia" w:ascii="宋体" w:hAnsi="宋体" w:eastAsia="宋体" w:cs="宋体"/>
          <w:b/>
          <w:color w:val="auto"/>
          <w:sz w:val="21"/>
          <w:szCs w:val="21"/>
          <w:highlight w:val="none"/>
        </w:rPr>
        <w:t>附录3 资格审查条件（业绩最低要求）</w:t>
      </w:r>
      <w:bookmarkEnd w:id="11"/>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5653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3E2B619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56F1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5ACF452D">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无</w:t>
            </w:r>
          </w:p>
        </w:tc>
      </w:tr>
    </w:tbl>
    <w:p w14:paraId="326A4A44">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2" w:name="_Toc4324"/>
      <w:r>
        <w:rPr>
          <w:rFonts w:hint="eastAsia" w:ascii="宋体" w:hAnsi="宋体" w:eastAsia="宋体" w:cs="宋体"/>
          <w:b/>
          <w:color w:val="auto"/>
          <w:sz w:val="21"/>
          <w:szCs w:val="21"/>
          <w:highlight w:val="none"/>
        </w:rPr>
        <w:t>附录4 资格审查条件（信誉最低要求）</w:t>
      </w:r>
      <w:bookmarkEnd w:id="12"/>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6FF5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3AAF345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r>
      <w:tr w14:paraId="2540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7D7085B0">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无</w:t>
            </w:r>
          </w:p>
        </w:tc>
      </w:tr>
    </w:tbl>
    <w:p w14:paraId="0AB8DA86">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3" w:name="_Toc267"/>
      <w:r>
        <w:rPr>
          <w:rFonts w:hint="eastAsia" w:ascii="宋体" w:hAnsi="宋体" w:eastAsia="宋体" w:cs="宋体"/>
          <w:b/>
          <w:color w:val="auto"/>
          <w:sz w:val="21"/>
          <w:szCs w:val="21"/>
          <w:highlight w:val="none"/>
        </w:rPr>
        <w:t>附录5 资格审查条件（项目经理和项目总工最低要求）</w:t>
      </w:r>
      <w:bookmarkEnd w:id="13"/>
    </w:p>
    <w:tbl>
      <w:tblPr>
        <w:tblStyle w:val="11"/>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239"/>
        <w:gridCol w:w="5751"/>
        <w:gridCol w:w="1381"/>
      </w:tblGrid>
      <w:tr w14:paraId="2D7A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top w:val="single" w:color="auto" w:sz="12" w:space="0"/>
              <w:left w:val="single" w:color="auto" w:sz="12" w:space="0"/>
              <w:bottom w:val="single" w:color="auto" w:sz="4" w:space="0"/>
            </w:tcBorders>
            <w:noWrap w:val="0"/>
            <w:vAlign w:val="center"/>
          </w:tcPr>
          <w:p w14:paraId="409B7478">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bookmarkStart w:id="14" w:name="_Toc136543732"/>
            <w:r>
              <w:rPr>
                <w:rFonts w:hint="eastAsia" w:ascii="宋体" w:hAnsi="宋体" w:eastAsia="宋体" w:cs="宋体"/>
                <w:color w:val="auto"/>
                <w:sz w:val="21"/>
                <w:szCs w:val="21"/>
                <w:highlight w:val="none"/>
              </w:rPr>
              <w:t>人员</w:t>
            </w:r>
            <w:r>
              <w:rPr>
                <w:rFonts w:hint="eastAsia" w:ascii="宋体" w:hAnsi="宋体" w:eastAsia="宋体" w:cs="宋体"/>
                <w:bCs/>
                <w:color w:val="auto"/>
                <w:sz w:val="21"/>
                <w:szCs w:val="21"/>
                <w:highlight w:val="none"/>
                <w:vertAlign w:val="superscript"/>
              </w:rPr>
              <w:footnoteReference w:id="1"/>
            </w:r>
          </w:p>
        </w:tc>
        <w:tc>
          <w:tcPr>
            <w:tcW w:w="1239" w:type="dxa"/>
            <w:tcBorders>
              <w:top w:val="single" w:color="auto" w:sz="12" w:space="0"/>
              <w:bottom w:val="single" w:color="auto" w:sz="4" w:space="0"/>
              <w:right w:val="single" w:color="auto" w:sz="4" w:space="0"/>
            </w:tcBorders>
            <w:noWrap w:val="0"/>
            <w:vAlign w:val="center"/>
          </w:tcPr>
          <w:p w14:paraId="0735653E">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/标段</w:t>
            </w:r>
            <w:r>
              <w:rPr>
                <w:rFonts w:hint="eastAsia" w:ascii="宋体" w:hAnsi="宋体" w:eastAsia="宋体" w:cs="宋体"/>
                <w:sz w:val="21"/>
                <w:szCs w:val="21"/>
                <w:highlight w:val="none"/>
              </w:rPr>
              <w:t>）</w:t>
            </w:r>
          </w:p>
        </w:tc>
        <w:tc>
          <w:tcPr>
            <w:tcW w:w="5751" w:type="dxa"/>
            <w:tcBorders>
              <w:top w:val="single" w:color="auto" w:sz="12" w:space="0"/>
              <w:left w:val="single" w:color="auto" w:sz="4" w:space="0"/>
              <w:bottom w:val="single" w:color="auto" w:sz="4" w:space="0"/>
              <w:right w:val="single" w:color="auto" w:sz="4" w:space="0"/>
            </w:tcBorders>
            <w:noWrap w:val="0"/>
            <w:vAlign w:val="center"/>
          </w:tcPr>
          <w:p w14:paraId="478578B0">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1381" w:type="dxa"/>
            <w:tcBorders>
              <w:top w:val="single" w:color="auto" w:sz="12" w:space="0"/>
              <w:left w:val="single" w:color="auto" w:sz="4" w:space="0"/>
              <w:bottom w:val="single" w:color="auto" w:sz="4" w:space="0"/>
              <w:right w:val="single" w:color="auto" w:sz="12" w:space="0"/>
            </w:tcBorders>
            <w:noWrap w:val="0"/>
            <w:vAlign w:val="center"/>
          </w:tcPr>
          <w:p w14:paraId="5DBFE79C">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在岗要求</w:t>
            </w:r>
          </w:p>
        </w:tc>
      </w:tr>
      <w:tr w14:paraId="3A0C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left w:val="single" w:color="auto" w:sz="12" w:space="0"/>
            </w:tcBorders>
            <w:noWrap w:val="0"/>
            <w:vAlign w:val="center"/>
          </w:tcPr>
          <w:p w14:paraId="770245EF">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239" w:type="dxa"/>
            <w:tcBorders>
              <w:right w:val="single" w:color="auto" w:sz="4" w:space="0"/>
            </w:tcBorders>
            <w:noWrap w:val="0"/>
            <w:vAlign w:val="center"/>
          </w:tcPr>
          <w:p w14:paraId="3A6F7BEF">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left w:val="single" w:color="auto" w:sz="4" w:space="0"/>
              <w:right w:val="single" w:color="auto" w:sz="4" w:space="0"/>
            </w:tcBorders>
            <w:noWrap w:val="0"/>
            <w:vAlign w:val="center"/>
          </w:tcPr>
          <w:p w14:paraId="64EC0716">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1）投标</w:t>
            </w:r>
            <w:r>
              <w:rPr>
                <w:rFonts w:hint="eastAsia" w:ascii="宋体" w:hAnsi="宋体" w:eastAsia="宋体" w:cs="宋体"/>
                <w:b w:val="0"/>
                <w:bCs/>
                <w:color w:val="auto"/>
                <w:sz w:val="21"/>
                <w:szCs w:val="21"/>
                <w:highlight w:val="none"/>
              </w:rPr>
              <w:t>人</w:t>
            </w:r>
            <w:r>
              <w:rPr>
                <w:rFonts w:hint="eastAsia" w:ascii="宋体" w:hAnsi="宋体" w:eastAsia="宋体" w:cs="宋体"/>
                <w:sz w:val="21"/>
                <w:szCs w:val="21"/>
              </w:rPr>
              <w:t>（联合体投标的，指联合体牵头人）</w:t>
            </w:r>
            <w:r>
              <w:rPr>
                <w:rFonts w:hint="eastAsia" w:ascii="宋体" w:hAnsi="宋体" w:eastAsia="宋体" w:cs="宋体"/>
                <w:b/>
                <w:bCs w:val="0"/>
                <w:color w:val="auto"/>
                <w:sz w:val="21"/>
                <w:szCs w:val="21"/>
                <w:highlight w:val="none"/>
              </w:rPr>
              <w:t>自有</w:t>
            </w:r>
            <w:r>
              <w:rPr>
                <w:rStyle w:val="13"/>
                <w:rFonts w:hint="eastAsia" w:ascii="宋体" w:hAnsi="宋体" w:eastAsia="宋体" w:cs="宋体"/>
                <w:b w:val="0"/>
                <w:bCs/>
                <w:color w:val="auto"/>
                <w:sz w:val="21"/>
                <w:szCs w:val="21"/>
                <w:highlight w:val="none"/>
              </w:rPr>
              <w:footnoteReference w:id="2"/>
            </w:r>
            <w:r>
              <w:rPr>
                <w:rFonts w:hint="eastAsia" w:ascii="宋体" w:hAnsi="宋体" w:eastAsia="宋体" w:cs="宋体"/>
                <w:b w:val="0"/>
                <w:bCs/>
                <w:color w:val="auto"/>
                <w:sz w:val="21"/>
                <w:szCs w:val="21"/>
                <w:highlight w:val="none"/>
              </w:rPr>
              <w:t>人员；</w:t>
            </w:r>
          </w:p>
          <w:p w14:paraId="3862B152">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（2）具有建设行政主管部门颁发且已经在投标人单位注册的“公路工程”专业《</w:t>
            </w: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rPr>
              <w:t>级</w:t>
            </w:r>
            <w:r>
              <w:rPr>
                <w:rFonts w:hint="eastAsia" w:ascii="宋体" w:hAnsi="宋体" w:eastAsia="宋体" w:cs="宋体"/>
                <w:b w:val="0"/>
                <w:bCs/>
                <w:color w:val="auto"/>
                <w:sz w:val="21"/>
                <w:szCs w:val="21"/>
                <w:highlight w:val="none"/>
              </w:rPr>
              <w:t>建造师注册证书》；</w:t>
            </w:r>
          </w:p>
          <w:p w14:paraId="20363347">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）具有交通运输主管部门颁发的有效的</w:t>
            </w:r>
            <w:r>
              <w:rPr>
                <w:rFonts w:hint="eastAsia" w:ascii="宋体" w:hAnsi="宋体" w:eastAsia="宋体" w:cs="宋体"/>
                <w:b/>
                <w:bCs w:val="0"/>
                <w:color w:val="auto"/>
                <w:sz w:val="21"/>
                <w:szCs w:val="21"/>
                <w:highlight w:val="none"/>
              </w:rPr>
              <w:t>B类</w:t>
            </w:r>
            <w:r>
              <w:rPr>
                <w:rFonts w:hint="eastAsia" w:ascii="宋体" w:hAnsi="宋体" w:eastAsia="宋体" w:cs="宋体"/>
                <w:bCs/>
                <w:color w:val="auto"/>
                <w:sz w:val="21"/>
                <w:szCs w:val="21"/>
                <w:highlight w:val="none"/>
              </w:rPr>
              <w:t>安全生产</w:t>
            </w:r>
            <w:r>
              <w:rPr>
                <w:rFonts w:hint="eastAsia" w:ascii="宋体" w:hAnsi="宋体" w:eastAsia="宋体" w:cs="宋体"/>
                <w:bCs/>
                <w:color w:val="auto"/>
                <w:sz w:val="21"/>
                <w:szCs w:val="21"/>
                <w:highlight w:val="none"/>
                <w:lang w:val="en-US" w:eastAsia="zh-CN"/>
              </w:rPr>
              <w:t>考核合格</w:t>
            </w:r>
            <w:r>
              <w:rPr>
                <w:rFonts w:hint="eastAsia" w:ascii="宋体" w:hAnsi="宋体" w:eastAsia="宋体" w:cs="宋体"/>
                <w:bCs/>
                <w:color w:val="auto"/>
                <w:sz w:val="21"/>
                <w:szCs w:val="21"/>
                <w:highlight w:val="none"/>
              </w:rPr>
              <w:t>证书。</w:t>
            </w:r>
          </w:p>
        </w:tc>
        <w:tc>
          <w:tcPr>
            <w:tcW w:w="1381" w:type="dxa"/>
            <w:vMerge w:val="restart"/>
            <w:tcBorders>
              <w:left w:val="single" w:color="auto" w:sz="4" w:space="0"/>
              <w:right w:val="single" w:color="auto" w:sz="12" w:space="0"/>
            </w:tcBorders>
            <w:noWrap w:val="0"/>
            <w:vAlign w:val="center"/>
          </w:tcPr>
          <w:p w14:paraId="40A181E6">
            <w:pPr>
              <w:keepLines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w:t>
            </w:r>
            <w:r>
              <w:rPr>
                <w:rFonts w:hint="eastAsia" w:ascii="宋体" w:hAnsi="宋体" w:eastAsia="宋体" w:cs="宋体"/>
                <w:color w:val="auto"/>
                <w:kern w:val="0"/>
                <w:sz w:val="21"/>
                <w:szCs w:val="21"/>
                <w:highlight w:val="none"/>
                <w:lang w:val="en-US" w:eastAsia="zh-CN"/>
              </w:rPr>
              <w:t>够</w:t>
            </w:r>
            <w:r>
              <w:rPr>
                <w:rFonts w:hint="eastAsia" w:ascii="宋体" w:hAnsi="宋体" w:eastAsia="宋体" w:cs="宋体"/>
                <w:color w:val="auto"/>
                <w:kern w:val="0"/>
                <w:sz w:val="21"/>
                <w:szCs w:val="21"/>
                <w:highlight w:val="none"/>
              </w:rPr>
              <w:t>从该项目撤离）</w:t>
            </w:r>
          </w:p>
        </w:tc>
      </w:tr>
      <w:tr w14:paraId="13FE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left w:val="single" w:color="auto" w:sz="12" w:space="0"/>
              <w:bottom w:val="single" w:color="auto" w:sz="12" w:space="0"/>
            </w:tcBorders>
            <w:noWrap w:val="0"/>
            <w:vAlign w:val="center"/>
          </w:tcPr>
          <w:p w14:paraId="2F0F5F0D">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项目总工</w:t>
            </w:r>
          </w:p>
        </w:tc>
        <w:tc>
          <w:tcPr>
            <w:tcW w:w="1239" w:type="dxa"/>
            <w:tcBorders>
              <w:bottom w:val="single" w:color="auto" w:sz="12" w:space="0"/>
            </w:tcBorders>
            <w:noWrap w:val="0"/>
            <w:vAlign w:val="center"/>
          </w:tcPr>
          <w:p w14:paraId="6D2A18CF">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bottom w:val="single" w:color="auto" w:sz="12" w:space="0"/>
              <w:right w:val="single" w:color="auto" w:sz="4" w:space="0"/>
            </w:tcBorders>
            <w:noWrap w:val="0"/>
            <w:vAlign w:val="center"/>
          </w:tcPr>
          <w:p w14:paraId="2327E851">
            <w:pPr>
              <w:keepLines w:val="0"/>
              <w:kinsoku/>
              <w:wordWrap/>
              <w:overflowPunct/>
              <w:topLinePunct w:val="0"/>
              <w:bidi w:val="0"/>
              <w:spacing w:line="36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w:t>
            </w:r>
            <w:r>
              <w:rPr>
                <w:rFonts w:hint="eastAsia" w:ascii="宋体" w:hAnsi="宋体" w:eastAsia="宋体" w:cs="宋体"/>
                <w:sz w:val="21"/>
                <w:szCs w:val="21"/>
              </w:rPr>
              <w:t>（联合体投标的，指联合体牵头人）</w:t>
            </w:r>
            <w:r>
              <w:rPr>
                <w:rFonts w:hint="eastAsia" w:ascii="宋体" w:hAnsi="宋体" w:eastAsia="宋体" w:cs="宋体"/>
                <w:b/>
                <w:bCs/>
                <w:sz w:val="21"/>
                <w:szCs w:val="21"/>
                <w:highlight w:val="none"/>
              </w:rPr>
              <w:t>自有</w:t>
            </w:r>
            <w:r>
              <w:rPr>
                <w:rFonts w:hint="eastAsia" w:ascii="宋体" w:hAnsi="宋体" w:eastAsia="宋体" w:cs="宋体"/>
                <w:bCs/>
                <w:sz w:val="21"/>
                <w:szCs w:val="21"/>
                <w:highlight w:val="none"/>
              </w:rPr>
              <w:t>人员；</w:t>
            </w:r>
          </w:p>
          <w:p w14:paraId="43F8CDB6">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sz w:val="21"/>
                <w:szCs w:val="21"/>
                <w:highlight w:val="none"/>
              </w:rPr>
              <w:t>（2）具有公路工程相关专业</w:t>
            </w:r>
            <w:r>
              <w:rPr>
                <w:rFonts w:hint="eastAsia" w:ascii="宋体" w:hAnsi="宋体" w:eastAsia="宋体" w:cs="宋体"/>
                <w:b/>
                <w:bCs/>
                <w:sz w:val="21"/>
                <w:szCs w:val="21"/>
                <w:highlight w:val="none"/>
                <w:lang w:val="en-US" w:eastAsia="zh-CN"/>
              </w:rPr>
              <w:t>高级</w:t>
            </w:r>
            <w:r>
              <w:rPr>
                <w:rFonts w:hint="eastAsia" w:ascii="宋体" w:hAnsi="宋体" w:eastAsia="宋体" w:cs="宋体"/>
                <w:bCs/>
                <w:sz w:val="21"/>
                <w:szCs w:val="21"/>
                <w:highlight w:val="none"/>
              </w:rPr>
              <w:t>职称</w:t>
            </w:r>
            <w:r>
              <w:rPr>
                <w:rFonts w:hint="eastAsia" w:ascii="宋体" w:hAnsi="宋体" w:eastAsia="宋体" w:cs="宋体"/>
                <w:bCs/>
                <w:sz w:val="21"/>
                <w:szCs w:val="21"/>
                <w:highlight w:val="none"/>
                <w:lang w:eastAsia="zh-CN"/>
              </w:rPr>
              <w:t>。</w:t>
            </w:r>
          </w:p>
        </w:tc>
        <w:tc>
          <w:tcPr>
            <w:tcW w:w="1381" w:type="dxa"/>
            <w:vMerge w:val="continue"/>
            <w:tcBorders>
              <w:left w:val="single" w:color="auto" w:sz="4" w:space="0"/>
              <w:bottom w:val="single" w:color="auto" w:sz="12" w:space="0"/>
              <w:right w:val="single" w:color="auto" w:sz="12" w:space="0"/>
            </w:tcBorders>
            <w:noWrap w:val="0"/>
            <w:vAlign w:val="top"/>
          </w:tcPr>
          <w:p w14:paraId="4522EB52">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bl>
    <w:p w14:paraId="01563EA0">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p>
    <w:bookmarkEnd w:id="14"/>
    <w:p w14:paraId="3943F173">
      <w:pPr>
        <w:keepNext w:val="0"/>
        <w:keepLines w:val="0"/>
        <w:pageBreakBefore/>
        <w:widowControl w:val="0"/>
        <w:kinsoku/>
        <w:wordWrap/>
        <w:overflowPunct/>
        <w:topLinePunct w:val="0"/>
        <w:autoSpaceDE/>
        <w:autoSpaceDN/>
        <w:bidi w:val="0"/>
        <w:adjustRightInd w:val="0"/>
        <w:snapToGrid w:val="0"/>
        <w:spacing w:beforeLines="100" w:afterLines="100" w:line="360" w:lineRule="exact"/>
        <w:jc w:val="center"/>
        <w:textAlignment w:val="auto"/>
        <w:outlineLvl w:val="1"/>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评标办法（技术评分最低标价法）</w:t>
      </w:r>
    </w:p>
    <w:p w14:paraId="3ECBCBF4">
      <w:pPr>
        <w:keepLines w:val="0"/>
        <w:kinsoku/>
        <w:wordWrap/>
        <w:overflowPunct/>
        <w:topLinePunct w:val="0"/>
        <w:bidi w:val="0"/>
        <w:spacing w:line="360" w:lineRule="exact"/>
        <w:textAlignment w:val="auto"/>
        <w:outlineLvl w:val="1"/>
        <w:rPr>
          <w:rFonts w:hint="eastAsia" w:ascii="宋体" w:hAnsi="宋体" w:eastAsia="宋体" w:cs="宋体"/>
          <w:b/>
          <w:color w:val="auto"/>
          <w:sz w:val="21"/>
          <w:szCs w:val="21"/>
          <w:highlight w:val="none"/>
        </w:rPr>
      </w:pPr>
      <w:bookmarkStart w:id="15" w:name="_Toc520285006"/>
      <w:bookmarkStart w:id="16" w:name="_Toc5649"/>
      <w:bookmarkStart w:id="17" w:name="_Toc505091277"/>
      <w:r>
        <w:rPr>
          <w:rFonts w:hint="eastAsia" w:ascii="宋体" w:hAnsi="宋体" w:eastAsia="宋体" w:cs="宋体"/>
          <w:b/>
          <w:color w:val="auto"/>
          <w:sz w:val="21"/>
          <w:szCs w:val="21"/>
          <w:highlight w:val="none"/>
        </w:rPr>
        <w:t>评标办法前附表</w:t>
      </w:r>
      <w:bookmarkEnd w:id="15"/>
      <w:bookmarkEnd w:id="16"/>
      <w:bookmarkEnd w:id="17"/>
    </w:p>
    <w:tbl>
      <w:tblPr>
        <w:tblStyle w:val="1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636"/>
        <w:gridCol w:w="7002"/>
      </w:tblGrid>
      <w:tr w14:paraId="75ED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535" w:type="dxa"/>
            <w:gridSpan w:val="2"/>
            <w:tcBorders>
              <w:top w:val="single" w:color="auto" w:sz="12" w:space="0"/>
              <w:left w:val="single" w:color="auto" w:sz="12" w:space="0"/>
            </w:tcBorders>
            <w:vAlign w:val="center"/>
          </w:tcPr>
          <w:p w14:paraId="61E07B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条款号</w:t>
            </w:r>
          </w:p>
        </w:tc>
        <w:tc>
          <w:tcPr>
            <w:tcW w:w="7002" w:type="dxa"/>
            <w:tcBorders>
              <w:top w:val="single" w:color="auto" w:sz="12" w:space="0"/>
              <w:right w:val="single" w:color="auto" w:sz="12" w:space="0"/>
            </w:tcBorders>
            <w:vAlign w:val="center"/>
          </w:tcPr>
          <w:p w14:paraId="2A069C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评审因素与标准</w:t>
            </w:r>
          </w:p>
        </w:tc>
      </w:tr>
      <w:tr w14:paraId="6623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tcBorders>
              <w:left w:val="single" w:color="auto" w:sz="12" w:space="0"/>
            </w:tcBorders>
            <w:vAlign w:val="center"/>
          </w:tcPr>
          <w:p w14:paraId="1693E2F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636" w:type="dxa"/>
            <w:vAlign w:val="center"/>
          </w:tcPr>
          <w:p w14:paraId="15D8F59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评标办法</w:t>
            </w:r>
          </w:p>
        </w:tc>
        <w:tc>
          <w:tcPr>
            <w:tcW w:w="7002" w:type="dxa"/>
            <w:tcBorders>
              <w:right w:val="single" w:color="auto" w:sz="12" w:space="0"/>
            </w:tcBorders>
            <w:vAlign w:val="center"/>
          </w:tcPr>
          <w:p w14:paraId="2646D5BB">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315" w:firstLineChars="1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评标价</w:t>
            </w:r>
            <w:r>
              <w:rPr>
                <w:rFonts w:hint="eastAsia" w:ascii="宋体" w:hAnsi="宋体" w:eastAsia="宋体" w:cs="宋体"/>
                <w:color w:val="auto"/>
                <w:kern w:val="2"/>
                <w:sz w:val="21"/>
                <w:szCs w:val="21"/>
                <w:highlight w:val="none"/>
                <w:lang w:val="en-US" w:eastAsia="zh-CN"/>
              </w:rPr>
              <w:t>相等时</w:t>
            </w:r>
            <w:r>
              <w:rPr>
                <w:rFonts w:hint="eastAsia" w:ascii="宋体" w:hAnsi="宋体" w:eastAsia="宋体" w:cs="宋体"/>
                <w:color w:val="auto"/>
                <w:kern w:val="2"/>
                <w:sz w:val="21"/>
                <w:szCs w:val="21"/>
                <w:highlight w:val="none"/>
                <w:lang w:val="en-US" w:eastAsia="zh-CN"/>
              </w:rPr>
              <w:t>，按照第一信封的排序规则和结果</w:t>
            </w:r>
            <w:r>
              <w:rPr>
                <w:rFonts w:hint="eastAsia" w:ascii="宋体" w:hAnsi="宋体" w:eastAsia="宋体" w:cs="宋体"/>
                <w:color w:val="auto"/>
                <w:kern w:val="2"/>
                <w:sz w:val="21"/>
                <w:szCs w:val="21"/>
                <w:highlight w:val="none"/>
                <w:lang w:val="en-US" w:eastAsia="zh-CN"/>
              </w:rPr>
              <w:t>推荐中标候选人</w:t>
            </w:r>
            <w:r>
              <w:rPr>
                <w:rFonts w:hint="eastAsia" w:ascii="宋体" w:hAnsi="宋体" w:eastAsia="宋体" w:cs="宋体"/>
                <w:color w:val="auto"/>
                <w:kern w:val="2"/>
                <w:sz w:val="21"/>
                <w:szCs w:val="21"/>
                <w:highlight w:val="none"/>
                <w:lang w:val="en-US" w:eastAsia="zh-CN"/>
              </w:rPr>
              <w:t>。</w:t>
            </w:r>
          </w:p>
        </w:tc>
      </w:tr>
      <w:tr w14:paraId="7CC2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restart"/>
            <w:tcBorders>
              <w:left w:val="single" w:color="auto" w:sz="12" w:space="0"/>
            </w:tcBorders>
            <w:vAlign w:val="center"/>
          </w:tcPr>
          <w:p w14:paraId="7AEB55A2">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14:paraId="671959BA">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w:t>
            </w:r>
          </w:p>
        </w:tc>
        <w:tc>
          <w:tcPr>
            <w:tcW w:w="1636" w:type="dxa"/>
            <w:vAlign w:val="center"/>
          </w:tcPr>
          <w:p w14:paraId="77985FD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w:t>
            </w:r>
            <w:r>
              <w:rPr>
                <w:rFonts w:hint="eastAsia" w:ascii="宋体" w:hAnsi="宋体" w:eastAsia="宋体" w:cs="宋体"/>
                <w:b/>
                <w:color w:val="auto"/>
                <w:sz w:val="21"/>
                <w:szCs w:val="21"/>
                <w:highlight w:val="none"/>
                <w:lang w:val="en-US" w:eastAsia="zh-CN"/>
              </w:rPr>
              <w:t>个</w:t>
            </w:r>
            <w:r>
              <w:rPr>
                <w:rFonts w:hint="eastAsia" w:ascii="宋体" w:hAnsi="宋体" w:eastAsia="宋体" w:cs="宋体"/>
                <w:b/>
                <w:color w:val="auto"/>
                <w:sz w:val="21"/>
                <w:szCs w:val="21"/>
                <w:highlight w:val="none"/>
                <w:lang w:val="zh-CN"/>
              </w:rPr>
              <w:t>信封</w:t>
            </w:r>
          </w:p>
          <w:p w14:paraId="3AA9B37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形式评审与响应性评审标准</w:t>
            </w:r>
          </w:p>
        </w:tc>
        <w:tc>
          <w:tcPr>
            <w:tcW w:w="7002" w:type="dxa"/>
            <w:tcBorders>
              <w:right w:val="single" w:color="auto" w:sz="12" w:space="0"/>
            </w:tcBorders>
            <w:vAlign w:val="center"/>
          </w:tcPr>
          <w:p w14:paraId="7E12724A">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43EDA3A9">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（1）</w:t>
            </w:r>
            <w:r>
              <w:rPr>
                <w:rStyle w:val="26"/>
                <w:rFonts w:hint="eastAsia" w:ascii="宋体" w:hAnsi="宋体" w:eastAsia="宋体" w:cs="宋体"/>
                <w:color w:val="auto"/>
                <w:sz w:val="21"/>
                <w:szCs w:val="21"/>
                <w:highlight w:val="none"/>
              </w:rPr>
              <w:t>投标文件按照招标文件规定的格式、内容填写，字迹清晰可辨：</w:t>
            </w:r>
          </w:p>
          <w:p w14:paraId="49C3A624">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投标函按招标文件规定填报了项目名称、标段号、补遗书编号（如有)、工期、工程质量要求及安全目标；</w:t>
            </w:r>
          </w:p>
          <w:p w14:paraId="014E3AAD">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投标函附录的所有数据均符合招标文件规定；</w:t>
            </w:r>
          </w:p>
          <w:p w14:paraId="7D4958BC">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投标文件组成齐全完整，内容均按规定填写。</w:t>
            </w:r>
          </w:p>
          <w:p w14:paraId="35E84AB0">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（2）</w:t>
            </w:r>
            <w:r>
              <w:rPr>
                <w:rStyle w:val="26"/>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3F2CEF1C">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（3）投标人按照招标文件的规定提供了投标保证金：</w:t>
            </w:r>
          </w:p>
          <w:p w14:paraId="1622E863">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a.投标保证金金额符合招标文件规定的金额，且投标保证金有效期不少于投标有效期；</w:t>
            </w:r>
          </w:p>
          <w:p w14:paraId="17A05CE0">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4B087116">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c.若投标保证金采用保函形式提交，应满足</w:t>
            </w:r>
            <w:r>
              <w:rPr>
                <w:rStyle w:val="26"/>
                <w:rFonts w:hint="eastAsia" w:ascii="宋体" w:hAnsi="宋体" w:eastAsia="宋体" w:cs="宋体"/>
                <w:color w:val="auto"/>
                <w:sz w:val="21"/>
                <w:szCs w:val="21"/>
                <w:highlight w:val="none"/>
                <w:lang w:val="en-US"/>
              </w:rPr>
              <w:t>招标文件</w:t>
            </w:r>
            <w:r>
              <w:rPr>
                <w:rStyle w:val="26"/>
                <w:rFonts w:hint="eastAsia" w:ascii="宋体" w:hAnsi="宋体" w:eastAsia="宋体" w:cs="宋体"/>
                <w:color w:val="auto"/>
                <w:sz w:val="21"/>
                <w:szCs w:val="21"/>
                <w:highlight w:val="none"/>
              </w:rPr>
              <w:t>相关要求。</w:t>
            </w:r>
          </w:p>
          <w:p w14:paraId="060E176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投标人法定代表人授权委托代理人签署投标文件的，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提交授权委托书，且授权人和被授权人均在授权委托书上签名。</w:t>
            </w:r>
          </w:p>
          <w:p w14:paraId="6B1F0301">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w:t>
            </w:r>
          </w:p>
          <w:p w14:paraId="0FDFE9BB">
            <w:pPr>
              <w:pStyle w:val="10"/>
              <w:keepLines w:val="0"/>
              <w:kinsoku/>
              <w:wordWrap/>
              <w:overflowPunct/>
              <w:topLinePunct w:val="0"/>
              <w:bidi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（6）</w:t>
            </w:r>
            <w:r>
              <w:rPr>
                <w:rStyle w:val="20"/>
                <w:rFonts w:hint="eastAsia" w:ascii="宋体" w:hAnsi="宋体" w:eastAsia="宋体" w:cs="宋体"/>
                <w:color w:val="auto"/>
                <w:sz w:val="21"/>
                <w:szCs w:val="21"/>
                <w:shd w:val="clear" w:color="auto" w:fill="auto"/>
              </w:rPr>
              <w:t>投标人以联合体形式投标时，投标人按照招标文件提供的格式签订了联合体协议书，明确各方承担连带责任，并明确了联合体牵头人</w:t>
            </w:r>
            <w:r>
              <w:rPr>
                <w:rStyle w:val="20"/>
                <w:rFonts w:hint="eastAsia" w:ascii="宋体" w:hAnsi="宋体" w:eastAsia="宋体" w:cs="宋体"/>
                <w:color w:val="auto"/>
                <w:sz w:val="21"/>
                <w:szCs w:val="21"/>
                <w:shd w:val="clear" w:color="auto" w:fill="auto"/>
                <w:lang w:eastAsia="zh-CN"/>
              </w:rPr>
              <w:t>。</w:t>
            </w:r>
          </w:p>
          <w:p w14:paraId="72D719F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（7）</w:t>
            </w:r>
            <w:r>
              <w:rPr>
                <w:rFonts w:hint="eastAsia" w:ascii="宋体" w:hAnsi="宋体" w:eastAsia="宋体" w:cs="宋体"/>
                <w:color w:val="auto"/>
                <w:sz w:val="21"/>
                <w:szCs w:val="21"/>
                <w:highlight w:val="none"/>
              </w:rPr>
              <w:t>投</w:t>
            </w:r>
            <w:r>
              <w:rPr>
                <w:rFonts w:hint="eastAsia" w:ascii="宋体" w:hAnsi="宋体" w:eastAsia="宋体" w:cs="宋体"/>
                <w:color w:val="auto"/>
                <w:sz w:val="21"/>
                <w:szCs w:val="21"/>
                <w:highlight w:val="none"/>
              </w:rPr>
              <w:t>标人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分包计划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符合招标文件第二章“投标人须知”第1.11款规定</w:t>
            </w:r>
            <w:r>
              <w:rPr>
                <w:rFonts w:hint="eastAsia" w:ascii="宋体" w:hAnsi="宋体" w:eastAsia="宋体" w:cs="宋体"/>
                <w:color w:val="auto"/>
                <w:sz w:val="21"/>
                <w:szCs w:val="21"/>
                <w:highlight w:val="none"/>
              </w:rPr>
              <w:t>。</w:t>
            </w:r>
          </w:p>
          <w:p w14:paraId="27B4372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t>同一投标人未提交两个以上不同的投标文件，但招标文件要求提交备选投标的除外。</w:t>
            </w:r>
          </w:p>
          <w:p w14:paraId="5AE5131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投标文件中未出现有关投标报价的内容。</w:t>
            </w:r>
          </w:p>
          <w:p w14:paraId="4728CF5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t>投标文件载明的招标项目完成期限未超过招标文件规定的时限。</w:t>
            </w:r>
          </w:p>
          <w:p w14:paraId="003D5CF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t>投标文件对招标文件的实质性要求和条件作出响应。</w:t>
            </w:r>
          </w:p>
          <w:p w14:paraId="0A36403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t>权利义务符合招标文件规定：</w:t>
            </w:r>
          </w:p>
          <w:p w14:paraId="1645485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投标人应接受招标文件规定的风险划分原则，未提出新的风险划分办法；</w:t>
            </w:r>
          </w:p>
          <w:p w14:paraId="73CEF1E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投标人未增加发包人的责任范围，或减少投标人义务；</w:t>
            </w:r>
          </w:p>
          <w:p w14:paraId="4CDBB6B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投标人未提出不同的工程验收、计量、支付办法；</w:t>
            </w:r>
          </w:p>
          <w:p w14:paraId="65D51A8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t>
            </w:r>
            <w:r>
              <w:rPr>
                <w:rFonts w:hint="eastAsia" w:ascii="宋体" w:hAnsi="宋体" w:eastAsia="宋体" w:cs="宋体"/>
                <w:color w:val="auto"/>
                <w:sz w:val="21"/>
                <w:szCs w:val="21"/>
                <w:highlight w:val="none"/>
              </w:rPr>
              <w:t>投标人对合同纠纷、事故处理办法未提出异议；</w:t>
            </w:r>
          </w:p>
          <w:p w14:paraId="6F310F7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w:t>
            </w:r>
            <w:r>
              <w:rPr>
                <w:rFonts w:hint="eastAsia" w:ascii="宋体" w:hAnsi="宋体" w:eastAsia="宋体" w:cs="宋体"/>
                <w:color w:val="auto"/>
                <w:sz w:val="21"/>
                <w:szCs w:val="21"/>
                <w:highlight w:val="none"/>
              </w:rPr>
              <w:t>投标人在投标活动中无欺诈行为；</w:t>
            </w:r>
          </w:p>
          <w:p w14:paraId="01696E6C">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w:t>
            </w:r>
            <w:r>
              <w:rPr>
                <w:rFonts w:hint="eastAsia" w:ascii="宋体" w:hAnsi="宋体" w:eastAsia="宋体" w:cs="宋体"/>
                <w:color w:val="auto"/>
                <w:sz w:val="21"/>
                <w:szCs w:val="21"/>
                <w:highlight w:val="none"/>
              </w:rPr>
              <w:t>投标人未对合同条款有重要保留。</w:t>
            </w:r>
          </w:p>
        </w:tc>
      </w:tr>
      <w:tr w14:paraId="0CEE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continue"/>
            <w:tcBorders>
              <w:left w:val="single" w:color="auto" w:sz="12" w:space="0"/>
            </w:tcBorders>
            <w:vAlign w:val="center"/>
          </w:tcPr>
          <w:p w14:paraId="1F61833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p>
        </w:tc>
        <w:tc>
          <w:tcPr>
            <w:tcW w:w="1636" w:type="dxa"/>
            <w:vAlign w:val="center"/>
          </w:tcPr>
          <w:p w14:paraId="774B618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第二个信封</w:t>
            </w:r>
          </w:p>
          <w:p w14:paraId="4E8059D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形式评审与响应性评审标准</w:t>
            </w:r>
          </w:p>
        </w:tc>
        <w:tc>
          <w:tcPr>
            <w:tcW w:w="7002" w:type="dxa"/>
            <w:tcBorders>
              <w:right w:val="single" w:color="auto" w:sz="12" w:space="0"/>
            </w:tcBorders>
            <w:vAlign w:val="center"/>
          </w:tcPr>
          <w:p w14:paraId="5D7FD4BA">
            <w:pPr>
              <w:keepNext w:val="0"/>
              <w:keepLines w:val="0"/>
              <w:pageBreakBefore w:val="0"/>
              <w:widowControl w:val="0"/>
              <w:tabs>
                <w:tab w:val="left" w:pos="0"/>
              </w:tabs>
              <w:kinsoku/>
              <w:wordWrap/>
              <w:overflowPunct/>
              <w:topLinePunct w:val="0"/>
              <w:bidi w:val="0"/>
              <w:adjustRightInd w:val="0"/>
              <w:snapToGrid w:val="0"/>
              <w:spacing w:line="360" w:lineRule="exact"/>
              <w:ind w:left="-73" w:leftChars="-3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09D647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投标文件按照招标文件规定的格式、内容填写，字迹清晰可</w:t>
            </w:r>
            <w:r>
              <w:rPr>
                <w:rFonts w:hint="eastAsia" w:ascii="宋体" w:hAnsi="宋体" w:eastAsia="宋体" w:cs="宋体"/>
                <w:color w:val="auto"/>
                <w:sz w:val="21"/>
                <w:szCs w:val="21"/>
                <w:highlight w:val="none"/>
              </w:rPr>
              <w:t>辨：</w:t>
            </w:r>
          </w:p>
          <w:p w14:paraId="534DC8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投标函按招标文件规定填报了项目名称、标段号、补遗书编号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、投标价（包括大写金额和小写金额)；</w:t>
            </w:r>
          </w:p>
          <w:p w14:paraId="082ADB0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已标价工程量清单说明文字与招标文件规定一致，未进行实质性修改和删减；</w:t>
            </w:r>
          </w:p>
          <w:p w14:paraId="3FF809F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5EDA3D2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4D92425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投标报价未超过招标文件设定的最高投标限价。</w:t>
            </w:r>
          </w:p>
          <w:p w14:paraId="71F5FB7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投标报价中报价的大写金额能够确定具体数值。</w:t>
            </w:r>
          </w:p>
          <w:p w14:paraId="33098EC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同一投标人未提交两个以上不同的投标报价，但招标文件要求提交备选投标的除外。</w:t>
            </w:r>
          </w:p>
          <w:p w14:paraId="511AB50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rPr>
              <w:t>未</w:t>
            </w:r>
            <w:r>
              <w:rPr>
                <w:rFonts w:hint="eastAsia" w:ascii="宋体" w:hAnsi="宋体" w:eastAsia="宋体" w:cs="宋体"/>
                <w:color w:val="auto"/>
                <w:sz w:val="21"/>
                <w:szCs w:val="21"/>
                <w:highlight w:val="none"/>
              </w:rPr>
              <w:t>提交调价函。</w:t>
            </w:r>
          </w:p>
          <w:p w14:paraId="369B938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t>投标人若填写工程量固化清单，填写完毕的工程量固化清单未对工程量固化清单电子文件中的数据、格式和运算定义进行修改；工程量固化清单中的投标报价和投标函大写金额报价一致。</w:t>
            </w:r>
          </w:p>
        </w:tc>
      </w:tr>
      <w:tr w14:paraId="4163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54C29D77">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636" w:type="dxa"/>
            <w:vAlign w:val="center"/>
          </w:tcPr>
          <w:p w14:paraId="28732E9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资格评审标准</w:t>
            </w:r>
          </w:p>
        </w:tc>
        <w:tc>
          <w:tcPr>
            <w:tcW w:w="7002" w:type="dxa"/>
            <w:tcBorders>
              <w:right w:val="single" w:color="auto" w:sz="12" w:space="0"/>
            </w:tcBorders>
            <w:vAlign w:val="center"/>
          </w:tcPr>
          <w:p w14:paraId="53AE3BB9">
            <w:pPr>
              <w:pStyle w:val="27"/>
              <w:keepNext w:val="0"/>
              <w:keepLines w:val="0"/>
              <w:pageBreakBefore w:val="0"/>
              <w:widowControl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eastAsia="zh-CN" w:bidi="en-US"/>
              </w:rPr>
              <w:t>1）</w:t>
            </w:r>
            <w:r>
              <w:rPr>
                <w:rFonts w:hint="eastAsia" w:ascii="宋体" w:hAnsi="宋体" w:eastAsia="宋体" w:cs="宋体"/>
                <w:color w:val="auto"/>
                <w:sz w:val="21"/>
                <w:szCs w:val="21"/>
                <w:highlight w:val="none"/>
                <w:lang w:val="en-US" w:eastAsia="zh-CN"/>
              </w:rPr>
              <w:t>投标人具备有效的营业执照、资质证书、安全生产许可证和基本账户开户</w:t>
            </w:r>
            <w:r>
              <w:rPr>
                <w:rFonts w:hint="eastAsia" w:ascii="宋体" w:hAnsi="宋体" w:eastAsia="宋体" w:cs="宋体"/>
                <w:color w:val="auto"/>
                <w:sz w:val="21"/>
                <w:szCs w:val="21"/>
                <w:highlight w:val="none"/>
                <w:lang w:val="en-US" w:eastAsia="zh-CN"/>
              </w:rPr>
              <w:t>证明材料。</w:t>
            </w:r>
          </w:p>
          <w:p w14:paraId="736B3A8B">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（2</w:t>
            </w: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eastAsia="zh-CN"/>
              </w:rPr>
              <w:t>投标人的资质等级符合招标文件规定</w:t>
            </w:r>
            <w:r>
              <w:rPr>
                <w:rFonts w:hint="eastAsia" w:ascii="宋体" w:hAnsi="宋体" w:eastAsia="宋体" w:cs="宋体"/>
                <w:color w:val="auto"/>
                <w:sz w:val="21"/>
                <w:szCs w:val="21"/>
                <w:highlight w:val="none"/>
                <w:lang w:val="en-US" w:eastAsia="zh-CN"/>
              </w:rPr>
              <w:t>。</w:t>
            </w:r>
          </w:p>
          <w:p w14:paraId="4B89CD4A">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（3）</w:t>
            </w:r>
            <w:r>
              <w:rPr>
                <w:rFonts w:hint="eastAsia" w:ascii="宋体" w:hAnsi="宋体" w:eastAsia="宋体" w:cs="宋体"/>
                <w:color w:val="auto"/>
                <w:sz w:val="21"/>
                <w:szCs w:val="21"/>
                <w:highlight w:val="none"/>
                <w:lang w:val="en-US" w:eastAsia="zh-CN"/>
              </w:rPr>
              <w:t>投标人的财务状况符合招标文件规定</w:t>
            </w:r>
            <w:r>
              <w:rPr>
                <w:rFonts w:hint="eastAsia" w:ascii="宋体" w:hAnsi="宋体" w:eastAsia="宋体" w:cs="宋体"/>
                <w:color w:val="auto"/>
                <w:sz w:val="21"/>
                <w:szCs w:val="21"/>
                <w:highlight w:val="none"/>
                <w:lang w:val="en-US" w:eastAsia="zh-CN"/>
              </w:rPr>
              <w:t>。</w:t>
            </w:r>
          </w:p>
          <w:p w14:paraId="5C111FF8">
            <w:pPr>
              <w:pStyle w:val="27"/>
              <w:keepNext w:val="0"/>
              <w:keepLines w:val="0"/>
              <w:pageBreakBefore w:val="0"/>
              <w:widowControl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投标人的类似项目业绩符合招标文件规定</w:t>
            </w:r>
            <w:r>
              <w:rPr>
                <w:rFonts w:hint="eastAsia" w:ascii="宋体" w:hAnsi="宋体" w:eastAsia="宋体" w:cs="宋体"/>
                <w:color w:val="auto"/>
                <w:sz w:val="21"/>
                <w:szCs w:val="21"/>
                <w:highlight w:val="none"/>
                <w:lang w:val="en-US" w:eastAsia="zh-CN"/>
              </w:rPr>
              <w:t>。</w:t>
            </w:r>
          </w:p>
          <w:p w14:paraId="20165C5D">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投标人的信誉符合招标文件规定</w:t>
            </w:r>
            <w:r>
              <w:rPr>
                <w:rFonts w:hint="eastAsia" w:ascii="宋体" w:hAnsi="宋体" w:eastAsia="宋体" w:cs="宋体"/>
                <w:color w:val="auto"/>
                <w:sz w:val="21"/>
                <w:szCs w:val="21"/>
                <w:highlight w:val="none"/>
                <w:lang w:eastAsia="zh-CN"/>
              </w:rPr>
              <w:t>。</w:t>
            </w:r>
          </w:p>
          <w:p w14:paraId="40B6FDEA">
            <w:pPr>
              <w:pStyle w:val="25"/>
              <w:keepNext w:val="0"/>
              <w:keepLines w:val="0"/>
              <w:pageBreakBefore w:val="0"/>
              <w:widowControl w:val="0"/>
              <w:shd w:val="clear" w:color="auto" w:fill="auto"/>
              <w:tabs>
                <w:tab w:val="left" w:pos="1068"/>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（6）</w:t>
            </w:r>
            <w:r>
              <w:rPr>
                <w:rStyle w:val="26"/>
                <w:rFonts w:hint="eastAsia" w:ascii="宋体" w:hAnsi="宋体" w:eastAsia="宋体" w:cs="宋体"/>
                <w:color w:val="auto"/>
                <w:sz w:val="21"/>
                <w:szCs w:val="21"/>
                <w:highlight w:val="none"/>
              </w:rPr>
              <w:t>投标人的项目经理和项目总工资格、在岗情况符合招标文件规定</w:t>
            </w:r>
            <w:r>
              <w:rPr>
                <w:rStyle w:val="26"/>
                <w:rFonts w:hint="eastAsia" w:ascii="宋体" w:hAnsi="宋体" w:eastAsia="宋体" w:cs="宋体"/>
                <w:color w:val="auto"/>
                <w:sz w:val="21"/>
                <w:szCs w:val="21"/>
                <w:highlight w:val="none"/>
              </w:rPr>
              <w:t>。</w:t>
            </w:r>
          </w:p>
          <w:p w14:paraId="0DB30AA5">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（7）</w:t>
            </w:r>
            <w:r>
              <w:rPr>
                <w:rStyle w:val="26"/>
                <w:rFonts w:hint="eastAsia" w:ascii="宋体" w:hAnsi="宋体" w:eastAsia="宋体" w:cs="宋体"/>
                <w:color w:val="auto"/>
                <w:sz w:val="21"/>
                <w:szCs w:val="21"/>
                <w:highlight w:val="none"/>
              </w:rPr>
              <w:t>投标人不存在第二章“投标人须知”第1.4.3项或第1.4.4项规定的任何一种情形</w:t>
            </w:r>
            <w:r>
              <w:rPr>
                <w:rStyle w:val="26"/>
                <w:rFonts w:hint="eastAsia" w:ascii="宋体" w:hAnsi="宋体" w:eastAsia="宋体" w:cs="宋体"/>
                <w:color w:val="auto"/>
                <w:sz w:val="21"/>
                <w:szCs w:val="21"/>
                <w:highlight w:val="none"/>
              </w:rPr>
              <w:t>。</w:t>
            </w:r>
          </w:p>
          <w:p w14:paraId="6EAB38DC">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lang w:val="en-US"/>
              </w:rPr>
            </w:pPr>
            <w:r>
              <w:rPr>
                <w:rStyle w:val="26"/>
                <w:rFonts w:hint="eastAsia" w:ascii="宋体" w:hAnsi="宋体" w:eastAsia="宋体" w:cs="宋体"/>
                <w:color w:val="auto"/>
                <w:sz w:val="21"/>
                <w:szCs w:val="21"/>
              </w:rPr>
              <w:t>（</w:t>
            </w:r>
            <w:r>
              <w:rPr>
                <w:rStyle w:val="26"/>
                <w:rFonts w:hint="eastAsia" w:ascii="宋体" w:hAnsi="宋体" w:eastAsia="宋体" w:cs="宋体"/>
                <w:color w:val="auto"/>
                <w:sz w:val="21"/>
                <w:szCs w:val="21"/>
                <w:lang w:val="en-US"/>
              </w:rPr>
              <w:t>8</w:t>
            </w:r>
            <w:r>
              <w:rPr>
                <w:rStyle w:val="26"/>
                <w:rFonts w:hint="eastAsia" w:ascii="宋体" w:hAnsi="宋体" w:eastAsia="宋体" w:cs="宋体"/>
                <w:color w:val="auto"/>
                <w:sz w:val="21"/>
                <w:szCs w:val="21"/>
              </w:rPr>
              <w:t>）</w:t>
            </w:r>
            <w:r>
              <w:rPr>
                <w:rStyle w:val="20"/>
                <w:rFonts w:hint="eastAsia" w:ascii="宋体" w:hAnsi="宋体" w:eastAsia="宋体" w:cs="宋体"/>
                <w:color w:val="auto"/>
                <w:sz w:val="21"/>
                <w:szCs w:val="21"/>
                <w:shd w:val="clear" w:color="auto" w:fill="auto"/>
                <w:lang w:val="en-US" w:eastAsia="zh-CN"/>
              </w:rPr>
              <w:t>投标人</w:t>
            </w:r>
            <w:r>
              <w:rPr>
                <w:rStyle w:val="26"/>
                <w:rFonts w:hint="eastAsia" w:ascii="宋体" w:hAnsi="宋体" w:eastAsia="宋体" w:cs="宋体"/>
                <w:color w:val="auto"/>
                <w:sz w:val="21"/>
                <w:szCs w:val="21"/>
              </w:rPr>
              <w:t>以联合体形式参与投标的，联合体各方均未再以自己名义单独或参加其他联合体在同一标段中投标。</w:t>
            </w:r>
          </w:p>
        </w:tc>
      </w:tr>
      <w:tr w14:paraId="3656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3560F0F">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p>
        </w:tc>
        <w:tc>
          <w:tcPr>
            <w:tcW w:w="1636" w:type="dxa"/>
            <w:vAlign w:val="center"/>
          </w:tcPr>
          <w:p w14:paraId="5EE5AE7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第一个信封</w:t>
            </w:r>
          </w:p>
          <w:p w14:paraId="1E44BF7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评分值构成</w:t>
            </w:r>
          </w:p>
          <w:p w14:paraId="28DC0D6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w:t>
            </w:r>
            <w:r>
              <w:rPr>
                <w:rFonts w:hint="eastAsia" w:ascii="宋体" w:hAnsi="宋体" w:eastAsia="宋体" w:cs="宋体"/>
                <w:color w:val="auto"/>
                <w:sz w:val="21"/>
                <w:szCs w:val="21"/>
                <w:highlight w:val="none"/>
                <w:lang w:val="zh-CN"/>
              </w:rPr>
              <w:t>100</w:t>
            </w:r>
            <w:r>
              <w:rPr>
                <w:rFonts w:hint="eastAsia" w:ascii="宋体" w:hAnsi="宋体" w:eastAsia="宋体" w:cs="宋体"/>
                <w:color w:val="auto"/>
                <w:sz w:val="21"/>
                <w:szCs w:val="21"/>
                <w:highlight w:val="none"/>
                <w:lang w:val="zh-CN"/>
              </w:rPr>
              <w:t>分）</w:t>
            </w:r>
          </w:p>
        </w:tc>
        <w:tc>
          <w:tcPr>
            <w:tcW w:w="7002" w:type="dxa"/>
            <w:tcBorders>
              <w:right w:val="single" w:color="auto" w:sz="12" w:space="0"/>
            </w:tcBorders>
            <w:vAlign w:val="center"/>
          </w:tcPr>
          <w:p w14:paraId="368E1C69">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施工组织设计：40分；</w:t>
            </w:r>
          </w:p>
          <w:p w14:paraId="39C5AA0C">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主要人员：25分；</w:t>
            </w:r>
          </w:p>
          <w:p w14:paraId="7070A0A1">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rPr>
              <w:t>评分</w:t>
            </w:r>
            <w:r>
              <w:rPr>
                <w:rFonts w:hint="eastAsia" w:ascii="宋体" w:hAnsi="宋体" w:eastAsia="宋体" w:cs="宋体"/>
                <w:color w:val="auto"/>
                <w:sz w:val="21"/>
                <w:szCs w:val="21"/>
                <w:highlight w:val="none"/>
              </w:rPr>
              <w:t>因素：35分。</w:t>
            </w:r>
          </w:p>
        </w:tc>
      </w:tr>
      <w:tr w14:paraId="61BE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CB1439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w:t>
            </w:r>
          </w:p>
        </w:tc>
        <w:tc>
          <w:tcPr>
            <w:tcW w:w="1636" w:type="dxa"/>
            <w:vAlign w:val="center"/>
          </w:tcPr>
          <w:p w14:paraId="15E63FAB">
            <w:pPr>
              <w:keepNext w:val="0"/>
              <w:keepLines w:val="0"/>
              <w:pageBreakBefore w:val="0"/>
              <w:widowControl w:val="0"/>
              <w:kinsoku/>
              <w:wordWrap/>
              <w:overflowPunct/>
              <w:topLinePunct w:val="0"/>
              <w:autoSpaceDE w:val="0"/>
              <w:autoSpaceDN w:val="0"/>
              <w:bidi w:val="0"/>
              <w:adjustRightInd w:val="0"/>
              <w:snapToGrid/>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第二个信封详细评审标准</w:t>
            </w:r>
          </w:p>
        </w:tc>
        <w:tc>
          <w:tcPr>
            <w:tcW w:w="7002" w:type="dxa"/>
            <w:tcBorders>
              <w:right w:val="single" w:color="auto" w:sz="12" w:space="0"/>
            </w:tcBorders>
            <w:vAlign w:val="center"/>
          </w:tcPr>
          <w:p w14:paraId="72D0939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评标价计算公式：</w:t>
            </w:r>
            <w:r>
              <w:rPr>
                <w:rFonts w:hint="eastAsia" w:ascii="宋体" w:hAnsi="宋体" w:eastAsia="宋体" w:cs="宋体"/>
                <w:color w:val="auto"/>
                <w:sz w:val="21"/>
                <w:szCs w:val="21"/>
                <w:highlight w:val="none"/>
              </w:rPr>
              <w:t>评标价=投标函文字报价</w:t>
            </w:r>
          </w:p>
        </w:tc>
      </w:tr>
      <w:tr w14:paraId="7D2F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bottom w:val="single" w:color="auto" w:sz="12" w:space="0"/>
            </w:tcBorders>
            <w:vAlign w:val="center"/>
          </w:tcPr>
          <w:p w14:paraId="2AB10F49">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3.2.4</w:t>
            </w:r>
          </w:p>
        </w:tc>
        <w:tc>
          <w:tcPr>
            <w:tcW w:w="1636" w:type="dxa"/>
            <w:tcBorders>
              <w:bottom w:val="single" w:color="auto" w:sz="12" w:space="0"/>
            </w:tcBorders>
            <w:vAlign w:val="center"/>
          </w:tcPr>
          <w:p w14:paraId="7ED06B1C">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通过第一个信封详细评审的投标人数量</w:t>
            </w:r>
          </w:p>
        </w:tc>
        <w:tc>
          <w:tcPr>
            <w:tcW w:w="7002" w:type="dxa"/>
            <w:tcBorders>
              <w:bottom w:val="single" w:color="auto" w:sz="12" w:space="0"/>
              <w:right w:val="single" w:color="auto" w:sz="12" w:space="0"/>
            </w:tcBorders>
            <w:vAlign w:val="center"/>
          </w:tcPr>
          <w:p w14:paraId="0AD11753">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按投标人商务和技术得分由高到低排序，选择前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3 </w:t>
            </w:r>
            <w:r>
              <w:rPr>
                <w:rFonts w:hint="eastAsia" w:ascii="宋体" w:hAnsi="宋体" w:eastAsia="宋体" w:cs="宋体"/>
                <w:color w:val="auto"/>
                <w:sz w:val="21"/>
                <w:szCs w:val="21"/>
                <w:highlight w:val="none"/>
              </w:rPr>
              <w:t>名通过详细评审。</w:t>
            </w:r>
          </w:p>
          <w:p w14:paraId="5011FF12">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如同一标段出现多名投标人的</w:t>
            </w:r>
            <w:r>
              <w:rPr>
                <w:rFonts w:hint="eastAsia" w:ascii="宋体" w:hAnsi="宋体" w:eastAsia="宋体" w:cs="宋体"/>
                <w:color w:val="auto"/>
                <w:sz w:val="21"/>
                <w:szCs w:val="21"/>
                <w:highlight w:val="none"/>
              </w:rPr>
              <w:t>第一信封（商务及技术文件）综合评分</w:t>
            </w:r>
            <w:r>
              <w:rPr>
                <w:rFonts w:hint="eastAsia" w:ascii="宋体" w:hAnsi="宋体" w:eastAsia="宋体" w:cs="宋体"/>
                <w:color w:val="auto"/>
                <w:sz w:val="21"/>
                <w:szCs w:val="21"/>
                <w:highlight w:val="none"/>
              </w:rPr>
              <w:t>相等时，则按照以下所列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在前的优先：</w:t>
            </w:r>
          </w:p>
          <w:p w14:paraId="74CCD384">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信用评价得分较高者；</w:t>
            </w:r>
          </w:p>
          <w:p w14:paraId="6B9F8435">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主要人员</w:t>
            </w:r>
            <w:r>
              <w:rPr>
                <w:rFonts w:hint="eastAsia" w:ascii="宋体" w:hAnsi="宋体" w:eastAsia="宋体" w:cs="宋体"/>
                <w:color w:val="auto"/>
                <w:sz w:val="21"/>
                <w:szCs w:val="21"/>
                <w:highlight w:val="none"/>
              </w:rPr>
              <w:t>得分较高者；</w:t>
            </w:r>
          </w:p>
          <w:p w14:paraId="0D3D6847">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.施工组织设计得分较高者；</w:t>
            </w:r>
          </w:p>
          <w:p w14:paraId="6CE90AF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若以上各项评分因素得分都相等，则通过评委会投票表决，推荐票数多的投标人评分排序在先</w:t>
            </w:r>
            <w:r>
              <w:rPr>
                <w:rFonts w:hint="eastAsia" w:ascii="宋体" w:hAnsi="宋体" w:eastAsia="宋体" w:cs="宋体"/>
                <w:color w:val="auto"/>
                <w:sz w:val="21"/>
                <w:szCs w:val="21"/>
                <w:highlight w:val="none"/>
              </w:rPr>
              <w:t>。</w:t>
            </w:r>
          </w:p>
        </w:tc>
      </w:tr>
    </w:tbl>
    <w:p w14:paraId="2B0B4C94">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lang w:val="en-US" w:eastAsia="zh-CN"/>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14"/>
        <w:gridCol w:w="675"/>
        <w:gridCol w:w="945"/>
        <w:gridCol w:w="1845"/>
        <w:gridCol w:w="855"/>
        <w:gridCol w:w="4303"/>
      </w:tblGrid>
      <w:tr w14:paraId="0B4CD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5234" w:type="dxa"/>
            <w:gridSpan w:val="5"/>
            <w:tcBorders>
              <w:tl2br w:val="nil"/>
              <w:tr2bl w:val="nil"/>
            </w:tcBorders>
            <w:noWrap w:val="0"/>
            <w:vAlign w:val="center"/>
          </w:tcPr>
          <w:p w14:paraId="5F78F7F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评分因素与权重分值</w:t>
            </w:r>
            <w:r>
              <w:rPr>
                <w:rFonts w:hint="eastAsia" w:ascii="宋体" w:hAnsi="宋体" w:eastAsia="宋体" w:cs="宋体"/>
                <w:b/>
                <w:bCs/>
                <w:color w:val="auto"/>
                <w:sz w:val="21"/>
                <w:szCs w:val="21"/>
                <w:highlight w:val="none"/>
                <w:vertAlign w:val="superscript"/>
              </w:rPr>
              <w:footnoteReference w:id="3"/>
            </w:r>
          </w:p>
        </w:tc>
        <w:tc>
          <w:tcPr>
            <w:tcW w:w="4303" w:type="dxa"/>
            <w:vMerge w:val="restart"/>
            <w:tcBorders>
              <w:tl2br w:val="nil"/>
              <w:tr2bl w:val="nil"/>
            </w:tcBorders>
            <w:noWrap w:val="0"/>
            <w:vAlign w:val="center"/>
          </w:tcPr>
          <w:p w14:paraId="0938B2D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评分标准</w:t>
            </w:r>
          </w:p>
        </w:tc>
      </w:tr>
      <w:tr w14:paraId="0E5EF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914" w:type="dxa"/>
            <w:tcBorders>
              <w:tl2br w:val="nil"/>
              <w:tr2bl w:val="nil"/>
            </w:tcBorders>
            <w:noWrap w:val="0"/>
            <w:vAlign w:val="center"/>
          </w:tcPr>
          <w:p w14:paraId="67A2133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675" w:type="dxa"/>
            <w:tcBorders>
              <w:tl2br w:val="nil"/>
              <w:tr2bl w:val="nil"/>
            </w:tcBorders>
            <w:noWrap w:val="0"/>
            <w:vAlign w:val="center"/>
          </w:tcPr>
          <w:p w14:paraId="3578FA0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因素</w:t>
            </w:r>
          </w:p>
        </w:tc>
        <w:tc>
          <w:tcPr>
            <w:tcW w:w="945" w:type="dxa"/>
            <w:tcBorders>
              <w:tl2br w:val="nil"/>
              <w:tr2bl w:val="nil"/>
            </w:tcBorders>
            <w:noWrap w:val="0"/>
            <w:vAlign w:val="center"/>
          </w:tcPr>
          <w:p w14:paraId="278EB4B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权重分值</w:t>
            </w:r>
          </w:p>
        </w:tc>
        <w:tc>
          <w:tcPr>
            <w:tcW w:w="1845" w:type="dxa"/>
            <w:tcBorders>
              <w:tl2br w:val="nil"/>
              <w:tr2bl w:val="nil"/>
            </w:tcBorders>
            <w:noWrap w:val="0"/>
            <w:vAlign w:val="center"/>
          </w:tcPr>
          <w:p w14:paraId="5B1817C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各评分因素细分项</w:t>
            </w:r>
          </w:p>
        </w:tc>
        <w:tc>
          <w:tcPr>
            <w:tcW w:w="855" w:type="dxa"/>
            <w:tcBorders>
              <w:tl2br w:val="nil"/>
              <w:tr2bl w:val="nil"/>
            </w:tcBorders>
            <w:noWrap w:val="0"/>
            <w:vAlign w:val="center"/>
          </w:tcPr>
          <w:p w14:paraId="33F4A2A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4303" w:type="dxa"/>
            <w:vMerge w:val="continue"/>
            <w:tcBorders>
              <w:tl2br w:val="nil"/>
              <w:tr2bl w:val="nil"/>
            </w:tcBorders>
            <w:noWrap w:val="0"/>
            <w:vAlign w:val="center"/>
          </w:tcPr>
          <w:p w14:paraId="47CDA4B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p>
        </w:tc>
      </w:tr>
      <w:tr w14:paraId="236BD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noWrap w:val="0"/>
            <w:vAlign w:val="center"/>
          </w:tcPr>
          <w:p w14:paraId="446779B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（1）</w:t>
            </w:r>
          </w:p>
        </w:tc>
        <w:tc>
          <w:tcPr>
            <w:tcW w:w="675" w:type="dxa"/>
            <w:vMerge w:val="restart"/>
            <w:tcBorders>
              <w:tl2br w:val="nil"/>
              <w:tr2bl w:val="nil"/>
            </w:tcBorders>
            <w:noWrap w:val="0"/>
            <w:vAlign w:val="center"/>
          </w:tcPr>
          <w:p w14:paraId="077F79E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tc>
        <w:tc>
          <w:tcPr>
            <w:tcW w:w="945" w:type="dxa"/>
            <w:vMerge w:val="restart"/>
            <w:tcBorders>
              <w:tl2br w:val="nil"/>
              <w:tr2bl w:val="nil"/>
            </w:tcBorders>
            <w:noWrap w:val="0"/>
            <w:vAlign w:val="center"/>
          </w:tcPr>
          <w:p w14:paraId="4253374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t>分</w:t>
            </w:r>
          </w:p>
        </w:tc>
        <w:tc>
          <w:tcPr>
            <w:tcW w:w="1845" w:type="dxa"/>
            <w:tcBorders>
              <w:tl2br w:val="nil"/>
              <w:tr2bl w:val="nil"/>
            </w:tcBorders>
            <w:noWrap w:val="0"/>
            <w:vAlign w:val="center"/>
          </w:tcPr>
          <w:p w14:paraId="77794300">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总体施工组织布置及规划</w:t>
            </w:r>
          </w:p>
        </w:tc>
        <w:tc>
          <w:tcPr>
            <w:tcW w:w="855" w:type="dxa"/>
            <w:tcBorders>
              <w:tl2br w:val="nil"/>
              <w:tr2bl w:val="nil"/>
            </w:tcBorders>
            <w:noWrap w:val="0"/>
            <w:vAlign w:val="center"/>
          </w:tcPr>
          <w:p w14:paraId="4504B9A7">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noWrap w:val="0"/>
            <w:vAlign w:val="center"/>
          </w:tcPr>
          <w:p w14:paraId="6749736C">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按招标文件要求编制总体布置及规划</w:t>
            </w:r>
            <w:r>
              <w:rPr>
                <w:rFonts w:hint="eastAsia" w:ascii="宋体" w:hAnsi="宋体" w:eastAsia="宋体" w:cs="宋体"/>
                <w:kern w:val="0"/>
                <w:sz w:val="21"/>
                <w:szCs w:val="21"/>
                <w:highlight w:val="none"/>
              </w:rPr>
              <w:t>得6</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酌情加分，最高加4.0分。</w:t>
            </w:r>
          </w:p>
        </w:tc>
      </w:tr>
      <w:tr w14:paraId="4021E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29FA942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703F71E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325431D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noWrap w:val="0"/>
            <w:vAlign w:val="center"/>
          </w:tcPr>
          <w:p w14:paraId="1D198A5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主要工程项目的施工方案、方法与技术措施</w:t>
            </w:r>
          </w:p>
        </w:tc>
        <w:tc>
          <w:tcPr>
            <w:tcW w:w="855" w:type="dxa"/>
            <w:tcBorders>
              <w:tl2br w:val="nil"/>
              <w:tr2bl w:val="nil"/>
            </w:tcBorders>
            <w:noWrap w:val="0"/>
            <w:vAlign w:val="center"/>
          </w:tcPr>
          <w:p w14:paraId="1B2F9682">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noWrap w:val="0"/>
            <w:vAlign w:val="center"/>
          </w:tcPr>
          <w:p w14:paraId="6158DEBB">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按招标文件要求编制主要工程项目的施工方案、方法与技术措施</w:t>
            </w:r>
            <w:r>
              <w:rPr>
                <w:rFonts w:hint="eastAsia" w:ascii="宋体" w:hAnsi="宋体" w:eastAsia="宋体" w:cs="宋体"/>
                <w:kern w:val="0"/>
                <w:sz w:val="21"/>
                <w:szCs w:val="21"/>
                <w:highlight w:val="none"/>
              </w:rPr>
              <w:t>得9</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酌情加分，最高加6.0分。</w:t>
            </w:r>
          </w:p>
        </w:tc>
      </w:tr>
      <w:tr w14:paraId="4556B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71024A74">
            <w:pPr>
              <w:keepNext w:val="0"/>
              <w:keepLines w:val="0"/>
              <w:pageBreakBefore w:val="0"/>
              <w:kinsoku/>
              <w:wordWrap/>
              <w:overflowPunct/>
              <w:topLinePunct w:val="0"/>
              <w:autoSpaceDE/>
              <w:autoSpaceDN/>
              <w:bidi w:val="0"/>
              <w:adjustRightInd w:val="0"/>
              <w:snapToGrid w:val="0"/>
              <w:spacing w:line="360" w:lineRule="exact"/>
              <w:jc w:val="right"/>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705255A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21A363E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noWrap w:val="0"/>
            <w:vAlign w:val="center"/>
          </w:tcPr>
          <w:p w14:paraId="412405BD">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各类</w:t>
            </w:r>
            <w:r>
              <w:rPr>
                <w:rFonts w:hint="eastAsia" w:ascii="宋体" w:hAnsi="宋体" w:eastAsia="宋体" w:cs="宋体"/>
                <w:bCs/>
                <w:color w:val="auto"/>
                <w:sz w:val="21"/>
                <w:szCs w:val="21"/>
                <w:highlight w:val="none"/>
                <w:lang w:val="zh-CN"/>
              </w:rPr>
              <w:t>保证体系及保证措施</w:t>
            </w:r>
          </w:p>
        </w:tc>
        <w:tc>
          <w:tcPr>
            <w:tcW w:w="855" w:type="dxa"/>
            <w:tcBorders>
              <w:tl2br w:val="nil"/>
              <w:tr2bl w:val="nil"/>
            </w:tcBorders>
            <w:noWrap w:val="0"/>
            <w:vAlign w:val="center"/>
          </w:tcPr>
          <w:p w14:paraId="597E6D3C">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noWrap w:val="0"/>
            <w:vAlign w:val="center"/>
          </w:tcPr>
          <w:p w14:paraId="0E571BB1">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按招标文件要求编制工期、质量、安全生产、文明施工等保证体系及措施</w:t>
            </w:r>
            <w:r>
              <w:rPr>
                <w:rFonts w:hint="eastAsia" w:ascii="宋体" w:hAnsi="宋体" w:eastAsia="宋体" w:cs="宋体"/>
                <w:kern w:val="0"/>
                <w:sz w:val="21"/>
                <w:szCs w:val="21"/>
                <w:highlight w:val="none"/>
              </w:rPr>
              <w:t>得6</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酌情加分，最高加4.0分。</w:t>
            </w:r>
          </w:p>
        </w:tc>
      </w:tr>
      <w:tr w14:paraId="6C25C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1486E6A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2EE67C3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61C01F6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noWrap w:val="0"/>
            <w:vAlign w:val="center"/>
          </w:tcPr>
          <w:p w14:paraId="61C026E0">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项目风险预测与防范，事故应急预案</w:t>
            </w:r>
          </w:p>
        </w:tc>
        <w:tc>
          <w:tcPr>
            <w:tcW w:w="855" w:type="dxa"/>
            <w:tcBorders>
              <w:tl2br w:val="nil"/>
              <w:tr2bl w:val="nil"/>
            </w:tcBorders>
            <w:noWrap w:val="0"/>
            <w:vAlign w:val="center"/>
          </w:tcPr>
          <w:p w14:paraId="7F062E89">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4303" w:type="dxa"/>
            <w:tcBorders>
              <w:tl2br w:val="nil"/>
              <w:tr2bl w:val="nil"/>
            </w:tcBorders>
            <w:noWrap w:val="0"/>
            <w:vAlign w:val="top"/>
          </w:tcPr>
          <w:p w14:paraId="1F883FB3">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shd w:val="clear" w:color="auto" w:fill="FFFFFF"/>
              </w:rPr>
              <w:t>按招标文件要求编制事故应急预案</w:t>
            </w:r>
            <w:r>
              <w:rPr>
                <w:rFonts w:hint="eastAsia" w:ascii="宋体" w:hAnsi="宋体" w:eastAsia="宋体" w:cs="宋体"/>
                <w:kern w:val="0"/>
                <w:sz w:val="21"/>
                <w:szCs w:val="21"/>
                <w:highlight w:val="none"/>
              </w:rPr>
              <w:t>得3</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酌情加分，最高加2.0分。</w:t>
            </w:r>
          </w:p>
        </w:tc>
      </w:tr>
      <w:tr w14:paraId="301F8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noWrap w:val="0"/>
            <w:vAlign w:val="center"/>
          </w:tcPr>
          <w:p w14:paraId="1ADC19D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（2）</w:t>
            </w:r>
          </w:p>
        </w:tc>
        <w:tc>
          <w:tcPr>
            <w:tcW w:w="675" w:type="dxa"/>
            <w:vMerge w:val="restart"/>
            <w:tcBorders>
              <w:tl2br w:val="nil"/>
              <w:tr2bl w:val="nil"/>
            </w:tcBorders>
            <w:noWrap w:val="0"/>
            <w:vAlign w:val="center"/>
          </w:tcPr>
          <w:p w14:paraId="757052E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47AB737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45" w:type="dxa"/>
            <w:vMerge w:val="restart"/>
            <w:tcBorders>
              <w:tl2br w:val="nil"/>
              <w:tr2bl w:val="nil"/>
            </w:tcBorders>
            <w:noWrap w:val="0"/>
            <w:vAlign w:val="center"/>
          </w:tcPr>
          <w:p w14:paraId="6E8274D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t>分</w:t>
            </w:r>
          </w:p>
        </w:tc>
        <w:tc>
          <w:tcPr>
            <w:tcW w:w="1845" w:type="dxa"/>
            <w:tcBorders>
              <w:tl2br w:val="nil"/>
              <w:tr2bl w:val="nil"/>
            </w:tcBorders>
            <w:noWrap w:val="0"/>
            <w:vAlign w:val="center"/>
          </w:tcPr>
          <w:p w14:paraId="19767CF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p w14:paraId="337D56B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noWrap w:val="0"/>
            <w:vAlign w:val="center"/>
          </w:tcPr>
          <w:p w14:paraId="381E614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c>
          <w:tcPr>
            <w:tcW w:w="4303" w:type="dxa"/>
            <w:tcBorders>
              <w:tl2br w:val="nil"/>
              <w:tr2bl w:val="nil"/>
            </w:tcBorders>
            <w:noWrap w:val="0"/>
            <w:vAlign w:val="center"/>
          </w:tcPr>
          <w:p w14:paraId="4A434498">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9分</w:t>
            </w:r>
            <w:r>
              <w:rPr>
                <w:rFonts w:hint="eastAsia" w:ascii="宋体" w:hAnsi="宋体" w:eastAsia="宋体" w:cs="宋体"/>
                <w:sz w:val="21"/>
                <w:szCs w:val="21"/>
                <w:highlight w:val="none"/>
              </w:rPr>
              <w:t>。</w:t>
            </w:r>
          </w:p>
          <w:p w14:paraId="403C2C8B">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在满足最低要求的基础上，</w:t>
            </w:r>
            <w:r>
              <w:rPr>
                <w:rFonts w:hint="eastAsia" w:ascii="宋体" w:hAnsi="宋体" w:eastAsia="宋体" w:cs="宋体"/>
                <w:sz w:val="21"/>
                <w:szCs w:val="21"/>
                <w:highlight w:val="none"/>
              </w:rPr>
              <w:t>每提供</w:t>
            </w:r>
            <w:r>
              <w:rPr>
                <w:rFonts w:hint="eastAsia" w:ascii="宋体" w:hAnsi="宋体" w:eastAsia="宋体" w:cs="宋体"/>
                <w:sz w:val="21"/>
                <w:szCs w:val="21"/>
                <w:highlight w:val="none"/>
                <w:lang w:val="en-US" w:eastAsia="zh-CN"/>
              </w:rPr>
              <w:t>1项</w:t>
            </w:r>
            <w:r>
              <w:rPr>
                <w:rFonts w:hint="eastAsia" w:ascii="宋体" w:hAnsi="宋体" w:eastAsia="宋体" w:cs="宋体"/>
                <w:kern w:val="0"/>
                <w:sz w:val="21"/>
                <w:szCs w:val="21"/>
                <w:highlight w:val="none"/>
                <w:lang w:val="en-US" w:eastAsia="zh-CN"/>
              </w:rPr>
              <w:t>二级（含）以上</w:t>
            </w:r>
            <w:r>
              <w:rPr>
                <w:rFonts w:hint="eastAsia" w:ascii="宋体" w:hAnsi="宋体" w:eastAsia="宋体" w:cs="宋体"/>
                <w:sz w:val="21"/>
                <w:szCs w:val="21"/>
                <w:highlight w:val="none"/>
                <w:lang w:val="en-US" w:eastAsia="zh-CN"/>
              </w:rPr>
              <w:t>公路</w:t>
            </w:r>
            <w:r>
              <w:rPr>
                <w:rFonts w:hint="eastAsia" w:ascii="宋体" w:hAnsi="宋体" w:eastAsia="宋体" w:cs="宋体"/>
                <w:sz w:val="21"/>
                <w:szCs w:val="21"/>
                <w:highlight w:val="none"/>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大中修工程或路面改造</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sz w:val="21"/>
                <w:szCs w:val="21"/>
                <w:highlight w:val="none"/>
              </w:rPr>
              <w:t>施工的</w:t>
            </w:r>
            <w:r>
              <w:rPr>
                <w:rFonts w:hint="eastAsia" w:ascii="宋体" w:hAnsi="宋体" w:eastAsia="宋体" w:cs="宋体"/>
                <w:sz w:val="21"/>
                <w:szCs w:val="21"/>
                <w:highlight w:val="none"/>
              </w:rPr>
              <w:t>项目经理</w:t>
            </w:r>
            <w:r>
              <w:rPr>
                <w:rFonts w:hint="eastAsia" w:ascii="宋体" w:hAnsi="宋体" w:eastAsia="宋体" w:cs="宋体"/>
                <w:sz w:val="21"/>
                <w:szCs w:val="21"/>
                <w:highlight w:val="none"/>
              </w:rPr>
              <w:t>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w:t>
            </w:r>
          </w:p>
        </w:tc>
      </w:tr>
      <w:tr w14:paraId="074C6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3697166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526C463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2228956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noWrap w:val="0"/>
            <w:vAlign w:val="center"/>
          </w:tcPr>
          <w:p w14:paraId="62597E2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w:t>
            </w:r>
          </w:p>
          <w:p w14:paraId="46C5070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noWrap w:val="0"/>
            <w:vAlign w:val="center"/>
          </w:tcPr>
          <w:p w14:paraId="798A938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noWrap w:val="0"/>
            <w:vAlign w:val="center"/>
          </w:tcPr>
          <w:p w14:paraId="569049D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6分</w:t>
            </w:r>
            <w:r>
              <w:rPr>
                <w:rFonts w:hint="eastAsia" w:ascii="宋体" w:hAnsi="宋体" w:eastAsia="宋体" w:cs="宋体"/>
                <w:sz w:val="21"/>
                <w:szCs w:val="21"/>
                <w:highlight w:val="none"/>
              </w:rPr>
              <w:t>。</w:t>
            </w:r>
          </w:p>
          <w:p w14:paraId="123E2DC4">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在满足最低要求的基础上，</w:t>
            </w:r>
            <w:r>
              <w:rPr>
                <w:rFonts w:hint="eastAsia" w:ascii="宋体" w:hAnsi="宋体" w:eastAsia="宋体" w:cs="宋体"/>
                <w:sz w:val="21"/>
                <w:szCs w:val="21"/>
                <w:highlight w:val="none"/>
              </w:rPr>
              <w:t>每提供</w:t>
            </w:r>
            <w:r>
              <w:rPr>
                <w:rFonts w:hint="eastAsia" w:ascii="宋体" w:hAnsi="宋体" w:eastAsia="宋体" w:cs="宋体"/>
                <w:sz w:val="21"/>
                <w:szCs w:val="21"/>
                <w:highlight w:val="none"/>
                <w:lang w:val="en-US" w:eastAsia="zh-CN"/>
              </w:rPr>
              <w:t>1项</w:t>
            </w:r>
            <w:r>
              <w:rPr>
                <w:rFonts w:hint="eastAsia" w:ascii="宋体" w:hAnsi="宋体" w:eastAsia="宋体" w:cs="宋体"/>
                <w:kern w:val="0"/>
                <w:sz w:val="21"/>
                <w:szCs w:val="21"/>
                <w:highlight w:val="none"/>
                <w:lang w:val="en-US" w:eastAsia="zh-CN"/>
              </w:rPr>
              <w:t>二级（含）以上</w:t>
            </w:r>
            <w:r>
              <w:rPr>
                <w:rFonts w:hint="eastAsia" w:ascii="宋体" w:hAnsi="宋体" w:eastAsia="宋体" w:cs="宋体"/>
                <w:sz w:val="21"/>
                <w:szCs w:val="21"/>
                <w:highlight w:val="none"/>
                <w:lang w:val="en-US" w:eastAsia="zh-CN"/>
              </w:rPr>
              <w:t>公路</w:t>
            </w:r>
            <w:r>
              <w:rPr>
                <w:rFonts w:hint="eastAsia" w:ascii="宋体" w:hAnsi="宋体" w:eastAsia="宋体" w:cs="宋体"/>
                <w:sz w:val="21"/>
                <w:szCs w:val="21"/>
                <w:highlight w:val="none"/>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大中修工程或路面改造</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sz w:val="21"/>
                <w:szCs w:val="21"/>
                <w:highlight w:val="none"/>
              </w:rPr>
              <w:t>施工的</w:t>
            </w:r>
            <w:r>
              <w:rPr>
                <w:rFonts w:hint="eastAsia" w:ascii="宋体" w:hAnsi="宋体" w:eastAsia="宋体" w:cs="宋体"/>
                <w:sz w:val="21"/>
                <w:szCs w:val="21"/>
                <w:highlight w:val="none"/>
              </w:rPr>
              <w:t>项目</w:t>
            </w:r>
            <w:r>
              <w:rPr>
                <w:rFonts w:hint="eastAsia" w:ascii="宋体" w:hAnsi="宋体" w:eastAsia="宋体" w:cs="宋体"/>
                <w:sz w:val="21"/>
                <w:szCs w:val="21"/>
                <w:highlight w:val="none"/>
              </w:rPr>
              <w:t>总工业绩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w:t>
            </w:r>
          </w:p>
        </w:tc>
      </w:tr>
      <w:tr w14:paraId="3414C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noWrap w:val="0"/>
            <w:vAlign w:val="center"/>
          </w:tcPr>
          <w:p w14:paraId="7A3305D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2.2.2(3)</w:t>
            </w:r>
          </w:p>
        </w:tc>
        <w:tc>
          <w:tcPr>
            <w:tcW w:w="675" w:type="dxa"/>
            <w:vMerge w:val="restart"/>
            <w:tcBorders>
              <w:tl2br w:val="nil"/>
              <w:tr2bl w:val="nil"/>
            </w:tcBorders>
            <w:noWrap w:val="0"/>
            <w:vAlign w:val="center"/>
          </w:tcPr>
          <w:p w14:paraId="1737848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rPr>
              <w:t>他因素</w:t>
            </w:r>
          </w:p>
        </w:tc>
        <w:tc>
          <w:tcPr>
            <w:tcW w:w="945" w:type="dxa"/>
            <w:vMerge w:val="restart"/>
            <w:tcBorders>
              <w:tl2br w:val="nil"/>
              <w:tr2bl w:val="nil"/>
            </w:tcBorders>
            <w:noWrap w:val="0"/>
            <w:vAlign w:val="center"/>
          </w:tcPr>
          <w:p w14:paraId="5FC893D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35分</w:t>
            </w:r>
          </w:p>
        </w:tc>
        <w:tc>
          <w:tcPr>
            <w:tcW w:w="1845" w:type="dxa"/>
            <w:vMerge w:val="restart"/>
            <w:tcBorders>
              <w:tl2br w:val="nil"/>
              <w:tr2bl w:val="nil"/>
            </w:tcBorders>
            <w:noWrap w:val="0"/>
            <w:vAlign w:val="center"/>
          </w:tcPr>
          <w:p w14:paraId="69D7D3C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企业业</w:t>
            </w:r>
            <w:r>
              <w:rPr>
                <w:rFonts w:hint="eastAsia" w:ascii="宋体" w:hAnsi="宋体" w:eastAsia="宋体" w:cs="宋体"/>
                <w:color w:val="auto"/>
                <w:sz w:val="21"/>
                <w:szCs w:val="21"/>
                <w:highlight w:val="none"/>
              </w:rPr>
              <w:t>绩</w:t>
            </w:r>
          </w:p>
        </w:tc>
        <w:tc>
          <w:tcPr>
            <w:tcW w:w="855" w:type="dxa"/>
            <w:vMerge w:val="restart"/>
            <w:tcBorders>
              <w:tl2br w:val="nil"/>
              <w:tr2bl w:val="nil"/>
            </w:tcBorders>
            <w:noWrap w:val="0"/>
            <w:vAlign w:val="center"/>
          </w:tcPr>
          <w:p w14:paraId="7C6AEC51">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20分</w:t>
            </w:r>
          </w:p>
        </w:tc>
        <w:tc>
          <w:tcPr>
            <w:tcW w:w="4303" w:type="dxa"/>
            <w:tcBorders>
              <w:tl2br w:val="nil"/>
              <w:tr2bl w:val="nil"/>
            </w:tcBorders>
            <w:noWrap w:val="0"/>
            <w:vAlign w:val="center"/>
          </w:tcPr>
          <w:p w14:paraId="21050F3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投标人通过初步评审得12分。</w:t>
            </w:r>
          </w:p>
        </w:tc>
      </w:tr>
      <w:tr w14:paraId="62077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486405A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4689209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4FD0188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noWrap w:val="0"/>
            <w:vAlign w:val="center"/>
          </w:tcPr>
          <w:p w14:paraId="6B49CA4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855" w:type="dxa"/>
            <w:vMerge w:val="continue"/>
            <w:tcBorders>
              <w:tl2br w:val="nil"/>
              <w:tr2bl w:val="nil"/>
            </w:tcBorders>
            <w:noWrap w:val="0"/>
            <w:vAlign w:val="center"/>
          </w:tcPr>
          <w:p w14:paraId="4D57804D">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4303" w:type="dxa"/>
            <w:tcBorders>
              <w:tl2br w:val="nil"/>
              <w:tr2bl w:val="nil"/>
            </w:tcBorders>
            <w:noWrap w:val="0"/>
            <w:vAlign w:val="center"/>
          </w:tcPr>
          <w:p w14:paraId="2D9E283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JL26YH06标段：2021年1月1日以后</w:t>
            </w:r>
            <w:r>
              <w:rPr>
                <w:rFonts w:hint="eastAsia" w:ascii="宋体" w:hAnsi="宋体" w:eastAsia="宋体" w:cs="宋体"/>
                <w:color w:val="auto"/>
                <w:sz w:val="21"/>
                <w:szCs w:val="21"/>
                <w:highlight w:val="none"/>
                <w:shd w:val="clear" w:color="auto" w:fill="FFFFFF"/>
              </w:rPr>
              <w:t>累计完成过</w:t>
            </w:r>
            <w:r>
              <w:rPr>
                <w:rFonts w:hint="eastAsia" w:ascii="宋体" w:hAnsi="宋体" w:eastAsia="宋体" w:cs="宋体"/>
                <w:color w:val="auto"/>
                <w:sz w:val="21"/>
                <w:szCs w:val="21"/>
                <w:highlight w:val="none"/>
                <w:shd w:val="clear" w:color="auto" w:fill="FFFFFF"/>
                <w:lang w:val="en-US" w:eastAsia="zh-CN"/>
              </w:rPr>
              <w:t>22</w:t>
            </w:r>
            <w:r>
              <w:rPr>
                <w:rFonts w:hint="eastAsia" w:ascii="宋体" w:hAnsi="宋体" w:eastAsia="宋体" w:cs="宋体"/>
                <w:color w:val="auto"/>
                <w:sz w:val="21"/>
                <w:szCs w:val="21"/>
                <w:highlight w:val="none"/>
                <w:shd w:val="clear" w:color="auto" w:fill="FFFFFF"/>
              </w:rPr>
              <w:t>公里</w:t>
            </w:r>
            <w:r>
              <w:rPr>
                <w:rFonts w:hint="eastAsia" w:ascii="宋体" w:hAnsi="宋体" w:eastAsia="宋体" w:cs="宋体"/>
                <w:color w:val="auto"/>
                <w:sz w:val="21"/>
                <w:szCs w:val="21"/>
                <w:highlight w:val="none"/>
                <w:shd w:val="clear" w:color="auto" w:fill="FFFFFF"/>
                <w:lang w:val="en-US" w:eastAsia="zh-CN"/>
              </w:rPr>
              <w:t>二级（含）以上公路</w:t>
            </w:r>
            <w:r>
              <w:rPr>
                <w:rFonts w:hint="eastAsia" w:ascii="宋体" w:hAnsi="宋体" w:eastAsia="宋体" w:cs="宋体"/>
                <w:color w:val="auto"/>
                <w:sz w:val="21"/>
                <w:szCs w:val="21"/>
                <w:highlight w:val="none"/>
                <w:shd w:val="clear" w:color="auto" w:fill="FFFFFF"/>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shd w:val="clear" w:color="auto" w:fill="FFFFFF"/>
              </w:rPr>
              <w:t>养护工程（</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大中修工程或路面改造</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)的施工业绩（高速公路、一级公路全幅按2倍长度计算，半幅按1倍长度计算）</w:t>
            </w:r>
            <w:r>
              <w:rPr>
                <w:rFonts w:hint="eastAsia" w:ascii="宋体" w:hAnsi="宋体" w:eastAsia="宋体" w:cs="宋体"/>
                <w:color w:val="auto"/>
                <w:sz w:val="21"/>
                <w:szCs w:val="21"/>
                <w:highlight w:val="none"/>
                <w:shd w:val="clear" w:color="auto" w:fill="FFFFFF"/>
                <w:lang w:val="en-US" w:eastAsia="zh-CN"/>
              </w:rPr>
              <w:t>加8</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22公里得分按照0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8分之间</w:t>
            </w:r>
            <w:r>
              <w:rPr>
                <w:rFonts w:hint="eastAsia" w:ascii="宋体" w:hAnsi="宋体" w:eastAsia="宋体" w:cs="宋体"/>
                <w:color w:val="auto"/>
                <w:sz w:val="21"/>
                <w:szCs w:val="21"/>
                <w:highlight w:val="none"/>
                <w:shd w:val="clear" w:color="auto" w:fill="FFFFFF"/>
              </w:rPr>
              <w:t>内插计算（保留两位小数）。</w:t>
            </w:r>
          </w:p>
          <w:p w14:paraId="2CDC1B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JL26YH07标段：</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年1月1日以后</w:t>
            </w:r>
            <w:r>
              <w:rPr>
                <w:rFonts w:hint="eastAsia" w:ascii="宋体" w:hAnsi="宋体" w:eastAsia="宋体" w:cs="宋体"/>
                <w:color w:val="auto"/>
                <w:sz w:val="21"/>
                <w:szCs w:val="21"/>
                <w:highlight w:val="none"/>
                <w:shd w:val="clear" w:color="auto" w:fill="FFFFFF"/>
              </w:rPr>
              <w:t>累计完成过</w:t>
            </w:r>
            <w:r>
              <w:rPr>
                <w:rFonts w:hint="eastAsia" w:ascii="宋体" w:hAnsi="宋体" w:eastAsia="宋体" w:cs="宋体"/>
                <w:color w:val="auto"/>
                <w:sz w:val="21"/>
                <w:szCs w:val="21"/>
                <w:highlight w:val="none"/>
                <w:shd w:val="clear" w:color="auto" w:fill="FFFFFF"/>
                <w:lang w:val="en-US" w:eastAsia="zh-CN"/>
              </w:rPr>
              <w:t>15</w:t>
            </w:r>
            <w:r>
              <w:rPr>
                <w:rFonts w:hint="eastAsia" w:ascii="宋体" w:hAnsi="宋体" w:eastAsia="宋体" w:cs="宋体"/>
                <w:color w:val="auto"/>
                <w:sz w:val="21"/>
                <w:szCs w:val="21"/>
                <w:highlight w:val="none"/>
                <w:shd w:val="clear" w:color="auto" w:fill="FFFFFF"/>
              </w:rPr>
              <w:t>公里</w:t>
            </w:r>
            <w:r>
              <w:rPr>
                <w:rFonts w:hint="eastAsia" w:ascii="宋体" w:hAnsi="宋体" w:eastAsia="宋体" w:cs="宋体"/>
                <w:color w:val="auto"/>
                <w:sz w:val="21"/>
                <w:szCs w:val="21"/>
                <w:highlight w:val="none"/>
                <w:shd w:val="clear" w:color="auto" w:fill="FFFFFF"/>
                <w:lang w:val="en-US" w:eastAsia="zh-CN"/>
              </w:rPr>
              <w:t>二级（含）以上公路</w:t>
            </w:r>
            <w:r>
              <w:rPr>
                <w:rFonts w:hint="eastAsia" w:ascii="宋体" w:hAnsi="宋体" w:eastAsia="宋体" w:cs="宋体"/>
                <w:color w:val="auto"/>
                <w:sz w:val="21"/>
                <w:szCs w:val="21"/>
                <w:highlight w:val="none"/>
                <w:shd w:val="clear" w:color="auto" w:fill="FFFFFF"/>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shd w:val="clear" w:color="auto" w:fill="FFFFFF"/>
              </w:rPr>
              <w:t>养护工程（</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大中修工程或路面改造</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)的施工业绩（高速公路、一级公路全幅按2倍长度计算，半幅按1倍长度计算）</w:t>
            </w:r>
            <w:r>
              <w:rPr>
                <w:rFonts w:hint="eastAsia" w:ascii="宋体" w:hAnsi="宋体" w:eastAsia="宋体" w:cs="宋体"/>
                <w:color w:val="auto"/>
                <w:sz w:val="21"/>
                <w:szCs w:val="21"/>
                <w:highlight w:val="none"/>
                <w:shd w:val="clear" w:color="auto" w:fill="FFFFFF"/>
                <w:lang w:val="en-US" w:eastAsia="zh-CN"/>
              </w:rPr>
              <w:t>加8</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15公里得分按照0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8分之间</w:t>
            </w:r>
            <w:r>
              <w:rPr>
                <w:rFonts w:hint="eastAsia" w:ascii="宋体" w:hAnsi="宋体" w:eastAsia="宋体" w:cs="宋体"/>
                <w:color w:val="auto"/>
                <w:sz w:val="21"/>
                <w:szCs w:val="21"/>
                <w:highlight w:val="none"/>
                <w:shd w:val="clear" w:color="auto" w:fill="FFFFFF"/>
              </w:rPr>
              <w:t>内插计算（保留两位小数）。</w:t>
            </w:r>
          </w:p>
          <w:p w14:paraId="649D64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JL26YH08标段：</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年1月1日以后</w:t>
            </w:r>
            <w:r>
              <w:rPr>
                <w:rFonts w:hint="eastAsia" w:ascii="宋体" w:hAnsi="宋体" w:eastAsia="宋体" w:cs="宋体"/>
                <w:color w:val="auto"/>
                <w:sz w:val="21"/>
                <w:szCs w:val="21"/>
                <w:highlight w:val="none"/>
                <w:shd w:val="clear" w:color="auto" w:fill="FFFFFF"/>
              </w:rPr>
              <w:t>累计完成过</w:t>
            </w:r>
            <w:r>
              <w:rPr>
                <w:rFonts w:hint="eastAsia" w:ascii="宋体" w:hAnsi="宋体" w:eastAsia="宋体" w:cs="宋体"/>
                <w:color w:val="auto"/>
                <w:sz w:val="21"/>
                <w:szCs w:val="21"/>
                <w:highlight w:val="none"/>
                <w:shd w:val="clear" w:color="auto" w:fill="FFFFFF"/>
                <w:lang w:val="en-US" w:eastAsia="zh-CN"/>
              </w:rPr>
              <w:t>18</w:t>
            </w:r>
            <w:r>
              <w:rPr>
                <w:rFonts w:hint="eastAsia" w:ascii="宋体" w:hAnsi="宋体" w:eastAsia="宋体" w:cs="宋体"/>
                <w:color w:val="auto"/>
                <w:sz w:val="21"/>
                <w:szCs w:val="21"/>
                <w:highlight w:val="none"/>
                <w:shd w:val="clear" w:color="auto" w:fill="FFFFFF"/>
              </w:rPr>
              <w:t>公里</w:t>
            </w:r>
            <w:r>
              <w:rPr>
                <w:rFonts w:hint="eastAsia" w:ascii="宋体" w:hAnsi="宋体" w:eastAsia="宋体" w:cs="宋体"/>
                <w:color w:val="auto"/>
                <w:sz w:val="21"/>
                <w:szCs w:val="21"/>
                <w:highlight w:val="none"/>
                <w:shd w:val="clear" w:color="auto" w:fill="FFFFFF"/>
                <w:lang w:val="en-US" w:eastAsia="zh-CN"/>
              </w:rPr>
              <w:t>二级（含）以上公路</w:t>
            </w:r>
            <w:r>
              <w:rPr>
                <w:rFonts w:hint="eastAsia" w:ascii="宋体" w:hAnsi="宋体" w:eastAsia="宋体" w:cs="宋体"/>
                <w:color w:val="auto"/>
                <w:sz w:val="21"/>
                <w:szCs w:val="21"/>
                <w:highlight w:val="none"/>
                <w:shd w:val="clear" w:color="auto" w:fill="FFFFFF"/>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shd w:val="clear" w:color="auto" w:fill="FFFFFF"/>
              </w:rPr>
              <w:t>养护工程（</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大中修工程或路面改造</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)的施工业绩（高速公路、一级公路全幅按2倍长度计算，半幅按1倍长度计算）</w:t>
            </w:r>
            <w:r>
              <w:rPr>
                <w:rFonts w:hint="eastAsia" w:ascii="宋体" w:hAnsi="宋体" w:eastAsia="宋体" w:cs="宋体"/>
                <w:color w:val="auto"/>
                <w:sz w:val="21"/>
                <w:szCs w:val="21"/>
                <w:highlight w:val="none"/>
                <w:shd w:val="clear" w:color="auto" w:fill="FFFFFF"/>
                <w:lang w:val="en-US" w:eastAsia="zh-CN"/>
              </w:rPr>
              <w:t>加8</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18公里得分按照0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8分之间</w:t>
            </w:r>
            <w:r>
              <w:rPr>
                <w:rFonts w:hint="eastAsia" w:ascii="宋体" w:hAnsi="宋体" w:eastAsia="宋体" w:cs="宋体"/>
                <w:color w:val="auto"/>
                <w:sz w:val="21"/>
                <w:szCs w:val="21"/>
                <w:highlight w:val="none"/>
                <w:shd w:val="clear" w:color="auto" w:fill="FFFFFF"/>
              </w:rPr>
              <w:t>内插计算（保留两位小数）。</w:t>
            </w:r>
          </w:p>
          <w:p w14:paraId="1813C9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JL26YH09标段：</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年1月1日以后</w:t>
            </w:r>
            <w:r>
              <w:rPr>
                <w:rFonts w:hint="eastAsia" w:ascii="宋体" w:hAnsi="宋体" w:eastAsia="宋体" w:cs="宋体"/>
                <w:color w:val="auto"/>
                <w:sz w:val="21"/>
                <w:szCs w:val="21"/>
                <w:highlight w:val="none"/>
                <w:shd w:val="clear" w:color="auto" w:fill="FFFFFF"/>
              </w:rPr>
              <w:t>累计完成过</w:t>
            </w:r>
            <w:r>
              <w:rPr>
                <w:rFonts w:hint="eastAsia" w:ascii="宋体" w:hAnsi="宋体" w:eastAsia="宋体" w:cs="宋体"/>
                <w:color w:val="auto"/>
                <w:sz w:val="21"/>
                <w:szCs w:val="21"/>
                <w:highlight w:val="none"/>
                <w:shd w:val="clear" w:color="auto" w:fill="FFFFFF"/>
                <w:lang w:val="en-US" w:eastAsia="zh-CN"/>
              </w:rPr>
              <w:t>18</w:t>
            </w:r>
            <w:r>
              <w:rPr>
                <w:rFonts w:hint="eastAsia" w:ascii="宋体" w:hAnsi="宋体" w:eastAsia="宋体" w:cs="宋体"/>
                <w:color w:val="auto"/>
                <w:sz w:val="21"/>
                <w:szCs w:val="21"/>
                <w:highlight w:val="none"/>
                <w:shd w:val="clear" w:color="auto" w:fill="FFFFFF"/>
              </w:rPr>
              <w:t>公里</w:t>
            </w:r>
            <w:r>
              <w:rPr>
                <w:rFonts w:hint="eastAsia" w:ascii="宋体" w:hAnsi="宋体" w:eastAsia="宋体" w:cs="宋体"/>
                <w:color w:val="auto"/>
                <w:sz w:val="21"/>
                <w:szCs w:val="21"/>
                <w:highlight w:val="none"/>
                <w:shd w:val="clear" w:color="auto" w:fill="FFFFFF"/>
                <w:lang w:val="en-US" w:eastAsia="zh-CN"/>
              </w:rPr>
              <w:t>二级（含）以上公路</w:t>
            </w:r>
            <w:r>
              <w:rPr>
                <w:rFonts w:hint="eastAsia" w:ascii="宋体" w:hAnsi="宋体" w:eastAsia="宋体" w:cs="宋体"/>
                <w:color w:val="auto"/>
                <w:sz w:val="21"/>
                <w:szCs w:val="21"/>
                <w:highlight w:val="none"/>
                <w:shd w:val="clear" w:color="auto" w:fill="FFFFFF"/>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shd w:val="clear" w:color="auto" w:fill="FFFFFF"/>
              </w:rPr>
              <w:t>养护工程（</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大中修工程或路面改造</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)的施工业绩（高速公路、一级公路全幅按2倍长度计算，半幅按1倍长度计算）</w:t>
            </w:r>
            <w:r>
              <w:rPr>
                <w:rFonts w:hint="eastAsia" w:ascii="宋体" w:hAnsi="宋体" w:eastAsia="宋体" w:cs="宋体"/>
                <w:color w:val="auto"/>
                <w:sz w:val="21"/>
                <w:szCs w:val="21"/>
                <w:highlight w:val="none"/>
                <w:shd w:val="clear" w:color="auto" w:fill="FFFFFF"/>
                <w:lang w:val="en-US" w:eastAsia="zh-CN"/>
              </w:rPr>
              <w:t>加8</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18公里得分按照0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8分之间</w:t>
            </w:r>
            <w:r>
              <w:rPr>
                <w:rFonts w:hint="eastAsia" w:ascii="宋体" w:hAnsi="宋体" w:eastAsia="宋体" w:cs="宋体"/>
                <w:color w:val="auto"/>
                <w:sz w:val="21"/>
                <w:szCs w:val="21"/>
                <w:highlight w:val="none"/>
                <w:shd w:val="clear" w:color="auto" w:fill="FFFFFF"/>
              </w:rPr>
              <w:t>内插计算（保留两位小数）。</w:t>
            </w:r>
          </w:p>
          <w:p w14:paraId="6112016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JL26YH10标段：</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年1月1日以后</w:t>
            </w:r>
            <w:r>
              <w:rPr>
                <w:rFonts w:hint="eastAsia" w:ascii="宋体" w:hAnsi="宋体" w:eastAsia="宋体" w:cs="宋体"/>
                <w:color w:val="auto"/>
                <w:sz w:val="21"/>
                <w:szCs w:val="21"/>
                <w:highlight w:val="none"/>
                <w:shd w:val="clear" w:color="auto" w:fill="FFFFFF"/>
              </w:rPr>
              <w:t>累计完成过</w:t>
            </w:r>
            <w:r>
              <w:rPr>
                <w:rFonts w:hint="eastAsia" w:ascii="宋体" w:hAnsi="宋体" w:eastAsia="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公里</w:t>
            </w:r>
            <w:r>
              <w:rPr>
                <w:rFonts w:hint="eastAsia" w:ascii="宋体" w:hAnsi="宋体" w:eastAsia="宋体" w:cs="宋体"/>
                <w:color w:val="auto"/>
                <w:sz w:val="21"/>
                <w:szCs w:val="21"/>
                <w:highlight w:val="none"/>
                <w:shd w:val="clear" w:color="auto" w:fill="FFFFFF"/>
                <w:lang w:val="en-US" w:eastAsia="zh-CN"/>
              </w:rPr>
              <w:t>二级（含）以上公路</w:t>
            </w:r>
            <w:r>
              <w:rPr>
                <w:rFonts w:hint="eastAsia" w:ascii="宋体" w:hAnsi="宋体" w:eastAsia="宋体" w:cs="宋体"/>
                <w:color w:val="auto"/>
                <w:sz w:val="21"/>
                <w:szCs w:val="21"/>
                <w:highlight w:val="none"/>
                <w:shd w:val="clear" w:color="auto" w:fill="FFFFFF"/>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shd w:val="clear" w:color="auto" w:fill="FFFFFF"/>
              </w:rPr>
              <w:t>养护工程（</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大中修工程或路面改造</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)的施工业绩（高速公路、一级公路全幅按2倍长度计算，半幅按1倍长度计算）</w:t>
            </w:r>
            <w:r>
              <w:rPr>
                <w:rFonts w:hint="eastAsia" w:ascii="宋体" w:hAnsi="宋体" w:eastAsia="宋体" w:cs="宋体"/>
                <w:color w:val="auto"/>
                <w:sz w:val="21"/>
                <w:szCs w:val="21"/>
                <w:highlight w:val="none"/>
                <w:shd w:val="clear" w:color="auto" w:fill="FFFFFF"/>
                <w:lang w:val="en-US" w:eastAsia="zh-CN"/>
              </w:rPr>
              <w:t>加8</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10公里得分按照0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8分之间</w:t>
            </w:r>
            <w:r>
              <w:rPr>
                <w:rFonts w:hint="eastAsia" w:ascii="宋体" w:hAnsi="宋体" w:eastAsia="宋体" w:cs="宋体"/>
                <w:color w:val="auto"/>
                <w:sz w:val="21"/>
                <w:szCs w:val="21"/>
                <w:highlight w:val="none"/>
                <w:shd w:val="clear" w:color="auto" w:fill="FFFFFF"/>
              </w:rPr>
              <w:t>内插计算（保留两位小数）。</w:t>
            </w:r>
          </w:p>
          <w:p w14:paraId="3B606CF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JL26YH11标段：</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年1月1日以后</w:t>
            </w:r>
            <w:r>
              <w:rPr>
                <w:rFonts w:hint="eastAsia" w:ascii="宋体" w:hAnsi="宋体" w:eastAsia="宋体" w:cs="宋体"/>
                <w:color w:val="auto"/>
                <w:sz w:val="21"/>
                <w:szCs w:val="21"/>
                <w:highlight w:val="none"/>
                <w:shd w:val="clear" w:color="auto" w:fill="FFFFFF"/>
              </w:rPr>
              <w:t>累计完成过</w:t>
            </w:r>
            <w:r>
              <w:rPr>
                <w:rFonts w:hint="eastAsia" w:ascii="宋体" w:hAnsi="宋体" w:eastAsia="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公里</w:t>
            </w:r>
            <w:r>
              <w:rPr>
                <w:rFonts w:hint="eastAsia" w:ascii="宋体" w:hAnsi="宋体" w:eastAsia="宋体" w:cs="宋体"/>
                <w:color w:val="auto"/>
                <w:sz w:val="21"/>
                <w:szCs w:val="21"/>
                <w:highlight w:val="none"/>
                <w:shd w:val="clear" w:color="auto" w:fill="FFFFFF"/>
                <w:lang w:val="en-US" w:eastAsia="zh-CN"/>
              </w:rPr>
              <w:t>二级（含）以上公路</w:t>
            </w:r>
            <w:r>
              <w:rPr>
                <w:rFonts w:hint="eastAsia" w:ascii="宋体" w:hAnsi="宋体" w:eastAsia="宋体" w:cs="宋体"/>
                <w:color w:val="auto"/>
                <w:sz w:val="21"/>
                <w:szCs w:val="21"/>
                <w:highlight w:val="none"/>
                <w:shd w:val="clear" w:color="auto" w:fill="FFFFFF"/>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shd w:val="clear" w:color="auto" w:fill="FFFFFF"/>
              </w:rPr>
              <w:t>养护工程（</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大中修工程或路面改造</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)的施工业绩（高速公路、一级公路全幅按2倍长度计算，半幅按1倍长度计算）</w:t>
            </w:r>
            <w:r>
              <w:rPr>
                <w:rFonts w:hint="eastAsia" w:ascii="宋体" w:hAnsi="宋体" w:eastAsia="宋体" w:cs="宋体"/>
                <w:color w:val="auto"/>
                <w:sz w:val="21"/>
                <w:szCs w:val="21"/>
                <w:highlight w:val="none"/>
                <w:shd w:val="clear" w:color="auto" w:fill="FFFFFF"/>
                <w:lang w:val="en-US" w:eastAsia="zh-CN"/>
              </w:rPr>
              <w:t>加8</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10公里得分按照0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8分之间</w:t>
            </w:r>
            <w:r>
              <w:rPr>
                <w:rFonts w:hint="eastAsia" w:ascii="宋体" w:hAnsi="宋体" w:eastAsia="宋体" w:cs="宋体"/>
                <w:color w:val="auto"/>
                <w:sz w:val="21"/>
                <w:szCs w:val="21"/>
                <w:highlight w:val="none"/>
                <w:shd w:val="clear" w:color="auto" w:fill="FFFFFF"/>
              </w:rPr>
              <w:t>内插计算（保留两位小数）。</w:t>
            </w:r>
          </w:p>
          <w:p w14:paraId="1BD74C5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注：①两阶段验收工程以交工时间为准，一阶段验收工程以竣工时间为准。</w:t>
            </w:r>
          </w:p>
          <w:p w14:paraId="2CF8B6D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②联合体投标的，按照联合体牵头人的业绩数量计算。</w:t>
            </w:r>
            <w:bookmarkStart w:id="18" w:name="_GoBack"/>
            <w:bookmarkEnd w:id="18"/>
          </w:p>
        </w:tc>
      </w:tr>
      <w:tr w14:paraId="6F83A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4C0E2CF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3DB8A20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25147E4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noWrap w:val="0"/>
            <w:vAlign w:val="center"/>
          </w:tcPr>
          <w:p w14:paraId="0C18B676">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投标人的</w:t>
            </w:r>
          </w:p>
          <w:p w14:paraId="429AA331">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信用评价等级</w:t>
            </w:r>
          </w:p>
        </w:tc>
        <w:tc>
          <w:tcPr>
            <w:tcW w:w="855" w:type="dxa"/>
            <w:tcBorders>
              <w:tl2br w:val="nil"/>
              <w:tr2bl w:val="nil"/>
            </w:tcBorders>
            <w:noWrap w:val="0"/>
            <w:vAlign w:val="center"/>
          </w:tcPr>
          <w:p w14:paraId="320BBEDA">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noWrap w:val="0"/>
            <w:vAlign w:val="center"/>
          </w:tcPr>
          <w:p w14:paraId="4229F27B">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信用评价AA级，得15分。</w:t>
            </w:r>
          </w:p>
        </w:tc>
      </w:tr>
      <w:tr w14:paraId="1862C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1DE17F0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1606D3D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7E71770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noWrap w:val="0"/>
            <w:vAlign w:val="center"/>
          </w:tcPr>
          <w:p w14:paraId="735AF835">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noWrap w:val="0"/>
            <w:vAlign w:val="center"/>
          </w:tcPr>
          <w:p w14:paraId="26FD03C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分</w:t>
            </w:r>
          </w:p>
        </w:tc>
        <w:tc>
          <w:tcPr>
            <w:tcW w:w="4303" w:type="dxa"/>
            <w:tcBorders>
              <w:tl2br w:val="nil"/>
              <w:tr2bl w:val="nil"/>
            </w:tcBorders>
            <w:noWrap w:val="0"/>
            <w:vAlign w:val="center"/>
          </w:tcPr>
          <w:p w14:paraId="0C01961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级，得1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分。</w:t>
            </w:r>
          </w:p>
        </w:tc>
      </w:tr>
      <w:tr w14:paraId="39EDF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312E191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3271E20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7AC390C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noWrap w:val="0"/>
            <w:vAlign w:val="center"/>
          </w:tcPr>
          <w:p w14:paraId="5B3C3846">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noWrap w:val="0"/>
            <w:vAlign w:val="center"/>
          </w:tcPr>
          <w:p w14:paraId="77F5457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分</w:t>
            </w:r>
          </w:p>
        </w:tc>
        <w:tc>
          <w:tcPr>
            <w:tcW w:w="4303" w:type="dxa"/>
            <w:tcBorders>
              <w:tl2br w:val="nil"/>
              <w:tr2bl w:val="nil"/>
            </w:tcBorders>
            <w:noWrap w:val="0"/>
            <w:vAlign w:val="center"/>
          </w:tcPr>
          <w:p w14:paraId="5089825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级，得</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分。</w:t>
            </w:r>
          </w:p>
        </w:tc>
      </w:tr>
      <w:tr w14:paraId="2F9DC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2696BC9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79E2216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1B3F3DD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noWrap w:val="0"/>
            <w:vAlign w:val="center"/>
          </w:tcPr>
          <w:p w14:paraId="62C8EC0C">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noWrap w:val="0"/>
            <w:vAlign w:val="center"/>
          </w:tcPr>
          <w:p w14:paraId="1787FC4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6分</w:t>
            </w:r>
          </w:p>
        </w:tc>
        <w:tc>
          <w:tcPr>
            <w:tcW w:w="4303" w:type="dxa"/>
            <w:tcBorders>
              <w:tl2br w:val="nil"/>
              <w:tr2bl w:val="nil"/>
            </w:tcBorders>
            <w:noWrap w:val="0"/>
            <w:vAlign w:val="center"/>
          </w:tcPr>
          <w:p w14:paraId="74EC410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信用评价C级，得6分。</w:t>
            </w:r>
          </w:p>
        </w:tc>
      </w:tr>
      <w:tr w14:paraId="6EFF5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3888492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6AFA3BE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213A7D9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noWrap w:val="0"/>
            <w:vAlign w:val="center"/>
          </w:tcPr>
          <w:p w14:paraId="0B798E62">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noWrap w:val="0"/>
            <w:vAlign w:val="center"/>
          </w:tcPr>
          <w:p w14:paraId="123D6DE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0分</w:t>
            </w:r>
          </w:p>
        </w:tc>
        <w:tc>
          <w:tcPr>
            <w:tcW w:w="4303" w:type="dxa"/>
            <w:tcBorders>
              <w:tl2br w:val="nil"/>
              <w:tr2bl w:val="nil"/>
            </w:tcBorders>
            <w:noWrap w:val="0"/>
            <w:vAlign w:val="center"/>
          </w:tcPr>
          <w:p w14:paraId="1431077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信用评价D级，得0分。</w:t>
            </w:r>
          </w:p>
        </w:tc>
      </w:tr>
      <w:tr w14:paraId="484A4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4DD044DB">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414D44CB">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2C56090A">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7003" w:type="dxa"/>
            <w:gridSpan w:val="3"/>
            <w:tcBorders>
              <w:tl2br w:val="nil"/>
              <w:tr2bl w:val="nil"/>
            </w:tcBorders>
            <w:noWrap w:val="0"/>
            <w:vAlign w:val="center"/>
          </w:tcPr>
          <w:p w14:paraId="28B68E4E">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注：信用评价等级优先采用以下所列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5082DCDF">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年度普通干线公路养护工程施工企业信用评价结果公告》中的投标人信用等级</w:t>
            </w:r>
            <w:r>
              <w:rPr>
                <w:rFonts w:hint="eastAsia" w:ascii="宋体" w:hAnsi="宋体" w:eastAsia="宋体" w:cs="宋体"/>
                <w:color w:val="auto"/>
                <w:sz w:val="21"/>
                <w:szCs w:val="21"/>
                <w:highlight w:val="none"/>
                <w:lang w:eastAsia="zh-CN"/>
              </w:rPr>
              <w:t>；</w:t>
            </w:r>
          </w:p>
          <w:p w14:paraId="0397C710">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年度普通干线公路养护工程施工企业信用评价结果公告》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含调整结果公告）</w:t>
            </w:r>
            <w:r>
              <w:rPr>
                <w:rFonts w:hint="eastAsia" w:ascii="宋体" w:hAnsi="宋体" w:eastAsia="宋体" w:cs="宋体"/>
                <w:color w:val="auto"/>
                <w:sz w:val="21"/>
                <w:szCs w:val="21"/>
                <w:highlight w:val="none"/>
              </w:rPr>
              <w:t>中的投标人信用等级</w:t>
            </w:r>
            <w:r>
              <w:rPr>
                <w:rFonts w:hint="eastAsia" w:ascii="宋体" w:hAnsi="宋体" w:eastAsia="宋体" w:cs="宋体"/>
                <w:color w:val="auto"/>
                <w:sz w:val="21"/>
                <w:szCs w:val="21"/>
                <w:highlight w:val="none"/>
                <w:lang w:eastAsia="zh-CN"/>
              </w:rPr>
              <w:t>；</w:t>
            </w:r>
          </w:p>
          <w:p w14:paraId="6E368B88">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采用交</w:t>
            </w:r>
            <w:r>
              <w:rPr>
                <w:rFonts w:hint="eastAsia" w:ascii="宋体" w:hAnsi="宋体" w:eastAsia="宋体" w:cs="宋体"/>
                <w:color w:val="auto"/>
                <w:sz w:val="21"/>
                <w:szCs w:val="21"/>
                <w:highlight w:val="none"/>
                <w:lang w:val="en-US" w:eastAsia="zh-CN"/>
              </w:rPr>
              <w:t>通运输部“全国公路建设市场监督管理系统/全国公路从业单位信用评价结果”中，投标人的2024年度“施工企业”信用等级；</w:t>
            </w:r>
          </w:p>
          <w:p w14:paraId="28D4AD8D">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企业无</w:t>
            </w:r>
            <w:r>
              <w:rPr>
                <w:rFonts w:hint="eastAsia" w:ascii="宋体" w:hAnsi="宋体" w:eastAsia="宋体" w:cs="宋体"/>
                <w:color w:val="auto"/>
                <w:sz w:val="21"/>
                <w:szCs w:val="21"/>
                <w:highlight w:val="none"/>
                <w:lang w:val="en-US" w:eastAsia="zh-CN"/>
              </w:rPr>
              <w:t>上述信用评价的，若未列入交通运输部“全国公路建设市场监督管理系统”中“不良信用记录”的，按A级对待，否则视其严重程度按B级或以下等级对待。</w:t>
            </w:r>
          </w:p>
          <w:p w14:paraId="50A1C6EA">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（5）联合体参与投标的，其信用等级按照联合体中最低等级方认定。</w:t>
            </w:r>
          </w:p>
        </w:tc>
      </w:tr>
      <w:tr w14:paraId="5B4F2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37" w:type="dxa"/>
            <w:gridSpan w:val="6"/>
            <w:tcBorders>
              <w:tl2br w:val="nil"/>
              <w:tr2bl w:val="nil"/>
            </w:tcBorders>
            <w:noWrap w:val="0"/>
            <w:vAlign w:val="center"/>
          </w:tcPr>
          <w:p w14:paraId="3D008EC7">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投标文件的施工组织设计部分采用“暗标”形式，如果施工组织设计出现能识别投标人的内容，经评标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319642D1">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p>
    <w:p w14:paraId="4360F9F3">
      <w:pPr>
        <w:keepNext w:val="0"/>
        <w:keepLines w:val="0"/>
        <w:pageBreakBefore w:val="0"/>
        <w:widowControl w:val="0"/>
        <w:kinsoku/>
        <w:wordWrap/>
        <w:overflowPunct/>
        <w:topLinePunct w:val="0"/>
        <w:autoSpaceDE/>
        <w:autoSpaceDN/>
        <w:bidi w:val="0"/>
        <w:adjustRightInd/>
        <w:snapToGrid/>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671510C1">
      <w:pPr>
        <w:keepNext w:val="0"/>
        <w:keepLines w:val="0"/>
        <w:pageBreakBefore w:val="0"/>
        <w:widowControl w:val="0"/>
        <w:tabs>
          <w:tab w:val="left" w:leader="underscore" w:pos="3942"/>
          <w:tab w:val="left" w:leader="underscore" w:pos="706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bidi="zh-CN"/>
        </w:rPr>
        <w:t>招 标 人：吉林市公路事业发展中心</w:t>
      </w:r>
    </w:p>
    <w:p w14:paraId="030026F6">
      <w:pPr>
        <w:keepNext w:val="0"/>
        <w:keepLines w:val="0"/>
        <w:pageBreakBefore w:val="0"/>
        <w:widowControl w:val="0"/>
        <w:tabs>
          <w:tab w:val="left" w:leader="underscore" w:pos="3942"/>
          <w:tab w:val="left" w:leader="underscore" w:pos="706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bidi="zh-CN"/>
        </w:rPr>
        <w:t>地    址：吉林市松江南路385号</w:t>
      </w:r>
    </w:p>
    <w:p w14:paraId="4596E702">
      <w:pPr>
        <w:keepNext w:val="0"/>
        <w:keepLines w:val="0"/>
        <w:pageBreakBefore w:val="0"/>
        <w:widowControl w:val="0"/>
        <w:tabs>
          <w:tab w:val="left" w:leader="underscore" w:pos="3942"/>
          <w:tab w:val="left" w:leader="underscore" w:pos="706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zh-CN" w:bidi="zh-CN"/>
        </w:rPr>
        <w:t>联 系 人：陈英</w:t>
      </w:r>
    </w:p>
    <w:p w14:paraId="57267CC5">
      <w:pPr>
        <w:keepNext w:val="0"/>
        <w:keepLines w:val="0"/>
        <w:pageBreakBefore w:val="0"/>
        <w:widowControl w:val="0"/>
        <w:tabs>
          <w:tab w:val="left" w:leader="underscore" w:pos="3942"/>
          <w:tab w:val="left" w:leader="underscore" w:pos="706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zh-CN" w:bidi="zh-CN"/>
        </w:rPr>
        <w:t>电    话：0432-62024337</w:t>
      </w: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超粗黑简体">
    <w:altName w:val="黑体"/>
    <w:panose1 w:val="03000509000000000000"/>
    <w:charset w:val="86"/>
    <w:family w:val="script"/>
    <w:pitch w:val="default"/>
    <w:sig w:usb0="00000000" w:usb1="00000000" w:usb2="00000000" w:usb3="00000000" w:csb0="00040000"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A61C387F">
    <w:panose1 w:val="020B0604030504040204"/>
    <w:charset w:val="88"/>
    <w:family w:val="auto"/>
    <w:pitch w:val="default"/>
    <w:sig w:usb0="00000001" w:usb1="00000000"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460B1A95">
      <w:pPr>
        <w:pStyle w:val="9"/>
      </w:pPr>
      <w:r>
        <w:rPr>
          <w:rStyle w:val="13"/>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4FAE817E">
      <w:pPr>
        <w:rPr>
          <w:sz w:val="18"/>
          <w:szCs w:val="18"/>
        </w:rPr>
      </w:pPr>
      <w:r>
        <w:rPr>
          <w:rStyle w:val="13"/>
        </w:rPr>
        <w:footnoteRef/>
      </w:r>
      <w:r>
        <w:rPr>
          <w:rFonts w:hint="eastAsia" w:ascii="宋体" w:hAnsi="宋体" w:cs="宋体"/>
          <w:kern w:val="0"/>
          <w:sz w:val="18"/>
          <w:szCs w:val="18"/>
          <w:lang w:val="zh-CN"/>
        </w:rPr>
        <w:t>本表所列人员不得互相兼职。</w:t>
      </w:r>
    </w:p>
  </w:footnote>
  <w:footnote w:id="2">
    <w:p w14:paraId="07B0EF9A">
      <w:pPr>
        <w:pStyle w:val="9"/>
        <w:rPr>
          <w:rFonts w:hint="default" w:eastAsia="宋体"/>
          <w:lang w:val="en-US" w:eastAsia="zh-CN"/>
        </w:rPr>
      </w:pPr>
      <w:r>
        <w:rPr>
          <w:rStyle w:val="13"/>
        </w:rPr>
        <w:footnoteRef/>
      </w:r>
      <w:r>
        <w:rPr>
          <w:rFonts w:hint="eastAsia" w:ascii="BatangChe" w:hAnsi="BatangChe"/>
          <w:b w:val="0"/>
          <w:bCs/>
        </w:rPr>
        <w:t>“</w:t>
      </w:r>
      <w:r>
        <w:rPr>
          <w:rFonts w:hint="eastAsia" w:ascii="BatangChe" w:hAnsi="BatangChe"/>
          <w:b w:val="0"/>
          <w:bCs/>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宋体" w:hAnsi="宋体"/>
          <w:lang w:eastAsia="zh-CN"/>
        </w:rPr>
        <w:t>（</w:t>
      </w:r>
      <w:r>
        <w:rPr>
          <w:rFonts w:hint="eastAsia" w:ascii="宋体" w:hAnsi="宋体"/>
          <w:lang w:val="en-US" w:eastAsia="zh-CN"/>
        </w:rPr>
        <w:t>投标人的上级公司、子公司、人力资源服务机构等其他单位缴纳或个人缴纳社会保险均不予认定，分公司缴纳的社会保险可以予以认定</w:t>
      </w:r>
      <w:r>
        <w:rPr>
          <w:rFonts w:hint="eastAsia" w:ascii="宋体" w:hAnsi="宋体"/>
          <w:lang w:eastAsia="zh-CN"/>
        </w:rPr>
        <w:t>）</w:t>
      </w:r>
      <w:r>
        <w:rPr>
          <w:rFonts w:hint="eastAsia" w:ascii="宋体" w:hAnsi="宋体"/>
          <w:lang w:val="en-US" w:eastAsia="zh-CN"/>
        </w:rPr>
        <w:t>。</w:t>
      </w:r>
    </w:p>
  </w:footnote>
  <w:footnote w:id="3">
    <w:p w14:paraId="7DE0A8D8">
      <w:pPr>
        <w:pStyle w:val="9"/>
        <w:jc w:val="both"/>
        <w:rPr>
          <w:rFonts w:ascii="宋体" w:hAnsi="宋体"/>
        </w:rPr>
      </w:pPr>
      <w:r>
        <w:rPr>
          <w:rStyle w:val="13"/>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150308"/>
    <w:rsid w:val="0016649D"/>
    <w:rsid w:val="001C5264"/>
    <w:rsid w:val="001F4B00"/>
    <w:rsid w:val="001F767C"/>
    <w:rsid w:val="00250688"/>
    <w:rsid w:val="002B6B2C"/>
    <w:rsid w:val="00316C16"/>
    <w:rsid w:val="003171A3"/>
    <w:rsid w:val="0037455E"/>
    <w:rsid w:val="003C3184"/>
    <w:rsid w:val="003E1571"/>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641C5"/>
    <w:rsid w:val="00F76FA4"/>
    <w:rsid w:val="00FC5FAE"/>
    <w:rsid w:val="00FD038E"/>
    <w:rsid w:val="00FF554C"/>
    <w:rsid w:val="16762FB3"/>
    <w:rsid w:val="1F5B3691"/>
    <w:rsid w:val="3DF8148D"/>
    <w:rsid w:val="40F70614"/>
    <w:rsid w:val="4F5B0957"/>
    <w:rsid w:val="613267FE"/>
    <w:rsid w:val="63304E2E"/>
    <w:rsid w:val="66233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rPr>
      <w:sz w:val="28"/>
      <w:szCs w:val="24"/>
    </w:rPr>
  </w:style>
  <w:style w:type="paragraph" w:styleId="4">
    <w:name w:val="Body Text Indent"/>
    <w:basedOn w:val="1"/>
    <w:next w:val="5"/>
    <w:link w:val="28"/>
    <w:qFormat/>
    <w:uiPriority w:val="99"/>
    <w:pPr>
      <w:ind w:firstLine="1120" w:firstLineChars="400"/>
    </w:pPr>
    <w:rPr>
      <w:rFonts w:ascii="Times New Roman" w:hAnsi="Times New Roman" w:eastAsia="宋体" w:cs="Times New Roman"/>
      <w:sz w:val="28"/>
      <w:szCs w:val="24"/>
    </w:rPr>
  </w:style>
  <w:style w:type="paragraph" w:styleId="5">
    <w:name w:val="Body Text Indent 2"/>
    <w:basedOn w:val="1"/>
    <w:link w:val="29"/>
    <w:semiHidden/>
    <w:unhideWhenUsed/>
    <w:qFormat/>
    <w:uiPriority w:val="99"/>
    <w:pPr>
      <w:spacing w:after="120" w:line="480" w:lineRule="auto"/>
      <w:ind w:left="420" w:leftChars="200"/>
    </w:pPr>
  </w:style>
  <w:style w:type="paragraph" w:styleId="6">
    <w:name w:val="Plain Text"/>
    <w:basedOn w:val="1"/>
    <w:link w:val="30"/>
    <w:qFormat/>
    <w:uiPriority w:val="99"/>
    <w:rPr>
      <w:rFonts w:ascii="宋体" w:hAnsi="Courier New" w:eastAsia="宋体" w:cs="Times New Roman"/>
      <w:szCs w:val="21"/>
    </w:rPr>
  </w:style>
  <w:style w:type="paragraph" w:styleId="7">
    <w:name w:val="footer"/>
    <w:basedOn w:val="1"/>
    <w:link w:val="24"/>
    <w:autoRedefine/>
    <w:unhideWhenUsed/>
    <w:qFormat/>
    <w:uiPriority w:val="99"/>
    <w:pPr>
      <w:tabs>
        <w:tab w:val="center" w:pos="4153"/>
        <w:tab w:val="right" w:pos="8306"/>
      </w:tabs>
      <w:snapToGrid w:val="0"/>
      <w:jc w:val="left"/>
    </w:pPr>
    <w:rPr>
      <w:sz w:val="18"/>
      <w:szCs w:val="18"/>
    </w:rPr>
  </w:style>
  <w:style w:type="paragraph" w:styleId="8">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paragraph" w:styleId="10">
    <w:name w:val="Body Text First Indent"/>
    <w:basedOn w:val="3"/>
    <w:qFormat/>
    <w:uiPriority w:val="0"/>
    <w:pPr>
      <w:spacing w:line="312" w:lineRule="auto"/>
      <w:ind w:firstLine="420"/>
    </w:pPr>
    <w:rPr>
      <w:rFonts w:ascii="Calibri" w:hAnsi="Calibri"/>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9"/>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8"/>
    <w:qFormat/>
    <w:uiPriority w:val="99"/>
    <w:rPr>
      <w:sz w:val="18"/>
      <w:szCs w:val="18"/>
    </w:rPr>
  </w:style>
  <w:style w:type="character" w:customStyle="1" w:styleId="24">
    <w:name w:val="页脚 字符"/>
    <w:basedOn w:val="12"/>
    <w:link w:val="7"/>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4"/>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5"/>
    <w:semiHidden/>
    <w:qFormat/>
    <w:uiPriority w:val="99"/>
    <w:rPr>
      <w:kern w:val="2"/>
      <w:sz w:val="21"/>
      <w:szCs w:val="22"/>
    </w:rPr>
  </w:style>
  <w:style w:type="character" w:customStyle="1" w:styleId="30">
    <w:name w:val="纯文本 字符"/>
    <w:basedOn w:val="12"/>
    <w:link w:val="6"/>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5599</Words>
  <Characters>5955</Characters>
  <Lines>39</Lines>
  <Paragraphs>11</Paragraphs>
  <TotalTime>1</TotalTime>
  <ScaleCrop>false</ScaleCrop>
  <LinksUpToDate>false</LinksUpToDate>
  <CharactersWithSpaces>5971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2026-05-21T05:30:00Z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