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18BC1">
      <w:pPr>
        <w:keepLines w:val="0"/>
        <w:pageBreakBefore w:val="0"/>
        <w:kinsoku/>
        <w:wordWrap/>
        <w:overflowPunct/>
        <w:topLinePunct w:val="0"/>
        <w:bidi w:val="0"/>
        <w:spacing w:line="360" w:lineRule="exact"/>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长白山保护开发区2024年省道和天公路北景区换乘中心至天池段</w:t>
      </w:r>
    </w:p>
    <w:p w14:paraId="46696718">
      <w:pPr>
        <w:keepLines w:val="0"/>
        <w:pageBreakBefore w:val="0"/>
        <w:kinsoku/>
        <w:wordWrap/>
        <w:overflowPunct/>
        <w:topLinePunct w:val="0"/>
        <w:bidi w:val="0"/>
        <w:spacing w:line="36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lang w:val="en-US" w:eastAsia="zh-CN"/>
        </w:rPr>
        <w:t>安全提升工程</w:t>
      </w:r>
      <w:r>
        <w:rPr>
          <w:rFonts w:hint="eastAsia" w:ascii="宋体" w:hAnsi="宋体" w:eastAsia="宋体" w:cs="宋体"/>
          <w:b/>
          <w:sz w:val="21"/>
          <w:szCs w:val="21"/>
        </w:rPr>
        <w:t>施工招标</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第二次</w:t>
      </w:r>
      <w:r>
        <w:rPr>
          <w:rFonts w:hint="eastAsia" w:ascii="宋体" w:hAnsi="宋体" w:eastAsia="宋体" w:cs="宋体"/>
          <w:b/>
          <w:sz w:val="21"/>
          <w:szCs w:val="21"/>
          <w:lang w:eastAsia="zh-CN"/>
        </w:rPr>
        <w:t>）</w:t>
      </w:r>
    </w:p>
    <w:p w14:paraId="2941CA4A">
      <w:pPr>
        <w:keepLines w:val="0"/>
        <w:pageBreakBefore w:val="0"/>
        <w:kinsoku/>
        <w:wordWrap/>
        <w:overflowPunct/>
        <w:topLinePunct w:val="0"/>
        <w:bidi w:val="0"/>
        <w:spacing w:line="360" w:lineRule="exact"/>
        <w:jc w:val="center"/>
        <w:textAlignment w:val="auto"/>
        <w:rPr>
          <w:rFonts w:hint="eastAsia" w:ascii="宋体" w:hAnsi="宋体" w:eastAsia="宋体" w:cs="宋体"/>
          <w:b/>
          <w:sz w:val="21"/>
          <w:szCs w:val="21"/>
        </w:rPr>
      </w:pPr>
      <w:bookmarkStart w:id="15" w:name="_GoBack"/>
      <w:bookmarkEnd w:id="15"/>
      <w:r>
        <w:rPr>
          <w:rFonts w:hint="eastAsia" w:ascii="宋体" w:hAnsi="宋体" w:eastAsia="宋体" w:cs="宋体"/>
          <w:b/>
          <w:sz w:val="21"/>
          <w:szCs w:val="21"/>
        </w:rPr>
        <w:t>招标文件公开内容</w:t>
      </w:r>
    </w:p>
    <w:p w14:paraId="5BFA3234">
      <w:pPr>
        <w:keepLines w:val="0"/>
        <w:pageBreakBefore w:val="0"/>
        <w:tabs>
          <w:tab w:val="center" w:pos="4819"/>
        </w:tabs>
        <w:kinsoku/>
        <w:wordWrap/>
        <w:overflowPunct/>
        <w:topLinePunct w:val="0"/>
        <w:bidi w:val="0"/>
        <w:spacing w:line="360" w:lineRule="exact"/>
        <w:textAlignment w:val="auto"/>
        <w:rPr>
          <w:rFonts w:hint="eastAsia" w:ascii="宋体" w:hAnsi="宋体" w:eastAsia="宋体" w:cs="宋体"/>
          <w:b/>
          <w:sz w:val="21"/>
          <w:szCs w:val="21"/>
        </w:rPr>
      </w:pPr>
      <w:r>
        <w:rPr>
          <w:rFonts w:hint="eastAsia" w:ascii="宋体" w:hAnsi="宋体" w:eastAsia="宋体" w:cs="宋体"/>
          <w:b/>
          <w:sz w:val="21"/>
          <w:szCs w:val="21"/>
        </w:rPr>
        <w:t>一、项目概况与招标范围</w:t>
      </w:r>
      <w:r>
        <w:rPr>
          <w:rFonts w:hint="eastAsia" w:ascii="宋体" w:hAnsi="宋体" w:eastAsia="宋体" w:cs="宋体"/>
          <w:b/>
          <w:sz w:val="21"/>
          <w:szCs w:val="21"/>
        </w:rPr>
        <w:tab/>
      </w:r>
    </w:p>
    <w:p w14:paraId="2864CD02">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详见招标公告</w:t>
      </w:r>
    </w:p>
    <w:p w14:paraId="3E199095">
      <w:pPr>
        <w:keepLines w:val="0"/>
        <w:pageBreakBefore w:val="0"/>
        <w:kinsoku/>
        <w:wordWrap/>
        <w:overflowPunct/>
        <w:topLinePunct w:val="0"/>
        <w:bidi w:val="0"/>
        <w:spacing w:line="360" w:lineRule="exact"/>
        <w:textAlignment w:val="auto"/>
        <w:rPr>
          <w:rFonts w:hint="eastAsia" w:ascii="宋体" w:hAnsi="宋体" w:eastAsia="宋体" w:cs="宋体"/>
          <w:b/>
          <w:sz w:val="21"/>
          <w:szCs w:val="21"/>
        </w:rPr>
      </w:pPr>
      <w:r>
        <w:rPr>
          <w:rFonts w:hint="eastAsia" w:ascii="宋体" w:hAnsi="宋体" w:eastAsia="宋体" w:cs="宋体"/>
          <w:b/>
          <w:sz w:val="21"/>
          <w:szCs w:val="21"/>
        </w:rPr>
        <w:t>二、投标人资格要求</w:t>
      </w:r>
    </w:p>
    <w:p w14:paraId="75CC6936">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投标人须知前附表（投标人资格要求部分）</w:t>
      </w:r>
    </w:p>
    <w:tbl>
      <w:tblPr>
        <w:tblStyle w:val="9"/>
        <w:tblW w:w="9475" w:type="dxa"/>
        <w:jc w:val="center"/>
        <w:tblLayout w:type="fixed"/>
        <w:tblCellMar>
          <w:top w:w="0" w:type="dxa"/>
          <w:left w:w="28" w:type="dxa"/>
          <w:bottom w:w="0" w:type="dxa"/>
          <w:right w:w="28" w:type="dxa"/>
        </w:tblCellMar>
      </w:tblPr>
      <w:tblGrid>
        <w:gridCol w:w="953"/>
        <w:gridCol w:w="2006"/>
        <w:gridCol w:w="6516"/>
      </w:tblGrid>
      <w:tr w14:paraId="50334ED8">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3DED2897">
            <w:pPr>
              <w:keepLines w:val="0"/>
              <w:pageBreakBefore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条款号</w:t>
            </w:r>
          </w:p>
        </w:tc>
        <w:tc>
          <w:tcPr>
            <w:tcW w:w="2006" w:type="dxa"/>
            <w:tcBorders>
              <w:top w:val="single" w:color="000000" w:sz="4" w:space="0"/>
              <w:left w:val="single" w:color="000000" w:sz="4" w:space="0"/>
              <w:bottom w:val="single" w:color="000000" w:sz="4" w:space="0"/>
              <w:right w:val="single" w:color="000000" w:sz="4" w:space="0"/>
            </w:tcBorders>
            <w:vAlign w:val="center"/>
          </w:tcPr>
          <w:p w14:paraId="4E3AF8F4">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条款名称</w:t>
            </w:r>
          </w:p>
        </w:tc>
        <w:tc>
          <w:tcPr>
            <w:tcW w:w="6516" w:type="dxa"/>
            <w:tcBorders>
              <w:top w:val="single" w:color="000000" w:sz="4" w:space="0"/>
              <w:left w:val="single" w:color="000000" w:sz="4" w:space="0"/>
              <w:bottom w:val="single" w:color="000000" w:sz="4" w:space="0"/>
              <w:right w:val="single" w:color="auto" w:sz="12" w:space="0"/>
            </w:tcBorders>
            <w:vAlign w:val="center"/>
          </w:tcPr>
          <w:p w14:paraId="476D8926">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编列内容</w:t>
            </w:r>
          </w:p>
        </w:tc>
      </w:tr>
      <w:tr w14:paraId="2CA833FA">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5B649EB7">
            <w:pPr>
              <w:keepLines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1.4.1</w:t>
            </w:r>
          </w:p>
        </w:tc>
        <w:tc>
          <w:tcPr>
            <w:tcW w:w="2006" w:type="dxa"/>
            <w:tcBorders>
              <w:top w:val="single" w:color="000000" w:sz="4" w:space="0"/>
              <w:left w:val="single" w:color="000000" w:sz="4" w:space="0"/>
              <w:bottom w:val="single" w:color="000000" w:sz="4" w:space="0"/>
              <w:right w:val="single" w:color="000000" w:sz="4" w:space="0"/>
            </w:tcBorders>
            <w:vAlign w:val="center"/>
          </w:tcPr>
          <w:p w14:paraId="37FA0510">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投标人资质条件、</w:t>
            </w:r>
          </w:p>
          <w:p w14:paraId="79489225">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能力和信誉</w:t>
            </w:r>
          </w:p>
        </w:tc>
        <w:tc>
          <w:tcPr>
            <w:tcW w:w="6516" w:type="dxa"/>
            <w:tcBorders>
              <w:top w:val="single" w:color="000000" w:sz="4" w:space="0"/>
              <w:left w:val="single" w:color="000000" w:sz="4" w:space="0"/>
              <w:bottom w:val="single" w:color="000000" w:sz="4" w:space="0"/>
              <w:right w:val="single" w:color="auto" w:sz="12" w:space="0"/>
            </w:tcBorders>
            <w:vAlign w:val="center"/>
          </w:tcPr>
          <w:p w14:paraId="02FA3DF4">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：见附录1</w:t>
            </w:r>
          </w:p>
          <w:p w14:paraId="2DC2B6C8">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财务要求：见附录2</w:t>
            </w:r>
          </w:p>
          <w:p w14:paraId="53952EC4">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业绩要求：见附录3</w:t>
            </w:r>
          </w:p>
          <w:p w14:paraId="236BDEFE">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信誉要求：见附录4</w:t>
            </w:r>
          </w:p>
          <w:p w14:paraId="488F4425">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项目经理经历和项目总工资格：见附录5</w:t>
            </w:r>
          </w:p>
          <w:p w14:paraId="79423E70">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其他要求：无</w:t>
            </w:r>
          </w:p>
        </w:tc>
      </w:tr>
      <w:tr w14:paraId="62D62B33">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BDEBA49">
            <w:pPr>
              <w:keepLines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1.4.2</w:t>
            </w:r>
          </w:p>
        </w:tc>
        <w:tc>
          <w:tcPr>
            <w:tcW w:w="2006" w:type="dxa"/>
            <w:tcBorders>
              <w:top w:val="single" w:color="000000" w:sz="4" w:space="0"/>
              <w:left w:val="single" w:color="000000" w:sz="4" w:space="0"/>
              <w:bottom w:val="single" w:color="000000" w:sz="4" w:space="0"/>
              <w:right w:val="single" w:color="000000" w:sz="4" w:space="0"/>
            </w:tcBorders>
            <w:vAlign w:val="center"/>
          </w:tcPr>
          <w:p w14:paraId="3A9D72C3">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是否接受联合体投标</w:t>
            </w:r>
          </w:p>
        </w:tc>
        <w:tc>
          <w:tcPr>
            <w:tcW w:w="6516" w:type="dxa"/>
            <w:tcBorders>
              <w:top w:val="single" w:color="000000" w:sz="4" w:space="0"/>
              <w:left w:val="single" w:color="000000" w:sz="4" w:space="0"/>
              <w:bottom w:val="single" w:color="000000" w:sz="4" w:space="0"/>
              <w:right w:val="single" w:color="auto" w:sz="12" w:space="0"/>
            </w:tcBorders>
            <w:vAlign w:val="center"/>
          </w:tcPr>
          <w:p w14:paraId="4011E4AF">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kern w:val="0"/>
                <w:sz w:val="21"/>
                <w:szCs w:val="21"/>
                <w:highlight w:val="none"/>
                <w:lang w:val="zh-CN"/>
              </w:rPr>
              <w:fldChar w:fldCharType="begin"/>
            </w:r>
            <w:r>
              <w:rPr>
                <w:rFonts w:hint="eastAsia" w:ascii="宋体" w:hAnsi="宋体" w:eastAsia="宋体" w:cs="宋体"/>
                <w:kern w:val="0"/>
                <w:sz w:val="21"/>
                <w:szCs w:val="21"/>
                <w:highlight w:val="none"/>
                <w:lang w:val="zh-CN"/>
              </w:rPr>
              <w:instrText xml:space="preserve"> eq \o\ac(</w:instrText>
            </w:r>
            <w:r>
              <w:rPr>
                <w:rFonts w:hint="eastAsia" w:ascii="宋体" w:hAnsi="宋体" w:eastAsia="宋体" w:cs="宋体"/>
                <w:kern w:val="0"/>
                <w:position w:val="-4"/>
                <w:sz w:val="31"/>
                <w:szCs w:val="21"/>
                <w:highlight w:val="none"/>
                <w:lang w:val="zh-CN"/>
              </w:rPr>
              <w:instrText xml:space="preserve">□</w:instrText>
            </w:r>
            <w:r>
              <w:rPr>
                <w:rFonts w:hint="eastAsia" w:ascii="宋体" w:hAnsi="宋体" w:eastAsia="宋体" w:cs="宋体"/>
                <w:kern w:val="0"/>
                <w:position w:val="0"/>
                <w:sz w:val="21"/>
                <w:szCs w:val="21"/>
                <w:highlight w:val="none"/>
                <w:lang w:val="zh-CN"/>
              </w:rPr>
              <w:instrText xml:space="preserve">,√)</w:instrText>
            </w:r>
            <w:r>
              <w:rPr>
                <w:rFonts w:hint="eastAsia" w:ascii="宋体" w:hAnsi="宋体" w:eastAsia="宋体" w:cs="宋体"/>
                <w:kern w:val="0"/>
                <w:sz w:val="21"/>
                <w:szCs w:val="21"/>
                <w:highlight w:val="none"/>
                <w:lang w:val="zh-CN"/>
              </w:rPr>
              <w:fldChar w:fldCharType="end"/>
            </w:r>
            <w:r>
              <w:rPr>
                <w:rFonts w:hint="eastAsia" w:ascii="宋体" w:hAnsi="宋体" w:eastAsia="宋体" w:cs="宋体"/>
                <w:color w:val="auto"/>
                <w:sz w:val="21"/>
                <w:szCs w:val="21"/>
                <w:highlight w:val="none"/>
              </w:rPr>
              <w:t>不接受</w:t>
            </w:r>
          </w:p>
          <w:p w14:paraId="5D450B46">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color w:val="auto"/>
                <w:kern w:val="0"/>
                <w:sz w:val="21"/>
                <w:szCs w:val="21"/>
                <w:highlight w:val="none"/>
                <w:lang w:val="zh-CN"/>
              </w:rPr>
              <w:fldChar w:fldCharType="begin"/>
            </w:r>
            <w:r>
              <w:rPr>
                <w:rFonts w:hint="eastAsia" w:ascii="宋体" w:hAnsi="宋体" w:eastAsia="宋体" w:cs="宋体"/>
                <w:color w:val="auto"/>
                <w:kern w:val="0"/>
                <w:sz w:val="21"/>
                <w:szCs w:val="21"/>
                <w:highlight w:val="none"/>
                <w:lang w:val="zh-CN"/>
              </w:rPr>
              <w:instrText xml:space="preserve"> eq \o\ac(</w:instrText>
            </w:r>
            <w:r>
              <w:rPr>
                <w:rFonts w:hint="eastAsia" w:ascii="宋体" w:hAnsi="宋体" w:eastAsia="宋体" w:cs="宋体"/>
                <w:color w:val="auto"/>
                <w:kern w:val="0"/>
                <w:position w:val="-4"/>
                <w:sz w:val="31"/>
                <w:szCs w:val="21"/>
                <w:highlight w:val="none"/>
                <w:lang w:val="zh-CN"/>
              </w:rPr>
              <w:instrText xml:space="preserve">□</w:instrText>
            </w:r>
            <w:r>
              <w:rPr>
                <w:rFonts w:hint="eastAsia" w:ascii="宋体" w:hAnsi="宋体" w:eastAsia="宋体" w:cs="宋体"/>
                <w:color w:val="auto"/>
                <w:kern w:val="0"/>
                <w:position w:val="0"/>
                <w:sz w:val="21"/>
                <w:szCs w:val="21"/>
                <w:highlight w:val="none"/>
                <w:lang w:val="zh-CN"/>
              </w:rPr>
              <w:instrText xml:space="preserve">)</w:instrText>
            </w:r>
            <w:r>
              <w:rPr>
                <w:rFonts w:hint="eastAsia" w:ascii="宋体" w:hAnsi="宋体" w:eastAsia="宋体" w:cs="宋体"/>
                <w:color w:val="auto"/>
                <w:kern w:val="0"/>
                <w:sz w:val="21"/>
                <w:szCs w:val="21"/>
                <w:highlight w:val="none"/>
                <w:lang w:val="zh-CN"/>
              </w:rPr>
              <w:fldChar w:fldCharType="end"/>
            </w:r>
            <w:r>
              <w:rPr>
                <w:rFonts w:hint="eastAsia" w:ascii="宋体" w:hAnsi="宋体" w:eastAsia="宋体" w:cs="宋体"/>
                <w:color w:val="auto"/>
                <w:sz w:val="21"/>
                <w:szCs w:val="21"/>
                <w:highlight w:val="none"/>
              </w:rPr>
              <w:t>接受</w:t>
            </w:r>
          </w:p>
        </w:tc>
      </w:tr>
      <w:tr w14:paraId="29727569">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D443B6A">
            <w:pPr>
              <w:keepLines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1.4.3</w:t>
            </w:r>
          </w:p>
        </w:tc>
        <w:tc>
          <w:tcPr>
            <w:tcW w:w="2006" w:type="dxa"/>
            <w:tcBorders>
              <w:top w:val="single" w:color="000000" w:sz="4" w:space="0"/>
              <w:left w:val="single" w:color="000000" w:sz="4" w:space="0"/>
              <w:bottom w:val="single" w:color="000000" w:sz="4" w:space="0"/>
              <w:right w:val="single" w:color="000000" w:sz="4" w:space="0"/>
            </w:tcBorders>
            <w:vAlign w:val="center"/>
          </w:tcPr>
          <w:p w14:paraId="7AE4FDFE">
            <w:pPr>
              <w:pStyle w:val="13"/>
              <w:keepNext/>
              <w:keepLines w:val="0"/>
              <w:shd w:val="clear" w:color="auto" w:fill="auto"/>
              <w:kinsoku/>
              <w:wordWrap/>
              <w:overflowPunct/>
              <w:topLinePunct w:val="0"/>
              <w:bidi w:val="0"/>
              <w:spacing w:line="360" w:lineRule="exact"/>
              <w:ind w:firstLine="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投标人不得存在的</w:t>
            </w:r>
          </w:p>
          <w:p w14:paraId="501829B4">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其他关联情形</w:t>
            </w:r>
          </w:p>
        </w:tc>
        <w:tc>
          <w:tcPr>
            <w:tcW w:w="6516" w:type="dxa"/>
            <w:tcBorders>
              <w:top w:val="single" w:color="000000" w:sz="4" w:space="0"/>
              <w:left w:val="single" w:color="000000" w:sz="4" w:space="0"/>
              <w:bottom w:val="single" w:color="000000" w:sz="4" w:space="0"/>
              <w:right w:val="single" w:color="auto" w:sz="12" w:space="0"/>
            </w:tcBorders>
            <w:vAlign w:val="center"/>
          </w:tcPr>
          <w:p w14:paraId="5676DFBF">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color w:val="auto"/>
                <w:kern w:val="0"/>
                <w:sz w:val="21"/>
                <w:szCs w:val="21"/>
                <w:highlight w:val="none"/>
                <w:lang w:val="zh-CN"/>
              </w:rPr>
              <w:t>/</w:t>
            </w:r>
          </w:p>
        </w:tc>
      </w:tr>
      <w:tr w14:paraId="3EB1FBDB">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270EFA83">
            <w:pPr>
              <w:keepLines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1.4.4</w:t>
            </w:r>
          </w:p>
        </w:tc>
        <w:tc>
          <w:tcPr>
            <w:tcW w:w="2006" w:type="dxa"/>
            <w:tcBorders>
              <w:top w:val="single" w:color="000000" w:sz="4" w:space="0"/>
              <w:left w:val="single" w:color="000000" w:sz="4" w:space="0"/>
              <w:bottom w:val="single" w:color="000000" w:sz="4" w:space="0"/>
              <w:right w:val="single" w:color="000000" w:sz="4" w:space="0"/>
            </w:tcBorders>
            <w:vAlign w:val="center"/>
          </w:tcPr>
          <w:p w14:paraId="4C1F69BD">
            <w:pPr>
              <w:pStyle w:val="13"/>
              <w:keepNext/>
              <w:keepLines w:val="0"/>
              <w:shd w:val="clear" w:color="auto" w:fill="auto"/>
              <w:kinsoku/>
              <w:wordWrap/>
              <w:overflowPunct/>
              <w:topLinePunct w:val="0"/>
              <w:bidi w:val="0"/>
              <w:spacing w:line="360" w:lineRule="exact"/>
              <w:ind w:firstLine="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投标人不得存在的</w:t>
            </w:r>
          </w:p>
          <w:p w14:paraId="7ED9086A">
            <w:pPr>
              <w:pStyle w:val="13"/>
              <w:keepNext/>
              <w:keepLines w:val="0"/>
              <w:shd w:val="clear" w:color="auto" w:fill="auto"/>
              <w:kinsoku/>
              <w:wordWrap/>
              <w:overflowPunct/>
              <w:topLinePunct w:val="0"/>
              <w:bidi w:val="0"/>
              <w:spacing w:line="360" w:lineRule="exact"/>
              <w:ind w:firstLine="0" w:firstLineChars="0"/>
              <w:jc w:val="center"/>
              <w:textAlignment w:val="auto"/>
              <w:rPr>
                <w:rFonts w:hint="eastAsia" w:ascii="宋体" w:hAnsi="宋体" w:eastAsia="宋体" w:cs="宋体"/>
                <w:sz w:val="21"/>
                <w:szCs w:val="21"/>
                <w:lang w:val="en-US" w:bidi="ar-SA"/>
              </w:rPr>
            </w:pPr>
            <w:r>
              <w:rPr>
                <w:rFonts w:hint="eastAsia" w:ascii="宋体" w:hAnsi="宋体" w:eastAsia="宋体" w:cs="宋体"/>
                <w:color w:val="auto"/>
                <w:kern w:val="2"/>
                <w:sz w:val="21"/>
                <w:szCs w:val="21"/>
                <w:highlight w:val="none"/>
                <w:lang w:val="en-US" w:eastAsia="zh-CN" w:bidi="ar-SA"/>
              </w:rPr>
              <w:t>其他不良状况或不良信用记录</w:t>
            </w:r>
          </w:p>
        </w:tc>
        <w:tc>
          <w:tcPr>
            <w:tcW w:w="6516" w:type="dxa"/>
            <w:tcBorders>
              <w:top w:val="single" w:color="000000" w:sz="4" w:space="0"/>
              <w:left w:val="single" w:color="000000" w:sz="4" w:space="0"/>
              <w:bottom w:val="single" w:color="000000" w:sz="4" w:space="0"/>
              <w:right w:val="single" w:color="auto" w:sz="12" w:space="0"/>
            </w:tcBorders>
            <w:vAlign w:val="center"/>
          </w:tcPr>
          <w:p w14:paraId="3CA5C637">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color w:val="auto"/>
                <w:kern w:val="0"/>
                <w:sz w:val="21"/>
                <w:szCs w:val="21"/>
                <w:highlight w:val="none"/>
                <w:lang w:val="zh-CN"/>
              </w:rPr>
              <w:t>/</w:t>
            </w:r>
          </w:p>
        </w:tc>
      </w:tr>
    </w:tbl>
    <w:p w14:paraId="4E4E01B6">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bookmarkStart w:id="0" w:name="_Toc502741808"/>
      <w:bookmarkStart w:id="1" w:name="_Toc152042310"/>
      <w:bookmarkStart w:id="2" w:name="_Toc179632551"/>
      <w:bookmarkStart w:id="3" w:name="_Toc144974502"/>
      <w:bookmarkStart w:id="4" w:name="_Toc152045534"/>
      <w:bookmarkStart w:id="5" w:name="_Hlk141167126"/>
      <w:bookmarkStart w:id="6" w:name="_Toc14854"/>
      <w:r>
        <w:rPr>
          <w:rFonts w:hint="eastAsia" w:ascii="宋体" w:hAnsi="宋体" w:eastAsia="宋体" w:cs="宋体"/>
          <w:color w:val="auto"/>
          <w:sz w:val="21"/>
          <w:szCs w:val="21"/>
          <w:highlight w:val="none"/>
        </w:rPr>
        <w:t>1.4投标人资格要求（适用于未进行资格预审的）</w:t>
      </w:r>
      <w:bookmarkEnd w:id="0"/>
      <w:bookmarkEnd w:id="1"/>
      <w:bookmarkEnd w:id="2"/>
      <w:bookmarkEnd w:id="3"/>
      <w:bookmarkEnd w:id="4"/>
    </w:p>
    <w:p w14:paraId="77DD55EB">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1.4.1投标人应具备承担本标段施工的资质条件、能力和信誉。</w:t>
      </w:r>
    </w:p>
    <w:p w14:paraId="338752C9">
      <w:pPr>
        <w:keepLines w:val="0"/>
        <w:numPr>
          <w:ilvl w:val="0"/>
          <w:numId w:val="0"/>
        </w:numPr>
        <w:tabs>
          <w:tab w:val="left" w:pos="1134"/>
        </w:tabs>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资质</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：见投标人须知前附表；</w:t>
      </w:r>
    </w:p>
    <w:p w14:paraId="07FC4BA7">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财务要求：见投标人须知前附表；</w:t>
      </w:r>
    </w:p>
    <w:p w14:paraId="21FF2D96">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业绩要求：见投标人须知前附表；</w:t>
      </w:r>
    </w:p>
    <w:p w14:paraId="588DB2DE">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信誉要求：见投标人须知前附表；</w:t>
      </w:r>
    </w:p>
    <w:p w14:paraId="472B6667">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项目经理和项目总工资格：见投标人须知前附表；</w:t>
      </w:r>
    </w:p>
    <w:p w14:paraId="1964AD26">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其他要求：见投标人须知前附表。</w:t>
      </w:r>
    </w:p>
    <w:p w14:paraId="26447C91">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需要提交的相关证明材料见本章第3.5款的规定。</w:t>
      </w:r>
    </w:p>
    <w:p w14:paraId="60FF5437">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1.4.2投标人须知前附表规定接受联合体投标的，联合体除应符合本章第1.4.1项和投标人须知前附表的要求外，还应遵守以下规定：</w:t>
      </w:r>
    </w:p>
    <w:p w14:paraId="207EEFFA">
      <w:pPr>
        <w:keepLines w:val="0"/>
        <w:numPr>
          <w:ilvl w:val="0"/>
          <w:numId w:val="0"/>
        </w:numPr>
        <w:tabs>
          <w:tab w:val="left" w:pos="1134"/>
        </w:tabs>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联合体各方应按招标文件提供的格式签订联合体协议书，明确联合体牵头人和各方权利义务，并承诺就中标项目向招标人承担连带责任；</w:t>
      </w:r>
    </w:p>
    <w:p w14:paraId="208ED449">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由同一专业的单位组成的联合体，按照资质等级较低的单位确定资质等级；</w:t>
      </w:r>
    </w:p>
    <w:p w14:paraId="600756A0">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联合体各方不得再以自</w:t>
      </w:r>
      <w:r>
        <w:rPr>
          <w:rFonts w:hint="eastAsia" w:ascii="宋体" w:hAnsi="宋体" w:eastAsia="宋体" w:cs="宋体"/>
          <w:color w:val="auto"/>
          <w:sz w:val="21"/>
          <w:szCs w:val="21"/>
          <w:highlight w:val="none"/>
          <w:lang w:eastAsia="zh-CN"/>
        </w:rPr>
        <w:t>己</w:t>
      </w:r>
      <w:r>
        <w:rPr>
          <w:rFonts w:hint="eastAsia" w:ascii="宋体" w:hAnsi="宋体" w:eastAsia="宋体" w:cs="宋体"/>
          <w:color w:val="auto"/>
          <w:sz w:val="21"/>
          <w:szCs w:val="21"/>
          <w:highlight w:val="none"/>
        </w:rPr>
        <w:t>名义单独或参加其他联合体在同一标段中投标；</w:t>
      </w:r>
    </w:p>
    <w:p w14:paraId="2A309512">
      <w:pPr>
        <w:keepLines w:val="0"/>
        <w:numPr>
          <w:ilvl w:val="0"/>
          <w:numId w:val="0"/>
        </w:numPr>
        <w:tabs>
          <w:tab w:val="left" w:pos="1134"/>
        </w:tabs>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21616C2F">
      <w:pPr>
        <w:keepLines w:val="0"/>
        <w:numPr>
          <w:ilvl w:val="0"/>
          <w:numId w:val="0"/>
        </w:numPr>
        <w:tabs>
          <w:tab w:val="left" w:pos="1134"/>
        </w:tabs>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尽管委任了联合体牵头人，但联合体各成员在投标、签订合同与履行合同过程中，仍负有连带的和各自的法律责任。</w:t>
      </w:r>
    </w:p>
    <w:p w14:paraId="780CD984">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1.4.3投标人（包括联合体各成员）不得与本标段相关单位存在下列关联</w:t>
      </w:r>
      <w:r>
        <w:rPr>
          <w:rFonts w:hint="eastAsia" w:ascii="宋体" w:hAnsi="宋体" w:eastAsia="宋体" w:cs="宋体"/>
          <w:color w:val="auto"/>
          <w:sz w:val="21"/>
          <w:szCs w:val="21"/>
          <w:highlight w:val="none"/>
          <w:lang w:val="en-US" w:eastAsia="zh-CN"/>
        </w:rPr>
        <w:t>情形</w:t>
      </w:r>
      <w:r>
        <w:rPr>
          <w:rFonts w:hint="eastAsia" w:ascii="宋体" w:hAnsi="宋体" w:eastAsia="宋体" w:cs="宋体"/>
          <w:color w:val="auto"/>
          <w:sz w:val="21"/>
          <w:szCs w:val="21"/>
          <w:highlight w:val="none"/>
        </w:rPr>
        <w:t>：</w:t>
      </w:r>
    </w:p>
    <w:p w14:paraId="368B1E0C">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为招标人不具有独立法人资格的附属机构（单位）；</w:t>
      </w:r>
    </w:p>
    <w:p w14:paraId="7551C07D">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与招标人存在利害关系且可能影响招标公正性；</w:t>
      </w:r>
    </w:p>
    <w:p w14:paraId="2FC981D2">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与本标段的其他投标人同为一个单位负责人；</w:t>
      </w:r>
    </w:p>
    <w:p w14:paraId="6DBAA3EE">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与本标段的其他投标人存在控股、管理关系；</w:t>
      </w:r>
    </w:p>
    <w:p w14:paraId="40144DC2">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为本标段前期准备提供设计或咨询服务的法人或其任何附属机构（单位）；</w:t>
      </w:r>
    </w:p>
    <w:p w14:paraId="030ECAD6">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为本标段的监理人；</w:t>
      </w:r>
    </w:p>
    <w:p w14:paraId="74520DE3">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为本标段的代建人；</w:t>
      </w:r>
    </w:p>
    <w:p w14:paraId="1B7CF00A">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（8）</w:t>
      </w:r>
      <w:r>
        <w:rPr>
          <w:rFonts w:hint="eastAsia" w:ascii="宋体" w:hAnsi="宋体" w:eastAsia="宋体" w:cs="宋体"/>
          <w:color w:val="auto"/>
          <w:sz w:val="21"/>
          <w:szCs w:val="21"/>
          <w:highlight w:val="none"/>
        </w:rPr>
        <w:t>为本标段的招标代理机构；</w:t>
      </w:r>
    </w:p>
    <w:p w14:paraId="41B69568">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（9）</w:t>
      </w:r>
      <w:r>
        <w:rPr>
          <w:rFonts w:hint="eastAsia" w:ascii="宋体" w:hAnsi="宋体" w:eastAsia="宋体" w:cs="宋体"/>
          <w:color w:val="auto"/>
          <w:sz w:val="21"/>
          <w:szCs w:val="21"/>
          <w:highlight w:val="none"/>
        </w:rPr>
        <w:t>与本标段的监理人或代建人或招标代理机构同为一个法定代表人；</w:t>
      </w:r>
    </w:p>
    <w:p w14:paraId="49301029">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color w:val="auto"/>
          <w:sz w:val="21"/>
          <w:szCs w:val="21"/>
          <w:highlight w:val="none"/>
        </w:rPr>
        <w:t>与本标段的监理人或代建人或招标代理机构存在控股或参股关系；</w:t>
      </w:r>
    </w:p>
    <w:p w14:paraId="4B155DA1">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（11）</w:t>
      </w:r>
      <w:r>
        <w:rPr>
          <w:rFonts w:hint="eastAsia" w:ascii="宋体" w:hAnsi="宋体" w:eastAsia="宋体" w:cs="宋体"/>
          <w:color w:val="auto"/>
          <w:sz w:val="21"/>
          <w:szCs w:val="21"/>
          <w:highlight w:val="none"/>
        </w:rPr>
        <w:t>法律法规或投标人须知前附表规定的其他情形。</w:t>
      </w:r>
    </w:p>
    <w:p w14:paraId="26C946E0">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1.4.4投标人（包括联合体各成员）不得存在下列不良状况或不良信用记录：</w:t>
      </w:r>
    </w:p>
    <w:p w14:paraId="3FE78348">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被省级及以上交通运输主管部门取消招标项目所在地的投标资格且处于有效期内；</w:t>
      </w:r>
    </w:p>
    <w:p w14:paraId="75639F6A">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被责令停业，暂扣或吊销执照，或吊销资质证书；</w:t>
      </w:r>
    </w:p>
    <w:p w14:paraId="5E2DAF99">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进入清算程序，或被宣告破产，或其他丧失履约能力的情形；</w:t>
      </w:r>
    </w:p>
    <w:p w14:paraId="1B06B5E0">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在国家企业信用信息公示系统（http://www.gsxt.gov.cn/）中被列入严重违法失信企业名单；</w:t>
      </w:r>
    </w:p>
    <w:p w14:paraId="62D47E97">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在“信用中国”网站（http://www.creditchina.gov.cn/）中被列入失信被执行人名单；</w:t>
      </w:r>
    </w:p>
    <w:p w14:paraId="482B8B3B">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投标人或其法定代表人、拟委任的项目经理在近三年内有行贿犯罪行为的；</w:t>
      </w:r>
    </w:p>
    <w:p w14:paraId="46D92D68">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法律法规或投标人须知前附表规定的其他情形。</w:t>
      </w:r>
    </w:p>
    <w:p w14:paraId="501A18F4">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1.4.5投标人（包括联合体各成员）应进入交通运输部“全国公路建设市场监督管理系统（https://hwdms.mot.gov.cn）”中的公路工程施工资质企业名录，且投标人名称和资质与该名录中的相应企业名称和资质完全一致。投标人不满足本项规定条件的，将被否决投标。</w:t>
      </w:r>
      <w:r>
        <w:rPr>
          <w:rStyle w:val="11"/>
          <w:rFonts w:hint="eastAsia" w:ascii="宋体" w:hAnsi="宋体" w:eastAsia="宋体" w:cs="宋体"/>
          <w:color w:val="auto"/>
          <w:sz w:val="21"/>
          <w:szCs w:val="21"/>
          <w:highlight w:val="none"/>
        </w:rPr>
        <w:footnoteReference w:id="0"/>
      </w:r>
    </w:p>
    <w:p w14:paraId="44112C89">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p>
    <w:bookmarkEnd w:id="5"/>
    <w:bookmarkEnd w:id="6"/>
    <w:p w14:paraId="0CA13484">
      <w:pPr>
        <w:keepLines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bookmarkStart w:id="7" w:name="_Toc7841"/>
      <w:r>
        <w:rPr>
          <w:rFonts w:hint="eastAsia" w:ascii="宋体" w:hAnsi="宋体" w:eastAsia="宋体" w:cs="宋体"/>
          <w:b/>
          <w:color w:val="auto"/>
          <w:sz w:val="21"/>
          <w:szCs w:val="21"/>
          <w:highlight w:val="none"/>
        </w:rPr>
        <w:t>附录1 资格审查条件（资质最低要求）</w:t>
      </w:r>
      <w:bookmarkEnd w:id="7"/>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8219"/>
      </w:tblGrid>
      <w:tr w14:paraId="66D69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97" w:type="dxa"/>
            <w:tcBorders>
              <w:top w:val="single" w:color="auto" w:sz="12" w:space="0"/>
              <w:left w:val="single" w:color="auto" w:sz="12" w:space="0"/>
            </w:tcBorders>
            <w:vAlign w:val="center"/>
          </w:tcPr>
          <w:p w14:paraId="0F9FE94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标段</w:t>
            </w:r>
          </w:p>
        </w:tc>
        <w:tc>
          <w:tcPr>
            <w:tcW w:w="8219" w:type="dxa"/>
            <w:tcBorders>
              <w:top w:val="single" w:color="auto" w:sz="12" w:space="0"/>
              <w:right w:val="single" w:color="auto" w:sz="12" w:space="0"/>
            </w:tcBorders>
            <w:vAlign w:val="center"/>
          </w:tcPr>
          <w:p w14:paraId="66515D4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施工企业资质等级要求</w:t>
            </w:r>
          </w:p>
        </w:tc>
      </w:tr>
      <w:tr w14:paraId="5579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97" w:type="dxa"/>
            <w:tcBorders>
              <w:left w:val="single" w:color="auto" w:sz="12" w:space="0"/>
              <w:bottom w:val="single" w:color="auto" w:sz="12" w:space="0"/>
            </w:tcBorders>
            <w:shd w:val="clear" w:color="auto" w:fill="auto"/>
            <w:vAlign w:val="center"/>
          </w:tcPr>
          <w:p w14:paraId="35AFB8A4">
            <w:pPr>
              <w:pStyle w:val="5"/>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CBS26JA01</w:t>
            </w:r>
          </w:p>
        </w:tc>
        <w:tc>
          <w:tcPr>
            <w:tcW w:w="8219" w:type="dxa"/>
            <w:tcBorders>
              <w:bottom w:val="single" w:color="auto" w:sz="12" w:space="0"/>
              <w:right w:val="single" w:color="auto" w:sz="12" w:space="0"/>
            </w:tcBorders>
            <w:shd w:val="clear" w:color="auto" w:fill="auto"/>
            <w:vAlign w:val="center"/>
          </w:tcPr>
          <w:p w14:paraId="2248C987">
            <w:pPr>
              <w:keepLines w:val="0"/>
              <w:kinsoku/>
              <w:wordWrap/>
              <w:overflowPunct/>
              <w:topLinePunct w:val="0"/>
              <w:bidi w:val="0"/>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交通运输主管部门颁发的交通安全设施养护资质</w:t>
            </w:r>
            <w:r>
              <w:rPr>
                <w:rFonts w:hint="eastAsia" w:ascii="宋体" w:hAnsi="宋体" w:eastAsia="宋体" w:cs="宋体"/>
                <w:sz w:val="21"/>
                <w:szCs w:val="21"/>
                <w:highlight w:val="none"/>
                <w:lang w:eastAsia="zh-CN"/>
              </w:rPr>
              <w:t>。</w:t>
            </w:r>
          </w:p>
        </w:tc>
      </w:tr>
    </w:tbl>
    <w:p w14:paraId="50AA2E30">
      <w:pPr>
        <w:keepLines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bookmarkStart w:id="8" w:name="_Toc31233"/>
      <w:r>
        <w:rPr>
          <w:rFonts w:hint="eastAsia" w:ascii="宋体" w:hAnsi="宋体" w:eastAsia="宋体" w:cs="宋体"/>
          <w:b/>
          <w:color w:val="auto"/>
          <w:sz w:val="21"/>
          <w:szCs w:val="21"/>
          <w:highlight w:val="none"/>
        </w:rPr>
        <w:t>附录2 资格审查条件（财务最低要求）</w:t>
      </w:r>
      <w:bookmarkEnd w:id="8"/>
    </w:p>
    <w:tbl>
      <w:tblPr>
        <w:tblStyle w:val="9"/>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6"/>
      </w:tblGrid>
      <w:tr w14:paraId="3B75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516" w:type="dxa"/>
            <w:tcBorders>
              <w:top w:val="single" w:color="auto" w:sz="12" w:space="0"/>
              <w:left w:val="single" w:color="auto" w:sz="12" w:space="0"/>
              <w:bottom w:val="single" w:color="auto" w:sz="4" w:space="0"/>
              <w:right w:val="single" w:color="auto" w:sz="12" w:space="0"/>
            </w:tcBorders>
            <w:vAlign w:val="center"/>
          </w:tcPr>
          <w:p w14:paraId="421F7B81">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财务要求</w:t>
            </w:r>
          </w:p>
        </w:tc>
      </w:tr>
      <w:tr w14:paraId="5E82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516" w:type="dxa"/>
            <w:tcBorders>
              <w:top w:val="single" w:color="auto" w:sz="4" w:space="0"/>
              <w:left w:val="single" w:color="auto" w:sz="12" w:space="0"/>
              <w:bottom w:val="single" w:color="auto" w:sz="12" w:space="0"/>
              <w:right w:val="single" w:color="auto" w:sz="12" w:space="0"/>
            </w:tcBorders>
            <w:vAlign w:val="center"/>
          </w:tcPr>
          <w:p w14:paraId="37133A0C">
            <w:pPr>
              <w:keepLines w:val="0"/>
              <w:widowControl/>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近三年具有良好的商业信誉和健全的财务会计制度。</w:t>
            </w:r>
          </w:p>
        </w:tc>
      </w:tr>
    </w:tbl>
    <w:p w14:paraId="2422A01F">
      <w:pPr>
        <w:keepLines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bookmarkStart w:id="9" w:name="_Toc31524"/>
      <w:r>
        <w:rPr>
          <w:rFonts w:hint="eastAsia" w:ascii="宋体" w:hAnsi="宋体" w:eastAsia="宋体" w:cs="宋体"/>
          <w:b/>
          <w:color w:val="auto"/>
          <w:sz w:val="21"/>
          <w:szCs w:val="21"/>
          <w:highlight w:val="none"/>
        </w:rPr>
        <w:t>附录3 资格审查条件（业绩最低要求）</w:t>
      </w:r>
      <w:bookmarkEnd w:id="9"/>
    </w:p>
    <w:tbl>
      <w:tblPr>
        <w:tblStyle w:val="9"/>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8235"/>
      </w:tblGrid>
      <w:tr w14:paraId="37B83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286" w:type="dxa"/>
            <w:tcBorders>
              <w:top w:val="single" w:color="auto" w:sz="12" w:space="0"/>
              <w:left w:val="single" w:color="auto" w:sz="12" w:space="0"/>
              <w:right w:val="single" w:color="auto" w:sz="4" w:space="0"/>
            </w:tcBorders>
            <w:vAlign w:val="center"/>
          </w:tcPr>
          <w:p w14:paraId="4BA9F469">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标段</w:t>
            </w:r>
          </w:p>
        </w:tc>
        <w:tc>
          <w:tcPr>
            <w:tcW w:w="8235" w:type="dxa"/>
            <w:tcBorders>
              <w:top w:val="single" w:color="auto" w:sz="12" w:space="0"/>
              <w:left w:val="single" w:color="auto" w:sz="4" w:space="0"/>
              <w:right w:val="single" w:color="auto" w:sz="12" w:space="0"/>
            </w:tcBorders>
            <w:vAlign w:val="center"/>
          </w:tcPr>
          <w:p w14:paraId="561F4700">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业绩要求</w:t>
            </w:r>
          </w:p>
        </w:tc>
      </w:tr>
      <w:tr w14:paraId="115D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86" w:type="dxa"/>
            <w:tcBorders>
              <w:left w:val="single" w:color="auto" w:sz="12" w:space="0"/>
              <w:bottom w:val="single" w:color="auto" w:sz="12" w:space="0"/>
              <w:right w:val="single" w:color="auto" w:sz="4" w:space="0"/>
            </w:tcBorders>
            <w:vAlign w:val="center"/>
          </w:tcPr>
          <w:p w14:paraId="13A85779">
            <w:pPr>
              <w:pStyle w:val="5"/>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CBS26JA01</w:t>
            </w:r>
          </w:p>
        </w:tc>
        <w:tc>
          <w:tcPr>
            <w:tcW w:w="8235" w:type="dxa"/>
            <w:tcBorders>
              <w:left w:val="single" w:color="auto" w:sz="4" w:space="0"/>
              <w:bottom w:val="single" w:color="auto" w:sz="12" w:space="0"/>
              <w:right w:val="single" w:color="auto" w:sz="12" w:space="0"/>
            </w:tcBorders>
            <w:vAlign w:val="center"/>
          </w:tcPr>
          <w:p w14:paraId="011F3859">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bl>
    <w:p w14:paraId="2E79D091">
      <w:pPr>
        <w:keepLines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bookmarkStart w:id="10" w:name="_Toc14564"/>
      <w:r>
        <w:rPr>
          <w:rFonts w:hint="eastAsia" w:ascii="宋体" w:hAnsi="宋体" w:eastAsia="宋体" w:cs="宋体"/>
          <w:b/>
          <w:color w:val="auto"/>
          <w:sz w:val="21"/>
          <w:szCs w:val="21"/>
          <w:highlight w:val="none"/>
        </w:rPr>
        <w:t>附录4 资格审查条件（信誉最低要求）</w:t>
      </w:r>
      <w:bookmarkEnd w:id="10"/>
    </w:p>
    <w:tbl>
      <w:tblPr>
        <w:tblStyle w:val="9"/>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1"/>
      </w:tblGrid>
      <w:tr w14:paraId="1988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521" w:type="dxa"/>
            <w:tcBorders>
              <w:top w:val="single" w:color="auto" w:sz="12" w:space="0"/>
              <w:left w:val="single" w:color="auto" w:sz="12" w:space="0"/>
              <w:right w:val="single" w:color="auto" w:sz="12" w:space="0"/>
            </w:tcBorders>
            <w:vAlign w:val="center"/>
          </w:tcPr>
          <w:p w14:paraId="3085664E">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信誉要求</w:t>
            </w:r>
          </w:p>
        </w:tc>
      </w:tr>
      <w:tr w14:paraId="4C3DF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521" w:type="dxa"/>
            <w:tcBorders>
              <w:left w:val="single" w:color="auto" w:sz="12" w:space="0"/>
              <w:bottom w:val="single" w:color="auto" w:sz="12" w:space="0"/>
              <w:right w:val="single" w:color="auto" w:sz="12" w:space="0"/>
            </w:tcBorders>
            <w:vAlign w:val="center"/>
          </w:tcPr>
          <w:p w14:paraId="06CFF10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rPr>
              <w:t>。</w:t>
            </w:r>
          </w:p>
        </w:tc>
      </w:tr>
    </w:tbl>
    <w:p w14:paraId="5C780492">
      <w:pPr>
        <w:keepLines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bookmarkStart w:id="11" w:name="_Toc2902"/>
      <w:r>
        <w:rPr>
          <w:rFonts w:hint="eastAsia" w:ascii="宋体" w:hAnsi="宋体" w:eastAsia="宋体" w:cs="宋体"/>
          <w:b/>
          <w:color w:val="auto"/>
          <w:sz w:val="21"/>
          <w:szCs w:val="21"/>
          <w:highlight w:val="none"/>
        </w:rPr>
        <w:t>附录5 资格审查条件（项目经理和项目总工最低要求）</w:t>
      </w:r>
      <w:bookmarkEnd w:id="11"/>
    </w:p>
    <w:tbl>
      <w:tblPr>
        <w:tblStyle w:val="9"/>
        <w:tblW w:w="9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239"/>
        <w:gridCol w:w="5751"/>
        <w:gridCol w:w="1381"/>
      </w:tblGrid>
      <w:tr w14:paraId="2189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98" w:type="dxa"/>
            <w:tcBorders>
              <w:top w:val="single" w:color="auto" w:sz="12" w:space="0"/>
              <w:left w:val="single" w:color="auto" w:sz="12" w:space="0"/>
            </w:tcBorders>
            <w:vAlign w:val="center"/>
          </w:tcPr>
          <w:p w14:paraId="31D3CA8A">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w:t>
            </w:r>
            <w:r>
              <w:rPr>
                <w:rFonts w:hint="eastAsia" w:ascii="宋体" w:hAnsi="宋体" w:eastAsia="宋体" w:cs="宋体"/>
                <w:bCs/>
                <w:color w:val="auto"/>
                <w:sz w:val="21"/>
                <w:szCs w:val="21"/>
                <w:highlight w:val="none"/>
                <w:vertAlign w:val="superscript"/>
              </w:rPr>
              <w:footnoteReference w:id="1"/>
            </w:r>
          </w:p>
        </w:tc>
        <w:tc>
          <w:tcPr>
            <w:tcW w:w="1239" w:type="dxa"/>
            <w:tcBorders>
              <w:top w:val="single" w:color="auto" w:sz="12" w:space="0"/>
              <w:right w:val="single" w:color="auto" w:sz="4" w:space="0"/>
            </w:tcBorders>
            <w:vAlign w:val="center"/>
          </w:tcPr>
          <w:p w14:paraId="1075EA9D">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数量</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（人</w:t>
            </w:r>
            <w:r>
              <w:rPr>
                <w:rFonts w:hint="eastAsia" w:ascii="宋体" w:hAnsi="宋体" w:eastAsia="宋体" w:cs="宋体"/>
                <w:sz w:val="21"/>
                <w:szCs w:val="21"/>
                <w:highlight w:val="none"/>
                <w:lang w:val="en-US" w:eastAsia="zh-CN"/>
              </w:rPr>
              <w:t>/标段</w:t>
            </w:r>
            <w:r>
              <w:rPr>
                <w:rFonts w:hint="eastAsia" w:ascii="宋体" w:hAnsi="宋体" w:eastAsia="宋体" w:cs="宋体"/>
                <w:sz w:val="21"/>
                <w:szCs w:val="21"/>
                <w:highlight w:val="none"/>
              </w:rPr>
              <w:t>）</w:t>
            </w:r>
          </w:p>
        </w:tc>
        <w:tc>
          <w:tcPr>
            <w:tcW w:w="5751" w:type="dxa"/>
            <w:tcBorders>
              <w:top w:val="single" w:color="auto" w:sz="12" w:space="0"/>
              <w:left w:val="single" w:color="auto" w:sz="4" w:space="0"/>
              <w:right w:val="single" w:color="auto" w:sz="4" w:space="0"/>
            </w:tcBorders>
            <w:vAlign w:val="center"/>
          </w:tcPr>
          <w:p w14:paraId="27EAF22B">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c>
          <w:tcPr>
            <w:tcW w:w="1381" w:type="dxa"/>
            <w:tcBorders>
              <w:top w:val="single" w:color="auto" w:sz="12" w:space="0"/>
              <w:left w:val="single" w:color="auto" w:sz="4" w:space="0"/>
              <w:right w:val="single" w:color="auto" w:sz="12" w:space="0"/>
            </w:tcBorders>
            <w:vAlign w:val="center"/>
          </w:tcPr>
          <w:p w14:paraId="5414BADC">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在岗要求</w:t>
            </w:r>
          </w:p>
        </w:tc>
      </w:tr>
      <w:tr w14:paraId="6706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1098" w:type="dxa"/>
            <w:tcBorders>
              <w:left w:val="single" w:color="auto" w:sz="12" w:space="0"/>
            </w:tcBorders>
            <w:vAlign w:val="center"/>
          </w:tcPr>
          <w:p w14:paraId="06887CF6">
            <w:pPr>
              <w:keepLines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项目经理</w:t>
            </w:r>
          </w:p>
        </w:tc>
        <w:tc>
          <w:tcPr>
            <w:tcW w:w="1239" w:type="dxa"/>
            <w:tcBorders>
              <w:right w:val="single" w:color="auto" w:sz="4" w:space="0"/>
            </w:tcBorders>
            <w:vAlign w:val="center"/>
          </w:tcPr>
          <w:p w14:paraId="5BAC1ADB">
            <w:pPr>
              <w:keepLines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w:t>
            </w:r>
          </w:p>
        </w:tc>
        <w:tc>
          <w:tcPr>
            <w:tcW w:w="5751" w:type="dxa"/>
            <w:tcBorders>
              <w:left w:val="single" w:color="auto" w:sz="4" w:space="0"/>
              <w:right w:val="single" w:color="auto" w:sz="4" w:space="0"/>
            </w:tcBorders>
            <w:vAlign w:val="center"/>
          </w:tcPr>
          <w:p w14:paraId="5929824D">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Cs/>
                <w:color w:val="auto"/>
                <w:sz w:val="21"/>
                <w:szCs w:val="21"/>
                <w:highlight w:val="none"/>
              </w:rPr>
              <w:t>（1）投标</w:t>
            </w:r>
            <w:r>
              <w:rPr>
                <w:rFonts w:hint="eastAsia" w:ascii="宋体" w:hAnsi="宋体" w:eastAsia="宋体" w:cs="宋体"/>
                <w:b w:val="0"/>
                <w:bCs/>
                <w:color w:val="auto"/>
                <w:sz w:val="21"/>
                <w:szCs w:val="21"/>
                <w:highlight w:val="none"/>
              </w:rPr>
              <w:t>人</w:t>
            </w:r>
            <w:r>
              <w:rPr>
                <w:rFonts w:hint="eastAsia" w:ascii="宋体" w:hAnsi="宋体" w:eastAsia="宋体" w:cs="宋体"/>
                <w:b/>
                <w:bCs w:val="0"/>
                <w:color w:val="auto"/>
                <w:sz w:val="21"/>
                <w:szCs w:val="21"/>
                <w:highlight w:val="none"/>
              </w:rPr>
              <w:t>自有</w:t>
            </w:r>
            <w:r>
              <w:rPr>
                <w:rStyle w:val="11"/>
                <w:rFonts w:hint="eastAsia" w:ascii="宋体" w:hAnsi="宋体" w:eastAsia="宋体" w:cs="宋体"/>
                <w:b w:val="0"/>
                <w:bCs/>
                <w:color w:val="auto"/>
                <w:sz w:val="21"/>
                <w:szCs w:val="21"/>
                <w:highlight w:val="none"/>
              </w:rPr>
              <w:footnoteReference w:id="2"/>
            </w:r>
            <w:r>
              <w:rPr>
                <w:rFonts w:hint="eastAsia" w:ascii="宋体" w:hAnsi="宋体" w:eastAsia="宋体" w:cs="宋体"/>
                <w:b w:val="0"/>
                <w:bCs/>
                <w:color w:val="auto"/>
                <w:sz w:val="21"/>
                <w:szCs w:val="21"/>
                <w:highlight w:val="none"/>
              </w:rPr>
              <w:t>人员；</w:t>
            </w:r>
          </w:p>
          <w:p w14:paraId="78C844AE">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val="en-US" w:eastAsia="zh-CN"/>
              </w:rPr>
              <w:t>具有</w:t>
            </w:r>
            <w:r>
              <w:rPr>
                <w:rFonts w:hint="eastAsia" w:ascii="宋体" w:hAnsi="宋体" w:eastAsia="宋体" w:cs="宋体"/>
                <w:b w:val="0"/>
                <w:bCs/>
                <w:color w:val="auto"/>
                <w:sz w:val="21"/>
                <w:szCs w:val="21"/>
                <w:highlight w:val="none"/>
              </w:rPr>
              <w:t>公路工程相关专业</w:t>
            </w:r>
            <w:r>
              <w:rPr>
                <w:rStyle w:val="11"/>
                <w:rFonts w:hint="eastAsia" w:ascii="宋体" w:hAnsi="宋体" w:eastAsia="宋体" w:cs="宋体"/>
                <w:b w:val="0"/>
                <w:bCs/>
                <w:color w:val="auto"/>
                <w:sz w:val="21"/>
                <w:szCs w:val="21"/>
                <w:highlight w:val="none"/>
              </w:rPr>
              <w:footnoteReference w:id="3"/>
            </w:r>
            <w:r>
              <w:rPr>
                <w:rFonts w:hint="eastAsia" w:ascii="宋体" w:hAnsi="宋体" w:eastAsia="宋体" w:cs="宋体"/>
                <w:b/>
                <w:bCs w:val="0"/>
                <w:color w:val="auto"/>
                <w:sz w:val="21"/>
                <w:szCs w:val="21"/>
                <w:highlight w:val="none"/>
                <w:lang w:val="en-US" w:eastAsia="zh-CN"/>
              </w:rPr>
              <w:t>中级</w:t>
            </w:r>
            <w:r>
              <w:rPr>
                <w:rFonts w:hint="eastAsia" w:ascii="宋体" w:hAnsi="宋体" w:eastAsia="宋体" w:cs="宋体"/>
                <w:b w:val="0"/>
                <w:bCs/>
                <w:color w:val="auto"/>
                <w:sz w:val="21"/>
                <w:szCs w:val="21"/>
                <w:highlight w:val="none"/>
                <w:lang w:val="en-US" w:eastAsia="zh-CN"/>
              </w:rPr>
              <w:t>职称</w:t>
            </w:r>
            <w:r>
              <w:rPr>
                <w:rFonts w:hint="eastAsia" w:ascii="宋体" w:hAnsi="宋体" w:eastAsia="宋体" w:cs="宋体"/>
                <w:b w:val="0"/>
                <w:bCs/>
                <w:color w:val="auto"/>
                <w:sz w:val="21"/>
                <w:szCs w:val="21"/>
                <w:highlight w:val="none"/>
              </w:rPr>
              <w:t>；</w:t>
            </w:r>
          </w:p>
          <w:p w14:paraId="4B8DFAB3">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（3）具有建设行政主管部门颁发且已经在投标人单位注册的“公路工程”专业《</w:t>
            </w:r>
            <w:r>
              <w:rPr>
                <w:rFonts w:hint="eastAsia" w:ascii="宋体" w:hAnsi="宋体" w:eastAsia="宋体" w:cs="宋体"/>
                <w:b/>
                <w:bCs w:val="0"/>
                <w:color w:val="auto"/>
                <w:sz w:val="21"/>
                <w:szCs w:val="21"/>
                <w:highlight w:val="none"/>
                <w:lang w:val="en-US" w:eastAsia="zh-CN"/>
              </w:rPr>
              <w:t>二</w:t>
            </w:r>
            <w:r>
              <w:rPr>
                <w:rFonts w:hint="eastAsia" w:ascii="宋体" w:hAnsi="宋体" w:eastAsia="宋体" w:cs="宋体"/>
                <w:b/>
                <w:bCs w:val="0"/>
                <w:color w:val="auto"/>
                <w:sz w:val="21"/>
                <w:szCs w:val="21"/>
                <w:highlight w:val="none"/>
              </w:rPr>
              <w:t>级</w:t>
            </w:r>
            <w:r>
              <w:rPr>
                <w:rFonts w:hint="eastAsia" w:ascii="宋体" w:hAnsi="宋体" w:eastAsia="宋体" w:cs="宋体"/>
                <w:b w:val="0"/>
                <w:bCs/>
                <w:color w:val="auto"/>
                <w:sz w:val="21"/>
                <w:szCs w:val="21"/>
                <w:highlight w:val="none"/>
              </w:rPr>
              <w:t>建造师注册证书》；</w:t>
            </w:r>
          </w:p>
          <w:p w14:paraId="5C80452D">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highlight w:val="none"/>
              </w:rPr>
              <w:t>（4）具有交通运输主管部门颁发的有效的</w:t>
            </w:r>
            <w:r>
              <w:rPr>
                <w:rFonts w:hint="eastAsia" w:ascii="宋体" w:hAnsi="宋体" w:eastAsia="宋体" w:cs="宋体"/>
                <w:b/>
                <w:bCs w:val="0"/>
                <w:color w:val="auto"/>
                <w:sz w:val="21"/>
                <w:szCs w:val="21"/>
                <w:highlight w:val="none"/>
              </w:rPr>
              <w:t>B类</w:t>
            </w:r>
            <w:r>
              <w:rPr>
                <w:rFonts w:hint="eastAsia" w:ascii="宋体" w:hAnsi="宋体" w:eastAsia="宋体" w:cs="宋体"/>
                <w:bCs/>
                <w:color w:val="auto"/>
                <w:sz w:val="21"/>
                <w:szCs w:val="21"/>
                <w:highlight w:val="none"/>
              </w:rPr>
              <w:t>安全生产</w:t>
            </w:r>
            <w:r>
              <w:rPr>
                <w:rFonts w:hint="eastAsia" w:ascii="宋体" w:hAnsi="宋体" w:eastAsia="宋体" w:cs="宋体"/>
                <w:bCs/>
                <w:color w:val="auto"/>
                <w:sz w:val="21"/>
                <w:szCs w:val="21"/>
                <w:highlight w:val="none"/>
                <w:lang w:val="en-US" w:eastAsia="zh-CN"/>
              </w:rPr>
              <w:t>考核合格</w:t>
            </w:r>
            <w:r>
              <w:rPr>
                <w:rFonts w:hint="eastAsia" w:ascii="宋体" w:hAnsi="宋体" w:eastAsia="宋体" w:cs="宋体"/>
                <w:bCs/>
                <w:color w:val="auto"/>
                <w:sz w:val="21"/>
                <w:szCs w:val="21"/>
                <w:highlight w:val="none"/>
              </w:rPr>
              <w:t>证书。</w:t>
            </w:r>
          </w:p>
        </w:tc>
        <w:tc>
          <w:tcPr>
            <w:tcW w:w="1381" w:type="dxa"/>
            <w:vMerge w:val="restart"/>
            <w:tcBorders>
              <w:left w:val="single" w:color="auto" w:sz="4" w:space="0"/>
              <w:right w:val="single" w:color="auto" w:sz="12" w:space="0"/>
            </w:tcBorders>
            <w:vAlign w:val="center"/>
          </w:tcPr>
          <w:p w14:paraId="739C2EC0">
            <w:pPr>
              <w:keepLines w:val="0"/>
              <w:widowControl/>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无在岗项目（指目前未在其他项目上任职，或虽在其他项目上任职但本项目中标后能</w:t>
            </w:r>
            <w:r>
              <w:rPr>
                <w:rFonts w:hint="eastAsia" w:ascii="宋体" w:hAnsi="宋体" w:eastAsia="宋体" w:cs="宋体"/>
                <w:color w:val="auto"/>
                <w:kern w:val="0"/>
                <w:sz w:val="21"/>
                <w:szCs w:val="21"/>
                <w:highlight w:val="none"/>
                <w:lang w:val="en-US" w:eastAsia="zh-CN"/>
              </w:rPr>
              <w:t>够</w:t>
            </w:r>
            <w:r>
              <w:rPr>
                <w:rFonts w:hint="eastAsia" w:ascii="宋体" w:hAnsi="宋体" w:eastAsia="宋体" w:cs="宋体"/>
                <w:color w:val="auto"/>
                <w:kern w:val="0"/>
                <w:sz w:val="21"/>
                <w:szCs w:val="21"/>
                <w:highlight w:val="none"/>
              </w:rPr>
              <w:t>从该项目撤离）</w:t>
            </w:r>
          </w:p>
        </w:tc>
      </w:tr>
      <w:tr w14:paraId="7C9D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098" w:type="dxa"/>
            <w:tcBorders>
              <w:left w:val="single" w:color="auto" w:sz="12" w:space="0"/>
              <w:bottom w:val="single" w:color="auto" w:sz="12" w:space="0"/>
            </w:tcBorders>
            <w:vAlign w:val="center"/>
          </w:tcPr>
          <w:p w14:paraId="4349E6C3">
            <w:pPr>
              <w:keepLines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项目总工</w:t>
            </w:r>
          </w:p>
        </w:tc>
        <w:tc>
          <w:tcPr>
            <w:tcW w:w="1239" w:type="dxa"/>
            <w:tcBorders>
              <w:bottom w:val="single" w:color="auto" w:sz="12" w:space="0"/>
            </w:tcBorders>
            <w:vAlign w:val="center"/>
          </w:tcPr>
          <w:p w14:paraId="5BF6E863">
            <w:pPr>
              <w:keepLines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w:t>
            </w:r>
          </w:p>
        </w:tc>
        <w:tc>
          <w:tcPr>
            <w:tcW w:w="5751" w:type="dxa"/>
            <w:tcBorders>
              <w:bottom w:val="single" w:color="auto" w:sz="12" w:space="0"/>
              <w:right w:val="single" w:color="auto" w:sz="4" w:space="0"/>
            </w:tcBorders>
            <w:vAlign w:val="center"/>
          </w:tcPr>
          <w:p w14:paraId="4982BA38">
            <w:pPr>
              <w:keepLines w:val="0"/>
              <w:kinsoku/>
              <w:wordWrap/>
              <w:overflowPunct/>
              <w:topLinePunct w:val="0"/>
              <w:bidi w:val="0"/>
              <w:spacing w:line="360" w:lineRule="exac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（1）投标人</w:t>
            </w:r>
            <w:r>
              <w:rPr>
                <w:rFonts w:hint="eastAsia" w:ascii="宋体" w:hAnsi="宋体" w:eastAsia="宋体" w:cs="宋体"/>
                <w:b/>
                <w:bCs/>
                <w:sz w:val="21"/>
                <w:szCs w:val="21"/>
                <w:highlight w:val="none"/>
              </w:rPr>
              <w:t>自有</w:t>
            </w:r>
            <w:r>
              <w:rPr>
                <w:rFonts w:hint="eastAsia" w:ascii="宋体" w:hAnsi="宋体" w:eastAsia="宋体" w:cs="宋体"/>
                <w:bCs/>
                <w:sz w:val="21"/>
                <w:szCs w:val="21"/>
                <w:highlight w:val="none"/>
              </w:rPr>
              <w:t>人员；</w:t>
            </w:r>
          </w:p>
          <w:p w14:paraId="192454C1">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sz w:val="21"/>
                <w:szCs w:val="21"/>
                <w:highlight w:val="none"/>
              </w:rPr>
              <w:t>（2）具有公路工程相关专业</w:t>
            </w:r>
            <w:r>
              <w:rPr>
                <w:rFonts w:hint="eastAsia" w:ascii="宋体" w:hAnsi="宋体" w:eastAsia="宋体" w:cs="宋体"/>
                <w:b/>
                <w:bCs/>
                <w:sz w:val="21"/>
                <w:szCs w:val="21"/>
                <w:highlight w:val="none"/>
                <w:lang w:val="en-US" w:eastAsia="zh-CN"/>
              </w:rPr>
              <w:t>中级</w:t>
            </w:r>
            <w:r>
              <w:rPr>
                <w:rFonts w:hint="eastAsia" w:ascii="宋体" w:hAnsi="宋体" w:eastAsia="宋体" w:cs="宋体"/>
                <w:bCs/>
                <w:sz w:val="21"/>
                <w:szCs w:val="21"/>
                <w:highlight w:val="none"/>
              </w:rPr>
              <w:t>职称；</w:t>
            </w:r>
          </w:p>
        </w:tc>
        <w:tc>
          <w:tcPr>
            <w:tcW w:w="1381" w:type="dxa"/>
            <w:vMerge w:val="continue"/>
            <w:tcBorders>
              <w:left w:val="single" w:color="auto" w:sz="4" w:space="0"/>
              <w:bottom w:val="single" w:color="auto" w:sz="12" w:space="0"/>
              <w:right w:val="single" w:color="auto" w:sz="12" w:space="0"/>
            </w:tcBorders>
          </w:tcPr>
          <w:p w14:paraId="4A8708A2">
            <w:pPr>
              <w:keepLines w:val="0"/>
              <w:widowControl/>
              <w:kinsoku/>
              <w:wordWrap/>
              <w:overflowPunct/>
              <w:topLinePunct w:val="0"/>
              <w:bidi w:val="0"/>
              <w:spacing w:line="360" w:lineRule="exact"/>
              <w:jc w:val="left"/>
              <w:textAlignment w:val="auto"/>
              <w:rPr>
                <w:rFonts w:hint="eastAsia" w:ascii="宋体" w:hAnsi="宋体" w:eastAsia="宋体" w:cs="宋体"/>
                <w:bCs/>
                <w:color w:val="auto"/>
                <w:sz w:val="21"/>
                <w:szCs w:val="21"/>
                <w:highlight w:val="none"/>
              </w:rPr>
            </w:pPr>
          </w:p>
        </w:tc>
      </w:tr>
    </w:tbl>
    <w:p w14:paraId="1D4651D2">
      <w:pPr>
        <w:keepLines w:val="0"/>
        <w:pageBreakBefore w:val="0"/>
        <w:kinsoku/>
        <w:wordWrap/>
        <w:overflowPunct/>
        <w:topLinePunct w:val="0"/>
        <w:bidi w:val="0"/>
        <w:spacing w:before="100" w:beforeAutospacing="1" w:line="360" w:lineRule="exact"/>
        <w:jc w:val="both"/>
        <w:textAlignment w:val="auto"/>
        <w:outlineLvl w:val="2"/>
        <w:rPr>
          <w:rFonts w:hint="eastAsia" w:ascii="宋体" w:hAnsi="宋体" w:eastAsia="宋体" w:cs="宋体"/>
          <w:b/>
          <w:bCs/>
          <w:sz w:val="21"/>
          <w:szCs w:val="21"/>
        </w:rPr>
      </w:pPr>
    </w:p>
    <w:p w14:paraId="7517830E">
      <w:pPr>
        <w:keepNext w:val="0"/>
        <w:keepLines w:val="0"/>
        <w:pageBreakBefore/>
        <w:widowControl w:val="0"/>
        <w:kinsoku/>
        <w:wordWrap/>
        <w:overflowPunct/>
        <w:topLinePunct w:val="0"/>
        <w:autoSpaceDE/>
        <w:autoSpaceDN/>
        <w:bidi w:val="0"/>
        <w:adjustRightInd w:val="0"/>
        <w:snapToGrid w:val="0"/>
        <w:spacing w:beforeLines="100" w:afterLines="100" w:line="360" w:lineRule="exact"/>
        <w:jc w:val="center"/>
        <w:textAlignment w:val="auto"/>
        <w:outlineLvl w:val="1"/>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rPr>
        <w:t>评标办法（技术评分最低标价法）</w:t>
      </w:r>
    </w:p>
    <w:p w14:paraId="53E135EE">
      <w:pPr>
        <w:keepLines w:val="0"/>
        <w:kinsoku/>
        <w:wordWrap/>
        <w:overflowPunct/>
        <w:topLinePunct w:val="0"/>
        <w:bidi w:val="0"/>
        <w:spacing w:line="360" w:lineRule="exact"/>
        <w:textAlignment w:val="auto"/>
        <w:outlineLvl w:val="1"/>
        <w:rPr>
          <w:rFonts w:hint="eastAsia" w:ascii="宋体" w:hAnsi="宋体" w:eastAsia="宋体" w:cs="宋体"/>
          <w:b/>
          <w:color w:val="auto"/>
          <w:sz w:val="21"/>
          <w:szCs w:val="21"/>
          <w:highlight w:val="none"/>
        </w:rPr>
      </w:pPr>
      <w:bookmarkStart w:id="12" w:name="_Toc505091277"/>
      <w:bookmarkStart w:id="13" w:name="_Toc19104"/>
      <w:bookmarkStart w:id="14" w:name="_Toc520285006"/>
      <w:r>
        <w:rPr>
          <w:rFonts w:hint="eastAsia" w:ascii="宋体" w:hAnsi="宋体" w:eastAsia="宋体" w:cs="宋体"/>
          <w:b/>
          <w:color w:val="auto"/>
          <w:sz w:val="21"/>
          <w:szCs w:val="21"/>
          <w:highlight w:val="none"/>
        </w:rPr>
        <w:t>评标办法前附表</w:t>
      </w:r>
      <w:bookmarkEnd w:id="12"/>
      <w:bookmarkEnd w:id="13"/>
      <w:bookmarkEnd w:id="14"/>
    </w:p>
    <w:tbl>
      <w:tblPr>
        <w:tblStyle w:val="9"/>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1636"/>
        <w:gridCol w:w="7002"/>
      </w:tblGrid>
      <w:tr w14:paraId="75ED1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blHeader/>
          <w:jc w:val="center"/>
        </w:trPr>
        <w:tc>
          <w:tcPr>
            <w:tcW w:w="2535" w:type="dxa"/>
            <w:gridSpan w:val="2"/>
            <w:tcBorders>
              <w:top w:val="single" w:color="auto" w:sz="12" w:space="0"/>
              <w:left w:val="single" w:color="auto" w:sz="12" w:space="0"/>
            </w:tcBorders>
            <w:vAlign w:val="center"/>
          </w:tcPr>
          <w:p w14:paraId="61E07B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条款号</w:t>
            </w:r>
          </w:p>
        </w:tc>
        <w:tc>
          <w:tcPr>
            <w:tcW w:w="7002" w:type="dxa"/>
            <w:tcBorders>
              <w:top w:val="single" w:color="auto" w:sz="12" w:space="0"/>
              <w:right w:val="single" w:color="auto" w:sz="12" w:space="0"/>
            </w:tcBorders>
            <w:vAlign w:val="center"/>
          </w:tcPr>
          <w:p w14:paraId="2A069C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评审因素与标准</w:t>
            </w:r>
          </w:p>
        </w:tc>
      </w:tr>
      <w:tr w14:paraId="6623F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tcBorders>
            <w:vAlign w:val="center"/>
          </w:tcPr>
          <w:p w14:paraId="1693E2FB">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1636" w:type="dxa"/>
            <w:vAlign w:val="center"/>
          </w:tcPr>
          <w:p w14:paraId="15D8F595">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评标办法</w:t>
            </w:r>
          </w:p>
        </w:tc>
        <w:tc>
          <w:tcPr>
            <w:tcW w:w="7002" w:type="dxa"/>
            <w:tcBorders>
              <w:right w:val="single" w:color="auto" w:sz="12" w:space="0"/>
            </w:tcBorders>
            <w:vAlign w:val="center"/>
          </w:tcPr>
          <w:p w14:paraId="2646D5BB">
            <w:pPr>
              <w:pStyle w:val="23"/>
              <w:keepNext w:val="0"/>
              <w:keepLines w:val="0"/>
              <w:pageBreakBefore w:val="0"/>
              <w:widowControl w:val="0"/>
              <w:shd w:val="clear" w:color="auto" w:fill="auto"/>
              <w:tabs>
                <w:tab w:val="left" w:pos="1055"/>
              </w:tabs>
              <w:kinsoku/>
              <w:wordWrap/>
              <w:overflowPunct/>
              <w:topLinePunct w:val="0"/>
              <w:bidi w:val="0"/>
              <w:spacing w:before="0" w:after="0" w:line="360" w:lineRule="exact"/>
              <w:ind w:firstLine="315" w:firstLineChars="15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rPr>
              <w:t>评标价相等时，按照第一信封的排序规则和结果推荐中标候选人。</w:t>
            </w:r>
          </w:p>
        </w:tc>
      </w:tr>
      <w:tr w14:paraId="7CC2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vMerge w:val="restart"/>
            <w:tcBorders>
              <w:left w:val="single" w:color="auto" w:sz="12" w:space="0"/>
            </w:tcBorders>
            <w:vAlign w:val="center"/>
          </w:tcPr>
          <w:p w14:paraId="7AEB55A2">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2.1.1</w:t>
            </w:r>
          </w:p>
          <w:p w14:paraId="671959BA">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2.1.3</w:t>
            </w:r>
          </w:p>
        </w:tc>
        <w:tc>
          <w:tcPr>
            <w:tcW w:w="1636" w:type="dxa"/>
            <w:vAlign w:val="center"/>
          </w:tcPr>
          <w:p w14:paraId="77985FDD">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第一</w:t>
            </w:r>
            <w:r>
              <w:rPr>
                <w:rFonts w:hint="eastAsia" w:ascii="宋体" w:hAnsi="宋体" w:eastAsia="宋体" w:cs="宋体"/>
                <w:b/>
                <w:color w:val="auto"/>
                <w:sz w:val="21"/>
                <w:szCs w:val="21"/>
                <w:highlight w:val="none"/>
                <w:lang w:val="en-US" w:eastAsia="zh-CN"/>
              </w:rPr>
              <w:t>个</w:t>
            </w:r>
            <w:r>
              <w:rPr>
                <w:rFonts w:hint="eastAsia" w:ascii="宋体" w:hAnsi="宋体" w:eastAsia="宋体" w:cs="宋体"/>
                <w:b/>
                <w:color w:val="auto"/>
                <w:sz w:val="21"/>
                <w:szCs w:val="21"/>
                <w:highlight w:val="none"/>
                <w:lang w:val="zh-CN"/>
              </w:rPr>
              <w:t>信封</w:t>
            </w:r>
          </w:p>
          <w:p w14:paraId="3AA9B375">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形式评审与响应性评审标准</w:t>
            </w:r>
          </w:p>
        </w:tc>
        <w:tc>
          <w:tcPr>
            <w:tcW w:w="7002" w:type="dxa"/>
            <w:tcBorders>
              <w:right w:val="single" w:color="auto" w:sz="12" w:space="0"/>
            </w:tcBorders>
            <w:vAlign w:val="center"/>
          </w:tcPr>
          <w:p w14:paraId="429ECB78">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第一个信封（商务及技术文件）评审标准：</w:t>
            </w:r>
          </w:p>
          <w:p w14:paraId="0C9C1A1F">
            <w:pPr>
              <w:pStyle w:val="23"/>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Style w:val="24"/>
                <w:rFonts w:hint="eastAsia" w:ascii="宋体" w:hAnsi="宋体" w:eastAsia="宋体" w:cs="宋体"/>
                <w:color w:val="auto"/>
                <w:sz w:val="21"/>
                <w:szCs w:val="21"/>
                <w:highlight w:val="none"/>
              </w:rPr>
              <w:t>（1）投标文件按照招标文件规定的格式、内容填写，字迹清晰可辨：</w:t>
            </w:r>
          </w:p>
          <w:p w14:paraId="699AC675">
            <w:pPr>
              <w:pStyle w:val="23"/>
              <w:keepNext w:val="0"/>
              <w:keepLines w:val="0"/>
              <w:pageBreakBefore w:val="0"/>
              <w:widowControl w:val="0"/>
              <w:shd w:val="clear" w:color="auto" w:fill="auto"/>
              <w:tabs>
                <w:tab w:val="left" w:pos="1053"/>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a</w:t>
            </w:r>
            <w:r>
              <w:rPr>
                <w:rStyle w:val="24"/>
                <w:rFonts w:hint="eastAsia" w:ascii="宋体" w:hAnsi="宋体" w:eastAsia="宋体" w:cs="宋体"/>
                <w:color w:val="auto"/>
                <w:sz w:val="21"/>
                <w:szCs w:val="21"/>
                <w:highlight w:val="none"/>
                <w:lang w:val="en-US"/>
              </w:rPr>
              <w:t>.</w:t>
            </w:r>
            <w:r>
              <w:rPr>
                <w:rStyle w:val="24"/>
                <w:rFonts w:hint="eastAsia" w:ascii="宋体" w:hAnsi="宋体" w:eastAsia="宋体" w:cs="宋体"/>
                <w:color w:val="auto"/>
                <w:sz w:val="21"/>
                <w:szCs w:val="21"/>
                <w:highlight w:val="none"/>
              </w:rPr>
              <w:t>投标函按招标文件规定填报了项目名称、标段号、补遗书编号（如有)、工期、工程质量要求及安全目标；</w:t>
            </w:r>
          </w:p>
          <w:p w14:paraId="6E332ECE">
            <w:pPr>
              <w:pStyle w:val="23"/>
              <w:keepNext w:val="0"/>
              <w:keepLines w:val="0"/>
              <w:pageBreakBefore w:val="0"/>
              <w:widowControl w:val="0"/>
              <w:shd w:val="clear" w:color="auto" w:fill="auto"/>
              <w:tabs>
                <w:tab w:val="left" w:pos="1053"/>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b</w:t>
            </w:r>
            <w:r>
              <w:rPr>
                <w:rStyle w:val="24"/>
                <w:rFonts w:hint="eastAsia" w:ascii="宋体" w:hAnsi="宋体" w:eastAsia="宋体" w:cs="宋体"/>
                <w:color w:val="auto"/>
                <w:sz w:val="21"/>
                <w:szCs w:val="21"/>
                <w:highlight w:val="none"/>
                <w:lang w:val="en-US"/>
              </w:rPr>
              <w:t>.</w:t>
            </w:r>
            <w:r>
              <w:rPr>
                <w:rStyle w:val="24"/>
                <w:rFonts w:hint="eastAsia" w:ascii="宋体" w:hAnsi="宋体" w:eastAsia="宋体" w:cs="宋体"/>
                <w:color w:val="auto"/>
                <w:sz w:val="21"/>
                <w:szCs w:val="21"/>
                <w:highlight w:val="none"/>
              </w:rPr>
              <w:t>投标函附录的所有数据均符合招标文件规定；</w:t>
            </w:r>
          </w:p>
          <w:p w14:paraId="0D9DF6FD">
            <w:pPr>
              <w:pStyle w:val="23"/>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c</w:t>
            </w:r>
            <w:r>
              <w:rPr>
                <w:rStyle w:val="24"/>
                <w:rFonts w:hint="eastAsia" w:ascii="宋体" w:hAnsi="宋体" w:eastAsia="宋体" w:cs="宋体"/>
                <w:color w:val="auto"/>
                <w:sz w:val="21"/>
                <w:szCs w:val="21"/>
                <w:highlight w:val="none"/>
                <w:lang w:val="en-US"/>
              </w:rPr>
              <w:t>.</w:t>
            </w:r>
            <w:r>
              <w:rPr>
                <w:rStyle w:val="24"/>
                <w:rFonts w:hint="eastAsia" w:ascii="宋体" w:hAnsi="宋体" w:eastAsia="宋体" w:cs="宋体"/>
                <w:color w:val="auto"/>
                <w:sz w:val="21"/>
                <w:szCs w:val="21"/>
                <w:highlight w:val="none"/>
              </w:rPr>
              <w:t>投标文件组成齐全完整，内容均按规定填写。</w:t>
            </w:r>
          </w:p>
          <w:p w14:paraId="62E671E7">
            <w:pPr>
              <w:pStyle w:val="23"/>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（2）投标文件上法定代表人或其委托代理人的签字、投标人的单位章盖章齐全，符合招标文件规定。</w:t>
            </w:r>
          </w:p>
          <w:p w14:paraId="770BC6AB">
            <w:pPr>
              <w:pStyle w:val="23"/>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（3）投标人按照招标文件的规定提供了投标保证金：</w:t>
            </w:r>
          </w:p>
          <w:p w14:paraId="1BB42813">
            <w:pPr>
              <w:pStyle w:val="23"/>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a.投标保证金金额符合招标文件规定的金额，且投标保证金有效期不少于投标有效期；</w:t>
            </w:r>
          </w:p>
          <w:p w14:paraId="58B906A6">
            <w:pPr>
              <w:pStyle w:val="23"/>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b.若投标保证金采用现金或支票形式提交，投标人应在递交投标文件截止时间之前，将投标保证金由投标人的基本账户转入招标人指定账户；</w:t>
            </w:r>
          </w:p>
          <w:p w14:paraId="465E1CD8">
            <w:pPr>
              <w:pStyle w:val="23"/>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c.若投标保证金采用保函形式提交，应满足</w:t>
            </w:r>
            <w:r>
              <w:rPr>
                <w:rStyle w:val="24"/>
                <w:rFonts w:hint="eastAsia" w:ascii="宋体" w:hAnsi="宋体" w:eastAsia="宋体" w:cs="宋体"/>
                <w:color w:val="auto"/>
                <w:sz w:val="21"/>
                <w:szCs w:val="21"/>
                <w:highlight w:val="none"/>
                <w:lang w:val="en-US"/>
              </w:rPr>
              <w:t>招标文件</w:t>
            </w:r>
            <w:r>
              <w:rPr>
                <w:rStyle w:val="24"/>
                <w:rFonts w:hint="eastAsia" w:ascii="宋体" w:hAnsi="宋体" w:eastAsia="宋体" w:cs="宋体"/>
                <w:color w:val="auto"/>
                <w:sz w:val="21"/>
                <w:szCs w:val="21"/>
                <w:highlight w:val="none"/>
              </w:rPr>
              <w:t>相关要求。</w:t>
            </w:r>
          </w:p>
          <w:p w14:paraId="021D7B7B">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（4）投标人法定代表人授权委托代理人签署投标文件的，</w:t>
            </w:r>
            <w:r>
              <w:rPr>
                <w:rFonts w:hint="eastAsia" w:ascii="宋体" w:hAnsi="宋体" w:eastAsia="宋体" w:cs="宋体"/>
                <w:color w:val="auto"/>
                <w:sz w:val="21"/>
                <w:szCs w:val="21"/>
                <w:highlight w:val="none"/>
                <w:lang w:val="en-US" w:eastAsia="zh-CN"/>
              </w:rPr>
              <w:t>须</w:t>
            </w:r>
            <w:r>
              <w:rPr>
                <w:rFonts w:hint="eastAsia" w:ascii="宋体" w:hAnsi="宋体" w:eastAsia="宋体" w:cs="宋体"/>
                <w:color w:val="auto"/>
                <w:sz w:val="21"/>
                <w:szCs w:val="21"/>
                <w:highlight w:val="none"/>
              </w:rPr>
              <w:t>提交授权委托书，且授权人和被授权人均在授权委托书上签名。</w:t>
            </w:r>
          </w:p>
          <w:p w14:paraId="13BA00C0">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（5）投标人法定代表人亲自签署投标文件的，提供了法定代表人身份证明，且法定代表人在法定代表人身份证明上签名。</w:t>
            </w:r>
          </w:p>
          <w:p w14:paraId="0474AB90">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（6）</w:t>
            </w:r>
            <w:r>
              <w:rPr>
                <w:rStyle w:val="18"/>
                <w:rFonts w:hint="eastAsia" w:ascii="宋体" w:hAnsi="宋体" w:eastAsia="宋体" w:cs="宋体"/>
                <w:color w:val="auto"/>
                <w:sz w:val="21"/>
                <w:szCs w:val="21"/>
                <w:highlight w:val="none"/>
                <w:shd w:val="clear" w:color="auto" w:fill="auto"/>
              </w:rPr>
              <w:t>投标人</w:t>
            </w:r>
            <w:r>
              <w:rPr>
                <w:rStyle w:val="18"/>
                <w:rFonts w:hint="eastAsia" w:ascii="宋体" w:hAnsi="宋体" w:eastAsia="宋体" w:cs="宋体"/>
                <w:color w:val="auto"/>
                <w:sz w:val="21"/>
                <w:szCs w:val="21"/>
                <w:highlight w:val="none"/>
                <w:shd w:val="clear" w:color="auto" w:fill="auto"/>
                <w:lang w:val="en-US" w:eastAsia="zh-CN"/>
              </w:rPr>
              <w:t>未</w:t>
            </w:r>
            <w:r>
              <w:rPr>
                <w:rStyle w:val="18"/>
                <w:rFonts w:hint="eastAsia" w:ascii="宋体" w:hAnsi="宋体" w:eastAsia="宋体" w:cs="宋体"/>
                <w:color w:val="auto"/>
                <w:sz w:val="21"/>
                <w:szCs w:val="21"/>
                <w:highlight w:val="none"/>
                <w:shd w:val="clear" w:color="auto" w:fill="auto"/>
              </w:rPr>
              <w:t>以联合体形式投标</w:t>
            </w:r>
            <w:r>
              <w:rPr>
                <w:rStyle w:val="18"/>
                <w:rFonts w:hint="eastAsia" w:ascii="宋体" w:hAnsi="宋体" w:eastAsia="宋体" w:cs="宋体"/>
                <w:color w:val="auto"/>
                <w:sz w:val="21"/>
                <w:szCs w:val="21"/>
                <w:highlight w:val="none"/>
                <w:shd w:val="clear" w:color="auto" w:fill="auto"/>
                <w:lang w:eastAsia="zh-CN"/>
              </w:rPr>
              <w:t>。</w:t>
            </w:r>
          </w:p>
          <w:p w14:paraId="72D719FA">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（7）</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rPr>
              <w:t>分包计划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符合招标文件第二章“投标人须知”第1.11款规定</w:t>
            </w:r>
            <w:r>
              <w:rPr>
                <w:rFonts w:hint="eastAsia" w:ascii="宋体" w:hAnsi="宋体" w:eastAsia="宋体" w:cs="宋体"/>
                <w:color w:val="auto"/>
                <w:sz w:val="21"/>
                <w:szCs w:val="21"/>
                <w:highlight w:val="none"/>
              </w:rPr>
              <w:t>。</w:t>
            </w:r>
          </w:p>
          <w:p w14:paraId="3190499A">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（8）同一投标人未提交两个以上不同的投标文件，但招标文件要求提交备选投标的除外。</w:t>
            </w:r>
          </w:p>
          <w:p w14:paraId="65FCC954">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（9）投标文件中未出现有关投标报价的内容。</w:t>
            </w:r>
          </w:p>
          <w:p w14:paraId="7EEC11AD">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（10）投标文件载明的招标项目完成期限未超过招标文件规定的时限。</w:t>
            </w:r>
          </w:p>
          <w:p w14:paraId="1D9AC33C">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（11）投标文件对招标文件的实质性要求和条件作出响应。</w:t>
            </w:r>
          </w:p>
          <w:p w14:paraId="5D1F28A0">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（12）权利义务符合招标文件规定：</w:t>
            </w:r>
          </w:p>
          <w:p w14:paraId="049A8A54">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a.投标人应接受招标文件规定的风险划分原则，未提出新的风险划分办法；</w:t>
            </w:r>
          </w:p>
          <w:p w14:paraId="2A819794">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b.投标人未增加发包人的责任范围，或减少投标人义务；</w:t>
            </w:r>
          </w:p>
          <w:p w14:paraId="7B396C2C">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c.投标人未提出不同的工程验收、计量、支付办法；</w:t>
            </w:r>
          </w:p>
          <w:p w14:paraId="50364470">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d.投标人对合同纠纷、事故处理办法未提出异议；</w:t>
            </w:r>
          </w:p>
          <w:p w14:paraId="0ED6ED83">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e.投标人在投标活动中无欺诈行为；</w:t>
            </w:r>
          </w:p>
          <w:p w14:paraId="7E203B94">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f.投标人未对合同条款有重要保留。</w:t>
            </w:r>
          </w:p>
          <w:p w14:paraId="184B2E92">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sz w:val="21"/>
                <w:szCs w:val="21"/>
                <w:highlight w:val="none"/>
              </w:rPr>
            </w:pPr>
          </w:p>
        </w:tc>
      </w:tr>
      <w:tr w14:paraId="0CEE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vMerge w:val="continue"/>
            <w:tcBorders>
              <w:left w:val="single" w:color="auto" w:sz="12" w:space="0"/>
            </w:tcBorders>
            <w:vAlign w:val="center"/>
          </w:tcPr>
          <w:p w14:paraId="1F61833D">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p>
        </w:tc>
        <w:tc>
          <w:tcPr>
            <w:tcW w:w="1636" w:type="dxa"/>
            <w:vAlign w:val="center"/>
          </w:tcPr>
          <w:p w14:paraId="774B6188">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color w:val="auto"/>
                <w:sz w:val="21"/>
                <w:szCs w:val="21"/>
                <w:highlight w:val="none"/>
              </w:rPr>
              <w:t>第二个信封</w:t>
            </w:r>
          </w:p>
          <w:p w14:paraId="4E8059DB">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bCs/>
                <w:color w:val="auto"/>
                <w:sz w:val="21"/>
                <w:szCs w:val="21"/>
                <w:highlight w:val="none"/>
                <w:lang w:val="zh-CN"/>
              </w:rPr>
              <w:t>形式评审与响应性评审标准</w:t>
            </w:r>
          </w:p>
        </w:tc>
        <w:tc>
          <w:tcPr>
            <w:tcW w:w="7002" w:type="dxa"/>
            <w:tcBorders>
              <w:right w:val="single" w:color="auto" w:sz="12" w:space="0"/>
            </w:tcBorders>
            <w:vAlign w:val="center"/>
          </w:tcPr>
          <w:p w14:paraId="5D7FD4BA">
            <w:pPr>
              <w:keepNext w:val="0"/>
              <w:keepLines w:val="0"/>
              <w:pageBreakBefore w:val="0"/>
              <w:widowControl w:val="0"/>
              <w:tabs>
                <w:tab w:val="left" w:pos="0"/>
              </w:tabs>
              <w:kinsoku/>
              <w:wordWrap/>
              <w:overflowPunct/>
              <w:topLinePunct w:val="0"/>
              <w:bidi w:val="0"/>
              <w:adjustRightInd w:val="0"/>
              <w:snapToGrid w:val="0"/>
              <w:spacing w:line="360" w:lineRule="exact"/>
              <w:ind w:left="-73" w:leftChars="-35"/>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第二个信封（报价文件）评审标准：</w:t>
            </w:r>
          </w:p>
          <w:p w14:paraId="09D64755">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（1）投标文件按照招标文件规定的格式、内容填写，字迹清晰可辨：</w:t>
            </w:r>
          </w:p>
          <w:p w14:paraId="534DC855">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a.投标函按招标文件规定填报了项目名称、标段号、补遗书编号(如有)、投标价（包括大写金额和小写金额)；</w:t>
            </w:r>
          </w:p>
          <w:p w14:paraId="082ADB0C">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b.已标价工程量清单说明文字与招标文件规定一致，未进行实质性修改和删减；</w:t>
            </w:r>
          </w:p>
          <w:p w14:paraId="3FF809F3">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c.投标文件组成齐全完整，内容均按规定填写。</w:t>
            </w:r>
          </w:p>
          <w:p w14:paraId="5EDA3D2E">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（2）投标文件上法定代表人或其委托代理人的签字、投标人的单位章盖章齐全，符合招标文件规定。</w:t>
            </w:r>
          </w:p>
          <w:p w14:paraId="4D92425F">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（3）投标报价未超过招标文件设定的最高投标限价。</w:t>
            </w:r>
          </w:p>
          <w:p w14:paraId="71F5FB78">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（4）投标报价中报价的大写金额能够确定具体数值。</w:t>
            </w:r>
          </w:p>
          <w:p w14:paraId="33098EC3">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（5）同一投标人未提交两个以上不同的投标报价，但招标文件要求提交备选投标的除外。</w:t>
            </w:r>
          </w:p>
          <w:p w14:paraId="511AB50A">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（6）投标人未提交调价函。</w:t>
            </w:r>
          </w:p>
          <w:p w14:paraId="369B9388">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（7）投标人若填写工程量固化清单，填写完毕的工程量固化清单未对工程量固化清单电子文件中的数据、格式和运算定义进行修改；工程量固化清单中的投标报价和投标函大写金额报价一致。</w:t>
            </w:r>
          </w:p>
        </w:tc>
      </w:tr>
      <w:tr w14:paraId="4163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tcBorders>
            <w:vAlign w:val="center"/>
          </w:tcPr>
          <w:p w14:paraId="54C29D77">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2.1.2</w:t>
            </w:r>
          </w:p>
        </w:tc>
        <w:tc>
          <w:tcPr>
            <w:tcW w:w="1636" w:type="dxa"/>
            <w:vAlign w:val="center"/>
          </w:tcPr>
          <w:p w14:paraId="28732E9D">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资格评审标准</w:t>
            </w:r>
          </w:p>
        </w:tc>
        <w:tc>
          <w:tcPr>
            <w:tcW w:w="7002" w:type="dxa"/>
            <w:tcBorders>
              <w:right w:val="single" w:color="auto" w:sz="12" w:space="0"/>
            </w:tcBorders>
            <w:vAlign w:val="center"/>
          </w:tcPr>
          <w:p w14:paraId="53AE3BB9">
            <w:pPr>
              <w:pStyle w:val="25"/>
              <w:keepNext w:val="0"/>
              <w:keepLines w:val="0"/>
              <w:pageBreakBefore w:val="0"/>
              <w:widowControl w:val="0"/>
              <w:shd w:val="clear" w:color="auto" w:fill="auto"/>
              <w:kinsoku/>
              <w:wordWrap/>
              <w:overflowPunct/>
              <w:topLinePunct w:val="0"/>
              <w:bidi w:val="0"/>
              <w:spacing w:before="0"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en-US"/>
              </w:rPr>
              <w:t>（1）</w:t>
            </w:r>
            <w:r>
              <w:rPr>
                <w:rFonts w:hint="eastAsia" w:ascii="宋体" w:hAnsi="宋体" w:eastAsia="宋体" w:cs="宋体"/>
                <w:color w:val="auto"/>
                <w:sz w:val="21"/>
                <w:szCs w:val="21"/>
                <w:highlight w:val="none"/>
                <w:lang w:val="en-US" w:eastAsia="zh-CN"/>
              </w:rPr>
              <w:t>投标人具备有效的营业执照、资质证书、安全生产许可证和基本账户开户证明材料。</w:t>
            </w:r>
          </w:p>
          <w:p w14:paraId="736B3A8B">
            <w:pPr>
              <w:pStyle w:val="25"/>
              <w:keepNext w:val="0"/>
              <w:keepLines w:val="0"/>
              <w:pageBreakBefore w:val="0"/>
              <w:widowControl w:val="0"/>
              <w:shd w:val="clear" w:color="auto" w:fill="auto"/>
              <w:tabs>
                <w:tab w:val="left" w:pos="2517"/>
              </w:tabs>
              <w:kinsoku/>
              <w:wordWrap/>
              <w:overflowPunct/>
              <w:topLinePunct w:val="0"/>
              <w:bidi w:val="0"/>
              <w:spacing w:before="0" w:line="36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en-US"/>
              </w:rPr>
              <w:t>（2）</w:t>
            </w:r>
            <w:r>
              <w:rPr>
                <w:rFonts w:hint="eastAsia" w:ascii="宋体" w:hAnsi="宋体" w:eastAsia="宋体" w:cs="宋体"/>
                <w:color w:val="auto"/>
                <w:sz w:val="21"/>
                <w:szCs w:val="21"/>
                <w:highlight w:val="none"/>
                <w:lang w:val="en-US" w:eastAsia="zh-CN"/>
              </w:rPr>
              <w:t>投标人的资质等级符合招标文件规定。</w:t>
            </w:r>
          </w:p>
          <w:p w14:paraId="4B89CD4A">
            <w:pPr>
              <w:pStyle w:val="25"/>
              <w:keepNext w:val="0"/>
              <w:keepLines w:val="0"/>
              <w:pageBreakBefore w:val="0"/>
              <w:widowControl w:val="0"/>
              <w:shd w:val="clear" w:color="auto" w:fill="auto"/>
              <w:tabs>
                <w:tab w:val="left" w:pos="2517"/>
              </w:tabs>
              <w:kinsoku/>
              <w:wordWrap/>
              <w:overflowPunct/>
              <w:topLinePunct w:val="0"/>
              <w:bidi w:val="0"/>
              <w:spacing w:before="0" w:line="36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en-US"/>
              </w:rPr>
              <w:t>（3）</w:t>
            </w:r>
            <w:r>
              <w:rPr>
                <w:rFonts w:hint="eastAsia" w:ascii="宋体" w:hAnsi="宋体" w:eastAsia="宋体" w:cs="宋体"/>
                <w:color w:val="auto"/>
                <w:sz w:val="21"/>
                <w:szCs w:val="21"/>
                <w:highlight w:val="none"/>
                <w:lang w:val="en-US" w:eastAsia="zh-CN"/>
              </w:rPr>
              <w:t>投标人的财务状况符合招标文件规定。</w:t>
            </w:r>
          </w:p>
          <w:p w14:paraId="5C111FF8">
            <w:pPr>
              <w:pStyle w:val="25"/>
              <w:keepNext w:val="0"/>
              <w:keepLines w:val="0"/>
              <w:pageBreakBefore w:val="0"/>
              <w:widowControl w:val="0"/>
              <w:shd w:val="clear" w:color="auto" w:fill="auto"/>
              <w:tabs>
                <w:tab w:val="left" w:pos="3008"/>
              </w:tabs>
              <w:kinsoku/>
              <w:wordWrap/>
              <w:overflowPunct/>
              <w:topLinePunct w:val="0"/>
              <w:bidi w:val="0"/>
              <w:spacing w:before="0"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（4）投标人的类似项目业绩符合招标文件规定。</w:t>
            </w:r>
          </w:p>
          <w:p w14:paraId="20165C5D">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（5）投标人的信誉符合招标文件规定</w:t>
            </w:r>
            <w:r>
              <w:rPr>
                <w:rFonts w:hint="eastAsia" w:ascii="宋体" w:hAnsi="宋体" w:eastAsia="宋体" w:cs="宋体"/>
                <w:color w:val="auto"/>
                <w:sz w:val="21"/>
                <w:szCs w:val="21"/>
                <w:highlight w:val="none"/>
                <w:lang w:eastAsia="zh-CN"/>
              </w:rPr>
              <w:t>。</w:t>
            </w:r>
          </w:p>
          <w:p w14:paraId="40B6FDEA">
            <w:pPr>
              <w:pStyle w:val="23"/>
              <w:keepNext w:val="0"/>
              <w:keepLines w:val="0"/>
              <w:pageBreakBefore w:val="0"/>
              <w:widowControl w:val="0"/>
              <w:shd w:val="clear" w:color="auto" w:fill="auto"/>
              <w:tabs>
                <w:tab w:val="left" w:pos="1068"/>
              </w:tabs>
              <w:kinsoku/>
              <w:wordWrap/>
              <w:overflowPunct/>
              <w:topLinePunct w:val="0"/>
              <w:bidi w:val="0"/>
              <w:spacing w:before="0" w:after="0" w:line="3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Style w:val="24"/>
                <w:rFonts w:hint="eastAsia" w:ascii="宋体" w:hAnsi="宋体" w:eastAsia="宋体" w:cs="宋体"/>
                <w:color w:val="auto"/>
                <w:sz w:val="21"/>
                <w:szCs w:val="21"/>
                <w:highlight w:val="none"/>
              </w:rPr>
              <w:t>（6）投标人的项目经理和项目总工资格、在岗情况符合招标文件规定。</w:t>
            </w:r>
          </w:p>
          <w:p w14:paraId="0DB30AA5">
            <w:pPr>
              <w:pStyle w:val="23"/>
              <w:keepNext w:val="0"/>
              <w:keepLines w:val="0"/>
              <w:pageBreakBefore w:val="0"/>
              <w:widowControl w:val="0"/>
              <w:shd w:val="clear" w:color="auto" w:fill="auto"/>
              <w:tabs>
                <w:tab w:val="left" w:pos="1073"/>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lang w:val="en-US"/>
              </w:rPr>
            </w:pPr>
            <w:r>
              <w:rPr>
                <w:rStyle w:val="24"/>
                <w:rFonts w:hint="eastAsia" w:ascii="宋体" w:hAnsi="宋体" w:eastAsia="宋体" w:cs="宋体"/>
                <w:color w:val="auto"/>
                <w:sz w:val="21"/>
                <w:szCs w:val="21"/>
                <w:highlight w:val="none"/>
              </w:rPr>
              <w:t>（7）投标人不存在第二章“投标人须知”第1.4.3项或第1.4.4项规定的任何一种情形。</w:t>
            </w:r>
          </w:p>
        </w:tc>
      </w:tr>
      <w:tr w14:paraId="3656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tcBorders>
            <w:vAlign w:val="center"/>
          </w:tcPr>
          <w:p w14:paraId="63560F0F">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2.2.1</w:t>
            </w:r>
          </w:p>
        </w:tc>
        <w:tc>
          <w:tcPr>
            <w:tcW w:w="1636" w:type="dxa"/>
            <w:vAlign w:val="center"/>
          </w:tcPr>
          <w:p w14:paraId="5EE5AE7E">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第一个信封</w:t>
            </w:r>
          </w:p>
          <w:p w14:paraId="1E44BF71">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评分值构成</w:t>
            </w:r>
          </w:p>
          <w:p w14:paraId="28DC0D6C">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（总分100分）</w:t>
            </w:r>
          </w:p>
        </w:tc>
        <w:tc>
          <w:tcPr>
            <w:tcW w:w="7002" w:type="dxa"/>
            <w:tcBorders>
              <w:right w:val="single" w:color="auto" w:sz="12" w:space="0"/>
            </w:tcBorders>
            <w:vAlign w:val="center"/>
          </w:tcPr>
          <w:p w14:paraId="368E1C69">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施工组织设计：40分；</w:t>
            </w:r>
          </w:p>
          <w:p w14:paraId="39C5AA0C">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主要人员：25分；</w:t>
            </w:r>
          </w:p>
          <w:p w14:paraId="7070A0A1">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其他评分因素：35分。</w:t>
            </w:r>
          </w:p>
        </w:tc>
      </w:tr>
      <w:tr w14:paraId="61BE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tcBorders>
            <w:vAlign w:val="center"/>
          </w:tcPr>
          <w:p w14:paraId="6CB14390">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2.2.3</w:t>
            </w:r>
          </w:p>
        </w:tc>
        <w:tc>
          <w:tcPr>
            <w:tcW w:w="1636" w:type="dxa"/>
            <w:vAlign w:val="center"/>
          </w:tcPr>
          <w:p w14:paraId="15E63FAB">
            <w:pPr>
              <w:keepNext w:val="0"/>
              <w:keepLines w:val="0"/>
              <w:pageBreakBefore w:val="0"/>
              <w:widowControl w:val="0"/>
              <w:kinsoku/>
              <w:wordWrap/>
              <w:overflowPunct/>
              <w:topLinePunct w:val="0"/>
              <w:autoSpaceDE w:val="0"/>
              <w:autoSpaceDN w:val="0"/>
              <w:bidi w:val="0"/>
              <w:adjustRightInd w:val="0"/>
              <w:snapToGrid/>
              <w:spacing w:line="360" w:lineRule="exact"/>
              <w:ind w:firstLine="105" w:firstLineChars="50"/>
              <w:jc w:val="center"/>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第二个信封详细评审标准</w:t>
            </w:r>
          </w:p>
        </w:tc>
        <w:tc>
          <w:tcPr>
            <w:tcW w:w="7002" w:type="dxa"/>
            <w:tcBorders>
              <w:right w:val="single" w:color="auto" w:sz="12" w:space="0"/>
            </w:tcBorders>
            <w:vAlign w:val="center"/>
          </w:tcPr>
          <w:p w14:paraId="72D09396">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宋体" w:hAnsi="宋体" w:eastAsia="宋体" w:cs="宋体"/>
                <w:bCs/>
                <w:color w:val="auto"/>
                <w:sz w:val="21"/>
                <w:szCs w:val="21"/>
                <w:highlight w:val="none"/>
                <w:lang w:val="zh-CN"/>
              </w:rPr>
            </w:pPr>
            <w:r>
              <w:rPr>
                <w:rFonts w:hint="eastAsia" w:ascii="宋体" w:hAnsi="宋体" w:eastAsia="宋体" w:cs="宋体"/>
                <w:b/>
                <w:color w:val="auto"/>
                <w:sz w:val="21"/>
                <w:szCs w:val="21"/>
                <w:highlight w:val="none"/>
              </w:rPr>
              <w:t>评标价计算公式：</w:t>
            </w:r>
            <w:r>
              <w:rPr>
                <w:rFonts w:hint="eastAsia" w:ascii="宋体" w:hAnsi="宋体" w:eastAsia="宋体" w:cs="宋体"/>
                <w:color w:val="auto"/>
                <w:sz w:val="21"/>
                <w:szCs w:val="21"/>
                <w:highlight w:val="none"/>
              </w:rPr>
              <w:t>评标价=投标函文字报价</w:t>
            </w:r>
          </w:p>
        </w:tc>
      </w:tr>
      <w:tr w14:paraId="7D2F1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bottom w:val="single" w:color="auto" w:sz="12" w:space="0"/>
            </w:tcBorders>
            <w:vAlign w:val="center"/>
          </w:tcPr>
          <w:p w14:paraId="2AB10F49">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3.2.4</w:t>
            </w:r>
          </w:p>
        </w:tc>
        <w:tc>
          <w:tcPr>
            <w:tcW w:w="1636" w:type="dxa"/>
            <w:tcBorders>
              <w:bottom w:val="single" w:color="auto" w:sz="12" w:space="0"/>
            </w:tcBorders>
            <w:vAlign w:val="center"/>
          </w:tcPr>
          <w:p w14:paraId="7ED06B1C">
            <w:pPr>
              <w:keepNext w:val="0"/>
              <w:keepLines w:val="0"/>
              <w:pageBreakBefore w:val="0"/>
              <w:widowControl w:val="0"/>
              <w:kinsoku/>
              <w:wordWrap/>
              <w:overflowPunct/>
              <w:topLinePunct w:val="0"/>
              <w:autoSpaceDE w:val="0"/>
              <w:autoSpaceDN w:val="0"/>
              <w:bidi w:val="0"/>
              <w:adjustRightInd w:val="0"/>
              <w:spacing w:line="360" w:lineRule="exact"/>
              <w:ind w:firstLine="105" w:firstLineChars="50"/>
              <w:jc w:val="center"/>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通过第一个信封详细评审的投标人数量</w:t>
            </w:r>
          </w:p>
        </w:tc>
        <w:tc>
          <w:tcPr>
            <w:tcW w:w="7002" w:type="dxa"/>
            <w:tcBorders>
              <w:bottom w:val="single" w:color="auto" w:sz="12" w:space="0"/>
              <w:right w:val="single" w:color="auto" w:sz="12" w:space="0"/>
            </w:tcBorders>
            <w:vAlign w:val="center"/>
          </w:tcPr>
          <w:p w14:paraId="0AD11753">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按投标人商务和技术得分由高到低排序，选择前</w:t>
            </w:r>
            <w:r>
              <w:rPr>
                <w:rFonts w:hint="eastAsia" w:ascii="宋体" w:hAnsi="宋体" w:eastAsia="宋体" w:cs="宋体"/>
                <w:color w:val="auto"/>
                <w:sz w:val="21"/>
                <w:szCs w:val="21"/>
                <w:highlight w:val="none"/>
                <w:u w:val="single"/>
              </w:rPr>
              <w:t xml:space="preserve"> </w:t>
            </w:r>
            <w:r>
              <w:rPr>
                <w:rFonts w:hint="eastAsia" w:ascii="宋体" w:hAnsi="宋体" w:eastAsia="宋体" w:cs="宋体"/>
                <w:b/>
                <w:color w:val="auto"/>
                <w:sz w:val="21"/>
                <w:szCs w:val="21"/>
                <w:highlight w:val="none"/>
                <w:u w:val="single"/>
              </w:rPr>
              <w:t xml:space="preserve">3 </w:t>
            </w:r>
            <w:r>
              <w:rPr>
                <w:rFonts w:hint="eastAsia" w:ascii="宋体" w:hAnsi="宋体" w:eastAsia="宋体" w:cs="宋体"/>
                <w:color w:val="auto"/>
                <w:sz w:val="21"/>
                <w:szCs w:val="21"/>
                <w:highlight w:val="none"/>
              </w:rPr>
              <w:t>名通过详细评审。</w:t>
            </w:r>
          </w:p>
          <w:p w14:paraId="5011FF12">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如同一标段出现多名投标人的第一信封（商务及技术文件）综合评分相等时，则按照以下所列</w:t>
            </w:r>
            <w:r>
              <w:rPr>
                <w:rFonts w:hint="eastAsia" w:ascii="宋体" w:hAnsi="宋体" w:eastAsia="宋体" w:cs="宋体"/>
                <w:color w:val="auto"/>
                <w:sz w:val="21"/>
                <w:szCs w:val="21"/>
                <w:highlight w:val="none"/>
                <w:lang w:val="en-US" w:eastAsia="zh-CN"/>
              </w:rPr>
              <w:t>顺序</w:t>
            </w:r>
            <w:r>
              <w:rPr>
                <w:rFonts w:hint="eastAsia" w:ascii="宋体" w:hAnsi="宋体" w:eastAsia="宋体" w:cs="宋体"/>
                <w:color w:val="auto"/>
                <w:sz w:val="21"/>
                <w:szCs w:val="21"/>
                <w:highlight w:val="none"/>
              </w:rPr>
              <w:t>在前的优先：</w:t>
            </w:r>
          </w:p>
          <w:p w14:paraId="74CCD384">
            <w:pPr>
              <w:keepNext w:val="0"/>
              <w:keepLines w:val="0"/>
              <w:pageBreakBefore w:val="0"/>
              <w:widowControl w:val="0"/>
              <w:kinsoku/>
              <w:wordWrap/>
              <w:overflowPunct/>
              <w:topLinePunct w:val="0"/>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a.信用评价得分较高者；</w:t>
            </w:r>
          </w:p>
          <w:p w14:paraId="6B9F8435">
            <w:pPr>
              <w:keepNext w:val="0"/>
              <w:keepLines w:val="0"/>
              <w:pageBreakBefore w:val="0"/>
              <w:widowControl w:val="0"/>
              <w:kinsoku/>
              <w:wordWrap/>
              <w:overflowPunct/>
              <w:topLinePunct w:val="0"/>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b.主要人员得分较高者；</w:t>
            </w:r>
          </w:p>
          <w:p w14:paraId="0D3D6847">
            <w:pPr>
              <w:keepNext w:val="0"/>
              <w:keepLines w:val="0"/>
              <w:pageBreakBefore w:val="0"/>
              <w:widowControl w:val="0"/>
              <w:kinsoku/>
              <w:wordWrap/>
              <w:overflowPunct/>
              <w:topLinePunct w:val="0"/>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c.施工组织设计得分较高者；</w:t>
            </w:r>
          </w:p>
          <w:p w14:paraId="6CE90AF4">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若以上各项评分因素得分都相等，则通过评委会投票表决，推荐票数多的投标人评分排序在先。</w:t>
            </w:r>
          </w:p>
        </w:tc>
      </w:tr>
    </w:tbl>
    <w:p w14:paraId="7FEBE688">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914"/>
        <w:gridCol w:w="675"/>
        <w:gridCol w:w="945"/>
        <w:gridCol w:w="1845"/>
        <w:gridCol w:w="855"/>
        <w:gridCol w:w="4303"/>
      </w:tblGrid>
      <w:tr w14:paraId="0C9A27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blHeader/>
          <w:jc w:val="center"/>
        </w:trPr>
        <w:tc>
          <w:tcPr>
            <w:tcW w:w="5234" w:type="dxa"/>
            <w:gridSpan w:val="5"/>
            <w:tcBorders>
              <w:tl2br w:val="nil"/>
              <w:tr2bl w:val="nil"/>
            </w:tcBorders>
            <w:vAlign w:val="center"/>
          </w:tcPr>
          <w:p w14:paraId="6534D9D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评分因素与权重分值</w:t>
            </w:r>
            <w:r>
              <w:rPr>
                <w:rFonts w:hint="eastAsia" w:ascii="宋体" w:hAnsi="宋体" w:eastAsia="宋体" w:cs="宋体"/>
                <w:b/>
                <w:bCs/>
                <w:color w:val="auto"/>
                <w:sz w:val="21"/>
                <w:szCs w:val="21"/>
                <w:highlight w:val="none"/>
                <w:vertAlign w:val="superscript"/>
              </w:rPr>
              <w:footnoteReference w:id="4"/>
            </w:r>
          </w:p>
        </w:tc>
        <w:tc>
          <w:tcPr>
            <w:tcW w:w="4303" w:type="dxa"/>
            <w:vMerge w:val="restart"/>
            <w:tcBorders>
              <w:tl2br w:val="nil"/>
              <w:tr2bl w:val="nil"/>
            </w:tcBorders>
            <w:vAlign w:val="center"/>
          </w:tcPr>
          <w:p w14:paraId="0C3A04B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评分标准</w:t>
            </w:r>
          </w:p>
        </w:tc>
      </w:tr>
      <w:tr w14:paraId="7BC40B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blHeader/>
          <w:jc w:val="center"/>
        </w:trPr>
        <w:tc>
          <w:tcPr>
            <w:tcW w:w="914" w:type="dxa"/>
            <w:tcBorders>
              <w:tl2br w:val="nil"/>
              <w:tr2bl w:val="nil"/>
            </w:tcBorders>
            <w:vAlign w:val="center"/>
          </w:tcPr>
          <w:p w14:paraId="076911D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w:t>
            </w:r>
          </w:p>
        </w:tc>
        <w:tc>
          <w:tcPr>
            <w:tcW w:w="675" w:type="dxa"/>
            <w:tcBorders>
              <w:tl2br w:val="nil"/>
              <w:tr2bl w:val="nil"/>
            </w:tcBorders>
            <w:vAlign w:val="center"/>
          </w:tcPr>
          <w:p w14:paraId="565247D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w:t>
            </w:r>
            <w:r>
              <w:rPr>
                <w:rFonts w:hint="eastAsia" w:ascii="宋体" w:hAnsi="宋体" w:eastAsia="宋体" w:cs="宋体"/>
                <w:b/>
                <w:bCs/>
                <w:color w:val="auto"/>
                <w:sz w:val="21"/>
                <w:szCs w:val="21"/>
                <w:highlight w:val="none"/>
              </w:rPr>
              <w:br w:type="textWrapping"/>
            </w:r>
            <w:r>
              <w:rPr>
                <w:rFonts w:hint="eastAsia" w:ascii="宋体" w:hAnsi="宋体" w:eastAsia="宋体" w:cs="宋体"/>
                <w:b/>
                <w:bCs/>
                <w:color w:val="auto"/>
                <w:sz w:val="21"/>
                <w:szCs w:val="21"/>
                <w:highlight w:val="none"/>
              </w:rPr>
              <w:t>因素</w:t>
            </w:r>
          </w:p>
        </w:tc>
        <w:tc>
          <w:tcPr>
            <w:tcW w:w="945" w:type="dxa"/>
            <w:tcBorders>
              <w:tl2br w:val="nil"/>
              <w:tr2bl w:val="nil"/>
            </w:tcBorders>
            <w:vAlign w:val="center"/>
          </w:tcPr>
          <w:p w14:paraId="4F64DEB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w:t>
            </w:r>
            <w:r>
              <w:rPr>
                <w:rFonts w:hint="eastAsia" w:ascii="宋体" w:hAnsi="宋体" w:eastAsia="宋体" w:cs="宋体"/>
                <w:b/>
                <w:bCs/>
                <w:color w:val="auto"/>
                <w:sz w:val="21"/>
                <w:szCs w:val="21"/>
                <w:highlight w:val="none"/>
              </w:rPr>
              <w:br w:type="textWrapping"/>
            </w:r>
            <w:r>
              <w:rPr>
                <w:rFonts w:hint="eastAsia" w:ascii="宋体" w:hAnsi="宋体" w:eastAsia="宋体" w:cs="宋体"/>
                <w:b/>
                <w:bCs/>
                <w:color w:val="auto"/>
                <w:sz w:val="21"/>
                <w:szCs w:val="21"/>
                <w:highlight w:val="none"/>
              </w:rPr>
              <w:t>权重分值</w:t>
            </w:r>
          </w:p>
        </w:tc>
        <w:tc>
          <w:tcPr>
            <w:tcW w:w="1845" w:type="dxa"/>
            <w:tcBorders>
              <w:tl2br w:val="nil"/>
              <w:tr2bl w:val="nil"/>
            </w:tcBorders>
            <w:vAlign w:val="center"/>
          </w:tcPr>
          <w:p w14:paraId="0484856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各评分因素细分项</w:t>
            </w:r>
          </w:p>
        </w:tc>
        <w:tc>
          <w:tcPr>
            <w:tcW w:w="855" w:type="dxa"/>
            <w:tcBorders>
              <w:tl2br w:val="nil"/>
              <w:tr2bl w:val="nil"/>
            </w:tcBorders>
            <w:vAlign w:val="center"/>
          </w:tcPr>
          <w:p w14:paraId="04E63EE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4303" w:type="dxa"/>
            <w:vMerge w:val="continue"/>
            <w:tcBorders>
              <w:tl2br w:val="nil"/>
              <w:tr2bl w:val="nil"/>
            </w:tcBorders>
            <w:vAlign w:val="center"/>
          </w:tcPr>
          <w:p w14:paraId="13D9FBA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auto"/>
                <w:sz w:val="21"/>
                <w:szCs w:val="21"/>
                <w:highlight w:val="none"/>
              </w:rPr>
            </w:pPr>
          </w:p>
        </w:tc>
      </w:tr>
      <w:tr w14:paraId="5F2B0C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restart"/>
            <w:tcBorders>
              <w:tl2br w:val="nil"/>
              <w:tr2bl w:val="nil"/>
            </w:tcBorders>
            <w:vAlign w:val="center"/>
          </w:tcPr>
          <w:p w14:paraId="59EABF23">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2.2.2（1）</w:t>
            </w:r>
          </w:p>
        </w:tc>
        <w:tc>
          <w:tcPr>
            <w:tcW w:w="675" w:type="dxa"/>
            <w:vMerge w:val="restart"/>
            <w:tcBorders>
              <w:tl2br w:val="nil"/>
              <w:tr2bl w:val="nil"/>
            </w:tcBorders>
            <w:vAlign w:val="center"/>
          </w:tcPr>
          <w:p w14:paraId="60B036B1">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施工组织设计</w:t>
            </w:r>
          </w:p>
        </w:tc>
        <w:tc>
          <w:tcPr>
            <w:tcW w:w="945" w:type="dxa"/>
            <w:vMerge w:val="restart"/>
            <w:tcBorders>
              <w:tl2br w:val="nil"/>
              <w:tr2bl w:val="nil"/>
            </w:tcBorders>
            <w:vAlign w:val="center"/>
          </w:tcPr>
          <w:p w14:paraId="5A9D4886">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40分</w:t>
            </w:r>
          </w:p>
        </w:tc>
        <w:tc>
          <w:tcPr>
            <w:tcW w:w="1845" w:type="dxa"/>
            <w:vMerge w:val="restart"/>
            <w:tcBorders>
              <w:tl2br w:val="nil"/>
              <w:tr2bl w:val="nil"/>
            </w:tcBorders>
            <w:vAlign w:val="center"/>
          </w:tcPr>
          <w:p w14:paraId="19010873">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总体施工组织布置及规划</w:t>
            </w:r>
          </w:p>
        </w:tc>
        <w:tc>
          <w:tcPr>
            <w:tcW w:w="855" w:type="dxa"/>
            <w:vMerge w:val="restart"/>
            <w:tcBorders>
              <w:tl2br w:val="nil"/>
              <w:tr2bl w:val="nil"/>
            </w:tcBorders>
            <w:vAlign w:val="center"/>
          </w:tcPr>
          <w:p w14:paraId="12EDF178">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4303" w:type="dxa"/>
            <w:tcBorders>
              <w:tl2br w:val="nil"/>
              <w:tr2bl w:val="nil"/>
            </w:tcBorders>
            <w:vAlign w:val="center"/>
          </w:tcPr>
          <w:p w14:paraId="7572B53B">
            <w:pPr>
              <w:keepLines w:val="0"/>
              <w:widowControl/>
              <w:kinsoku/>
              <w:wordWrap/>
              <w:overflowPunct/>
              <w:topLinePunct w:val="0"/>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000000"/>
                <w:sz w:val="21"/>
                <w:szCs w:val="21"/>
                <w:highlight w:val="none"/>
                <w:shd w:val="clear" w:color="auto" w:fill="FFFFFF"/>
              </w:rPr>
              <w:t>按招标文件要求编制总体布置及规划</w:t>
            </w:r>
            <w:r>
              <w:rPr>
                <w:rFonts w:hint="eastAsia" w:ascii="宋体" w:hAnsi="宋体" w:eastAsia="宋体" w:cs="宋体"/>
                <w:kern w:val="0"/>
                <w:sz w:val="21"/>
                <w:szCs w:val="21"/>
                <w:highlight w:val="none"/>
              </w:rPr>
              <w:t>得6.0分，</w:t>
            </w:r>
            <w:r>
              <w:rPr>
                <w:rFonts w:hint="eastAsia" w:ascii="宋体" w:hAnsi="宋体" w:eastAsia="宋体" w:cs="宋体"/>
                <w:color w:val="000000"/>
                <w:sz w:val="21"/>
                <w:szCs w:val="21"/>
                <w:highlight w:val="none"/>
                <w:shd w:val="clear" w:color="auto" w:fill="FFFFFF"/>
              </w:rPr>
              <w:t>内容全面、科学合理、可操作性强</w:t>
            </w:r>
            <w:r>
              <w:rPr>
                <w:rFonts w:hint="eastAsia" w:ascii="宋体" w:hAnsi="宋体" w:eastAsia="宋体" w:cs="宋体"/>
                <w:sz w:val="21"/>
                <w:szCs w:val="21"/>
                <w:highlight w:val="none"/>
              </w:rPr>
              <w:t>，</w:t>
            </w:r>
            <w:r>
              <w:rPr>
                <w:rFonts w:hint="eastAsia" w:ascii="宋体" w:hAnsi="宋体" w:eastAsia="宋体" w:cs="宋体"/>
                <w:kern w:val="0"/>
                <w:sz w:val="21"/>
                <w:szCs w:val="21"/>
                <w:highlight w:val="none"/>
              </w:rPr>
              <w:t>酌情加分，最高加4.0分。</w:t>
            </w:r>
          </w:p>
        </w:tc>
      </w:tr>
      <w:tr w14:paraId="4131A4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720F5908">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3EB7D959">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7575E9D3">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restart"/>
            <w:tcBorders>
              <w:tl2br w:val="nil"/>
              <w:tr2bl w:val="nil"/>
            </w:tcBorders>
            <w:vAlign w:val="center"/>
          </w:tcPr>
          <w:p w14:paraId="237EF9DD">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rPr>
              <w:t>主要工程项目的施工方案、方法与技术措施</w:t>
            </w:r>
          </w:p>
        </w:tc>
        <w:tc>
          <w:tcPr>
            <w:tcW w:w="855" w:type="dxa"/>
            <w:vMerge w:val="restart"/>
            <w:tcBorders>
              <w:tl2br w:val="nil"/>
              <w:tr2bl w:val="nil"/>
            </w:tcBorders>
            <w:vAlign w:val="center"/>
          </w:tcPr>
          <w:p w14:paraId="077AB9EB">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15分</w:t>
            </w:r>
          </w:p>
        </w:tc>
        <w:tc>
          <w:tcPr>
            <w:tcW w:w="4303" w:type="dxa"/>
            <w:tcBorders>
              <w:tl2br w:val="nil"/>
              <w:tr2bl w:val="nil"/>
            </w:tcBorders>
            <w:vAlign w:val="center"/>
          </w:tcPr>
          <w:p w14:paraId="2589CA5A">
            <w:pPr>
              <w:keepLines w:val="0"/>
              <w:widowControl/>
              <w:kinsoku/>
              <w:wordWrap/>
              <w:overflowPunct/>
              <w:topLinePunct w:val="0"/>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000000"/>
                <w:sz w:val="21"/>
                <w:szCs w:val="21"/>
                <w:highlight w:val="none"/>
                <w:shd w:val="clear" w:color="auto" w:fill="FFFFFF"/>
              </w:rPr>
              <w:t>按招标文件要求编制主要工程项目的施工方案、方法与技术措施</w:t>
            </w:r>
            <w:r>
              <w:rPr>
                <w:rFonts w:hint="eastAsia" w:ascii="宋体" w:hAnsi="宋体" w:eastAsia="宋体" w:cs="宋体"/>
                <w:kern w:val="0"/>
                <w:sz w:val="21"/>
                <w:szCs w:val="21"/>
                <w:highlight w:val="none"/>
              </w:rPr>
              <w:t>得9.0分，</w:t>
            </w:r>
            <w:r>
              <w:rPr>
                <w:rFonts w:hint="eastAsia" w:ascii="宋体" w:hAnsi="宋体" w:eastAsia="宋体" w:cs="宋体"/>
                <w:color w:val="000000"/>
                <w:sz w:val="21"/>
                <w:szCs w:val="21"/>
                <w:highlight w:val="none"/>
                <w:shd w:val="clear" w:color="auto" w:fill="FFFFFF"/>
              </w:rPr>
              <w:t>内容全面、科学合理、可操作性强</w:t>
            </w:r>
            <w:r>
              <w:rPr>
                <w:rFonts w:hint="eastAsia" w:ascii="宋体" w:hAnsi="宋体" w:eastAsia="宋体" w:cs="宋体"/>
                <w:sz w:val="21"/>
                <w:szCs w:val="21"/>
                <w:highlight w:val="none"/>
              </w:rPr>
              <w:t>，</w:t>
            </w:r>
            <w:r>
              <w:rPr>
                <w:rFonts w:hint="eastAsia" w:ascii="宋体" w:hAnsi="宋体" w:eastAsia="宋体" w:cs="宋体"/>
                <w:kern w:val="0"/>
                <w:sz w:val="21"/>
                <w:szCs w:val="21"/>
                <w:highlight w:val="none"/>
              </w:rPr>
              <w:t>酌情加分，最高加6.0分。</w:t>
            </w:r>
          </w:p>
        </w:tc>
      </w:tr>
      <w:tr w14:paraId="0E096E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3095A39B">
            <w:pPr>
              <w:keepNext w:val="0"/>
              <w:keepLines w:val="0"/>
              <w:pageBreakBefore w:val="0"/>
              <w:kinsoku/>
              <w:wordWrap/>
              <w:overflowPunct/>
              <w:topLinePunct w:val="0"/>
              <w:autoSpaceDE/>
              <w:autoSpaceDN/>
              <w:bidi w:val="0"/>
              <w:adjustRightInd w:val="0"/>
              <w:snapToGrid w:val="0"/>
              <w:spacing w:line="360" w:lineRule="exact"/>
              <w:jc w:val="right"/>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5AE11CE6">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4D6E048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restart"/>
            <w:tcBorders>
              <w:tl2br w:val="nil"/>
              <w:tr2bl w:val="nil"/>
            </w:tcBorders>
            <w:vAlign w:val="center"/>
          </w:tcPr>
          <w:p w14:paraId="07A8BB76">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各类</w:t>
            </w:r>
            <w:r>
              <w:rPr>
                <w:rFonts w:hint="eastAsia" w:ascii="宋体" w:hAnsi="宋体" w:eastAsia="宋体" w:cs="宋体"/>
                <w:bCs/>
                <w:color w:val="auto"/>
                <w:sz w:val="21"/>
                <w:szCs w:val="21"/>
                <w:highlight w:val="none"/>
                <w:lang w:val="zh-CN"/>
              </w:rPr>
              <w:t>保证体系及保证措施</w:t>
            </w:r>
          </w:p>
        </w:tc>
        <w:tc>
          <w:tcPr>
            <w:tcW w:w="855" w:type="dxa"/>
            <w:vMerge w:val="restart"/>
            <w:tcBorders>
              <w:tl2br w:val="nil"/>
              <w:tr2bl w:val="nil"/>
            </w:tcBorders>
            <w:vAlign w:val="center"/>
          </w:tcPr>
          <w:p w14:paraId="3027C325">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4303" w:type="dxa"/>
            <w:tcBorders>
              <w:tl2br w:val="nil"/>
              <w:tr2bl w:val="nil"/>
            </w:tcBorders>
            <w:vAlign w:val="center"/>
          </w:tcPr>
          <w:p w14:paraId="2F983EFA">
            <w:pPr>
              <w:keepLines w:val="0"/>
              <w:widowControl/>
              <w:kinsoku/>
              <w:wordWrap/>
              <w:overflowPunct/>
              <w:topLinePunct w:val="0"/>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000000"/>
                <w:sz w:val="21"/>
                <w:szCs w:val="21"/>
                <w:highlight w:val="none"/>
                <w:shd w:val="clear" w:color="auto" w:fill="FFFFFF"/>
              </w:rPr>
              <w:t>按招标文件要求编制工期、质量、安全生产、文明施工等保证体系及措施</w:t>
            </w:r>
            <w:r>
              <w:rPr>
                <w:rFonts w:hint="eastAsia" w:ascii="宋体" w:hAnsi="宋体" w:eastAsia="宋体" w:cs="宋体"/>
                <w:kern w:val="0"/>
                <w:sz w:val="21"/>
                <w:szCs w:val="21"/>
                <w:highlight w:val="none"/>
              </w:rPr>
              <w:t>得6.0分，</w:t>
            </w:r>
            <w:r>
              <w:rPr>
                <w:rFonts w:hint="eastAsia" w:ascii="宋体" w:hAnsi="宋体" w:eastAsia="宋体" w:cs="宋体"/>
                <w:color w:val="000000"/>
                <w:sz w:val="21"/>
                <w:szCs w:val="21"/>
                <w:highlight w:val="none"/>
                <w:shd w:val="clear" w:color="auto" w:fill="FFFFFF"/>
              </w:rPr>
              <w:t>内容全面、科学合理、可操作性强</w:t>
            </w:r>
            <w:r>
              <w:rPr>
                <w:rFonts w:hint="eastAsia" w:ascii="宋体" w:hAnsi="宋体" w:eastAsia="宋体" w:cs="宋体"/>
                <w:sz w:val="21"/>
                <w:szCs w:val="21"/>
                <w:highlight w:val="none"/>
              </w:rPr>
              <w:t>，</w:t>
            </w:r>
            <w:r>
              <w:rPr>
                <w:rFonts w:hint="eastAsia" w:ascii="宋体" w:hAnsi="宋体" w:eastAsia="宋体" w:cs="宋体"/>
                <w:kern w:val="0"/>
                <w:sz w:val="21"/>
                <w:szCs w:val="21"/>
                <w:highlight w:val="none"/>
              </w:rPr>
              <w:t>酌情加分，最高加4.0分。</w:t>
            </w:r>
          </w:p>
        </w:tc>
      </w:tr>
      <w:tr w14:paraId="135FF2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514C2563">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20345A0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3C4122E5">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tcBorders>
              <w:tl2br w:val="nil"/>
              <w:tr2bl w:val="nil"/>
            </w:tcBorders>
            <w:vAlign w:val="center"/>
          </w:tcPr>
          <w:p w14:paraId="4D4FFEF6">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rPr>
              <w:t>项目风险预测与防范，事故应急预案</w:t>
            </w:r>
          </w:p>
        </w:tc>
        <w:tc>
          <w:tcPr>
            <w:tcW w:w="855" w:type="dxa"/>
            <w:tcBorders>
              <w:tl2br w:val="nil"/>
              <w:tr2bl w:val="nil"/>
            </w:tcBorders>
            <w:vAlign w:val="center"/>
          </w:tcPr>
          <w:p w14:paraId="30022112">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4303" w:type="dxa"/>
            <w:tcBorders>
              <w:tl2br w:val="nil"/>
              <w:tr2bl w:val="nil"/>
            </w:tcBorders>
            <w:vAlign w:val="top"/>
          </w:tcPr>
          <w:p w14:paraId="2E3BBE8A">
            <w:pPr>
              <w:keepLines w:val="0"/>
              <w:kinsoku/>
              <w:wordWrap/>
              <w:overflowPunct/>
              <w:topLinePunct w:val="0"/>
              <w:bidi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000000"/>
                <w:sz w:val="21"/>
                <w:szCs w:val="21"/>
                <w:highlight w:val="none"/>
                <w:shd w:val="clear" w:color="auto" w:fill="FFFFFF"/>
              </w:rPr>
              <w:t>按招标文件要求编制事故应急预案</w:t>
            </w:r>
            <w:r>
              <w:rPr>
                <w:rFonts w:hint="eastAsia" w:ascii="宋体" w:hAnsi="宋体" w:eastAsia="宋体" w:cs="宋体"/>
                <w:kern w:val="0"/>
                <w:sz w:val="21"/>
                <w:szCs w:val="21"/>
                <w:highlight w:val="none"/>
              </w:rPr>
              <w:t>得3.0分，</w:t>
            </w:r>
            <w:r>
              <w:rPr>
                <w:rFonts w:hint="eastAsia" w:ascii="宋体" w:hAnsi="宋体" w:eastAsia="宋体" w:cs="宋体"/>
                <w:color w:val="000000"/>
                <w:sz w:val="21"/>
                <w:szCs w:val="21"/>
                <w:highlight w:val="none"/>
                <w:shd w:val="clear" w:color="auto" w:fill="FFFFFF"/>
              </w:rPr>
              <w:t>内容全面、科学合理、可操作性强</w:t>
            </w:r>
            <w:r>
              <w:rPr>
                <w:rFonts w:hint="eastAsia" w:ascii="宋体" w:hAnsi="宋体" w:eastAsia="宋体" w:cs="宋体"/>
                <w:sz w:val="21"/>
                <w:szCs w:val="21"/>
                <w:highlight w:val="none"/>
              </w:rPr>
              <w:t>，</w:t>
            </w:r>
            <w:r>
              <w:rPr>
                <w:rFonts w:hint="eastAsia" w:ascii="宋体" w:hAnsi="宋体" w:eastAsia="宋体" w:cs="宋体"/>
                <w:kern w:val="0"/>
                <w:sz w:val="21"/>
                <w:szCs w:val="21"/>
                <w:highlight w:val="none"/>
              </w:rPr>
              <w:t>酌情加分，最高加2.0分。</w:t>
            </w:r>
          </w:p>
        </w:tc>
      </w:tr>
      <w:tr w14:paraId="101923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restart"/>
            <w:tcBorders>
              <w:tl2br w:val="nil"/>
              <w:tr2bl w:val="nil"/>
            </w:tcBorders>
            <w:vAlign w:val="center"/>
          </w:tcPr>
          <w:p w14:paraId="567B9C28">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2.2.2（2）</w:t>
            </w:r>
          </w:p>
        </w:tc>
        <w:tc>
          <w:tcPr>
            <w:tcW w:w="675" w:type="dxa"/>
            <w:vMerge w:val="restart"/>
            <w:tcBorders>
              <w:tl2br w:val="nil"/>
              <w:tr2bl w:val="nil"/>
            </w:tcBorders>
            <w:vAlign w:val="center"/>
          </w:tcPr>
          <w:p w14:paraId="6CAC6501">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w:t>
            </w:r>
          </w:p>
          <w:p w14:paraId="5461015D">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w:t>
            </w:r>
          </w:p>
        </w:tc>
        <w:tc>
          <w:tcPr>
            <w:tcW w:w="945" w:type="dxa"/>
            <w:vMerge w:val="restart"/>
            <w:tcBorders>
              <w:tl2br w:val="nil"/>
              <w:tr2bl w:val="nil"/>
            </w:tcBorders>
            <w:vAlign w:val="center"/>
          </w:tcPr>
          <w:p w14:paraId="01AA12C7">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25分</w:t>
            </w:r>
          </w:p>
        </w:tc>
        <w:tc>
          <w:tcPr>
            <w:tcW w:w="1845" w:type="dxa"/>
            <w:tcBorders>
              <w:tl2br w:val="nil"/>
              <w:tr2bl w:val="nil"/>
            </w:tcBorders>
            <w:vAlign w:val="center"/>
          </w:tcPr>
          <w:p w14:paraId="77A2A97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w:t>
            </w:r>
          </w:p>
          <w:p w14:paraId="36999CD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任职资格与业绩</w:t>
            </w:r>
          </w:p>
        </w:tc>
        <w:tc>
          <w:tcPr>
            <w:tcW w:w="855" w:type="dxa"/>
            <w:tcBorders>
              <w:tl2br w:val="nil"/>
              <w:tr2bl w:val="nil"/>
            </w:tcBorders>
            <w:vAlign w:val="center"/>
          </w:tcPr>
          <w:p w14:paraId="2F63ADFC">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15分</w:t>
            </w:r>
          </w:p>
        </w:tc>
        <w:tc>
          <w:tcPr>
            <w:tcW w:w="4303" w:type="dxa"/>
            <w:tcBorders>
              <w:tl2br w:val="nil"/>
              <w:tr2bl w:val="nil"/>
            </w:tcBorders>
            <w:vAlign w:val="center"/>
          </w:tcPr>
          <w:p w14:paraId="279415CF">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满足最低资格审查条件要求，得9分。</w:t>
            </w:r>
          </w:p>
          <w:p w14:paraId="309D7B3C">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在满足最低要求的基础上，每提供1项公路交通安全设施工程（包含新、改扩建工程或养护工程）施工业绩加6分，最多加6分。</w:t>
            </w:r>
          </w:p>
        </w:tc>
      </w:tr>
      <w:tr w14:paraId="6A0668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44DE3F82">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2A254676">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7231444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tcBorders>
              <w:tl2br w:val="nil"/>
              <w:tr2bl w:val="nil"/>
            </w:tcBorders>
            <w:vAlign w:val="center"/>
          </w:tcPr>
          <w:p w14:paraId="561B68D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项目总工</w:t>
            </w:r>
          </w:p>
          <w:p w14:paraId="66C4B13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任职资格与业绩</w:t>
            </w:r>
          </w:p>
        </w:tc>
        <w:tc>
          <w:tcPr>
            <w:tcW w:w="855" w:type="dxa"/>
            <w:tcBorders>
              <w:tl2br w:val="nil"/>
              <w:tr2bl w:val="nil"/>
            </w:tcBorders>
            <w:vAlign w:val="center"/>
          </w:tcPr>
          <w:p w14:paraId="690CA093">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4303" w:type="dxa"/>
            <w:tcBorders>
              <w:tl2br w:val="nil"/>
              <w:tr2bl w:val="nil"/>
            </w:tcBorders>
            <w:vAlign w:val="center"/>
          </w:tcPr>
          <w:p w14:paraId="6C85720E">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满足最低资格审查条件要求，得6分。</w:t>
            </w:r>
          </w:p>
          <w:p w14:paraId="364CDD05">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在满足最低要求的基础上，每提供1项公路交通安全设施工程（包含新、改扩建工程或养护工程）施工业绩加4分，最多加4分。</w:t>
            </w:r>
          </w:p>
        </w:tc>
      </w:tr>
      <w:tr w14:paraId="51EDD1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restart"/>
            <w:tcBorders>
              <w:tl2br w:val="nil"/>
              <w:tr2bl w:val="nil"/>
            </w:tcBorders>
            <w:vAlign w:val="center"/>
          </w:tcPr>
          <w:p w14:paraId="00861871">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2.2.2(3)</w:t>
            </w:r>
          </w:p>
        </w:tc>
        <w:tc>
          <w:tcPr>
            <w:tcW w:w="675" w:type="dxa"/>
            <w:vMerge w:val="restart"/>
            <w:tcBorders>
              <w:tl2br w:val="nil"/>
              <w:tr2bl w:val="nil"/>
            </w:tcBorders>
            <w:vAlign w:val="center"/>
          </w:tcPr>
          <w:p w14:paraId="0E8146CA">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其他因素</w:t>
            </w:r>
          </w:p>
        </w:tc>
        <w:tc>
          <w:tcPr>
            <w:tcW w:w="945" w:type="dxa"/>
            <w:vMerge w:val="restart"/>
            <w:tcBorders>
              <w:tl2br w:val="nil"/>
              <w:tr2bl w:val="nil"/>
            </w:tcBorders>
            <w:vAlign w:val="center"/>
          </w:tcPr>
          <w:p w14:paraId="4A72695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35分</w:t>
            </w:r>
          </w:p>
        </w:tc>
        <w:tc>
          <w:tcPr>
            <w:tcW w:w="1845" w:type="dxa"/>
            <w:vMerge w:val="restart"/>
            <w:tcBorders>
              <w:tl2br w:val="nil"/>
              <w:tr2bl w:val="nil"/>
            </w:tcBorders>
            <w:vAlign w:val="center"/>
          </w:tcPr>
          <w:p w14:paraId="2C8A5CC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企业业绩</w:t>
            </w:r>
          </w:p>
        </w:tc>
        <w:tc>
          <w:tcPr>
            <w:tcW w:w="855" w:type="dxa"/>
            <w:vMerge w:val="restart"/>
            <w:tcBorders>
              <w:tl2br w:val="nil"/>
              <w:tr2bl w:val="nil"/>
            </w:tcBorders>
            <w:vAlign w:val="center"/>
          </w:tcPr>
          <w:p w14:paraId="2DD72F7A">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20分</w:t>
            </w:r>
          </w:p>
        </w:tc>
        <w:tc>
          <w:tcPr>
            <w:tcW w:w="4303" w:type="dxa"/>
            <w:tcBorders>
              <w:tl2br w:val="nil"/>
              <w:tr2bl w:val="nil"/>
            </w:tcBorders>
            <w:vAlign w:val="center"/>
          </w:tcPr>
          <w:p w14:paraId="02AB6B1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投标人通过初步评审得12分。</w:t>
            </w:r>
          </w:p>
        </w:tc>
      </w:tr>
      <w:tr w14:paraId="07BAF8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6769C719">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7EA678A1">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3F3D0F29">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continue"/>
            <w:tcBorders>
              <w:tl2br w:val="nil"/>
              <w:tr2bl w:val="nil"/>
            </w:tcBorders>
            <w:shd w:val="clear" w:color="auto" w:fill="auto"/>
            <w:vAlign w:val="center"/>
          </w:tcPr>
          <w:p w14:paraId="73284F73">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855" w:type="dxa"/>
            <w:vMerge w:val="continue"/>
            <w:tcBorders>
              <w:tl2br w:val="nil"/>
              <w:tr2bl w:val="nil"/>
            </w:tcBorders>
            <w:shd w:val="clear" w:color="auto" w:fill="auto"/>
            <w:vAlign w:val="center"/>
          </w:tcPr>
          <w:p w14:paraId="3A4DD939">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4303" w:type="dxa"/>
            <w:tcBorders>
              <w:tl2br w:val="nil"/>
              <w:tr2bl w:val="nil"/>
            </w:tcBorders>
            <w:shd w:val="clear" w:color="auto" w:fill="auto"/>
            <w:vAlign w:val="center"/>
          </w:tcPr>
          <w:p w14:paraId="1BB1361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近五年内（指202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年1月1日至投标截止时间，两阶段验收工程以交工时间为准，一阶段验收工程以竣工时间为准</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每完成1项公路交通安全设施工程（包含新、改扩建工程或养护工程）施工业绩加4分，最多加8分</w:t>
            </w:r>
            <w:r>
              <w:rPr>
                <w:rFonts w:hint="eastAsia" w:ascii="宋体" w:hAnsi="宋体" w:eastAsia="宋体" w:cs="宋体"/>
                <w:color w:val="auto"/>
                <w:sz w:val="21"/>
                <w:szCs w:val="21"/>
                <w:highlight w:val="none"/>
                <w:lang w:eastAsia="zh-CN"/>
              </w:rPr>
              <w:t>。</w:t>
            </w:r>
          </w:p>
        </w:tc>
      </w:tr>
      <w:tr w14:paraId="19B16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14" w:type="dxa"/>
            <w:vMerge w:val="continue"/>
            <w:tcBorders>
              <w:tl2br w:val="nil"/>
              <w:tr2bl w:val="nil"/>
            </w:tcBorders>
            <w:vAlign w:val="center"/>
          </w:tcPr>
          <w:p w14:paraId="165005F7">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54E9D3E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58BC14D5">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restart"/>
            <w:tcBorders>
              <w:tl2br w:val="nil"/>
              <w:tr2bl w:val="nil"/>
            </w:tcBorders>
            <w:vAlign w:val="center"/>
          </w:tcPr>
          <w:p w14:paraId="3394E4F5">
            <w:pPr>
              <w:keepNext w:val="0"/>
              <w:keepLines w:val="0"/>
              <w:pageBreakBefore w:val="0"/>
              <w:widowControl/>
              <w:shd w:val="clear" w:color="auto" w:fill="FFFFFF"/>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信用评价</w:t>
            </w:r>
          </w:p>
        </w:tc>
        <w:tc>
          <w:tcPr>
            <w:tcW w:w="855" w:type="dxa"/>
            <w:tcBorders>
              <w:tl2br w:val="nil"/>
              <w:tr2bl w:val="nil"/>
            </w:tcBorders>
            <w:vAlign w:val="center"/>
          </w:tcPr>
          <w:p w14:paraId="050FA35D">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15分</w:t>
            </w:r>
          </w:p>
        </w:tc>
        <w:tc>
          <w:tcPr>
            <w:tcW w:w="4303" w:type="dxa"/>
            <w:tcBorders>
              <w:tl2br w:val="nil"/>
              <w:tr2bl w:val="nil"/>
            </w:tcBorders>
            <w:vAlign w:val="center"/>
          </w:tcPr>
          <w:p w14:paraId="549D7559">
            <w:pPr>
              <w:keepNext w:val="0"/>
              <w:keepLines w:val="0"/>
              <w:pageBreakBefore w:val="0"/>
              <w:kinsoku/>
              <w:wordWrap/>
              <w:overflowPunct/>
              <w:topLinePunct w:val="0"/>
              <w:autoSpaceDE/>
              <w:autoSpaceDN/>
              <w:bidi w:val="0"/>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信用评价AA级，得15分。</w:t>
            </w:r>
          </w:p>
        </w:tc>
      </w:tr>
      <w:tr w14:paraId="454237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14" w:type="dxa"/>
            <w:vMerge w:val="continue"/>
            <w:tcBorders>
              <w:tl2br w:val="nil"/>
              <w:tr2bl w:val="nil"/>
            </w:tcBorders>
            <w:vAlign w:val="center"/>
          </w:tcPr>
          <w:p w14:paraId="7C0B2DD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4099D8A8">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440D1D7C">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continue"/>
            <w:tcBorders>
              <w:tl2br w:val="nil"/>
              <w:tr2bl w:val="nil"/>
            </w:tcBorders>
            <w:vAlign w:val="center"/>
          </w:tcPr>
          <w:p w14:paraId="0C62A9AE">
            <w:pPr>
              <w:keepNext w:val="0"/>
              <w:keepLines w:val="0"/>
              <w:pageBreakBefore w:val="0"/>
              <w:widowControl/>
              <w:shd w:val="clear" w:color="auto" w:fill="FFFFFF"/>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p>
        </w:tc>
        <w:tc>
          <w:tcPr>
            <w:tcW w:w="855" w:type="dxa"/>
            <w:tcBorders>
              <w:tl2br w:val="nil"/>
              <w:tr2bl w:val="nil"/>
            </w:tcBorders>
            <w:vAlign w:val="center"/>
          </w:tcPr>
          <w:p w14:paraId="2602324D">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12分</w:t>
            </w:r>
          </w:p>
        </w:tc>
        <w:tc>
          <w:tcPr>
            <w:tcW w:w="4303" w:type="dxa"/>
            <w:tcBorders>
              <w:tl2br w:val="nil"/>
              <w:tr2bl w:val="nil"/>
            </w:tcBorders>
            <w:vAlign w:val="center"/>
          </w:tcPr>
          <w:p w14:paraId="0F915FBC">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信用评价A级，得12分。</w:t>
            </w:r>
          </w:p>
        </w:tc>
      </w:tr>
      <w:tr w14:paraId="738419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14" w:type="dxa"/>
            <w:vMerge w:val="continue"/>
            <w:tcBorders>
              <w:tl2br w:val="nil"/>
              <w:tr2bl w:val="nil"/>
            </w:tcBorders>
            <w:vAlign w:val="center"/>
          </w:tcPr>
          <w:p w14:paraId="0B3FD9B7">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20794119">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6E77EEBE">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continue"/>
            <w:tcBorders>
              <w:tl2br w:val="nil"/>
              <w:tr2bl w:val="nil"/>
            </w:tcBorders>
            <w:vAlign w:val="center"/>
          </w:tcPr>
          <w:p w14:paraId="01536AC1">
            <w:pPr>
              <w:keepNext w:val="0"/>
              <w:keepLines w:val="0"/>
              <w:pageBreakBefore w:val="0"/>
              <w:widowControl/>
              <w:shd w:val="clear" w:color="auto" w:fill="FFFFFF"/>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p>
        </w:tc>
        <w:tc>
          <w:tcPr>
            <w:tcW w:w="855" w:type="dxa"/>
            <w:tcBorders>
              <w:tl2br w:val="nil"/>
              <w:tr2bl w:val="nil"/>
            </w:tcBorders>
            <w:vAlign w:val="center"/>
          </w:tcPr>
          <w:p w14:paraId="3A21BD1F">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9分</w:t>
            </w:r>
          </w:p>
        </w:tc>
        <w:tc>
          <w:tcPr>
            <w:tcW w:w="4303" w:type="dxa"/>
            <w:tcBorders>
              <w:tl2br w:val="nil"/>
              <w:tr2bl w:val="nil"/>
            </w:tcBorders>
            <w:vAlign w:val="center"/>
          </w:tcPr>
          <w:p w14:paraId="4659DE55">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信用评价B级，得9分。</w:t>
            </w:r>
          </w:p>
        </w:tc>
      </w:tr>
      <w:tr w14:paraId="11244F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14" w:type="dxa"/>
            <w:vMerge w:val="continue"/>
            <w:tcBorders>
              <w:tl2br w:val="nil"/>
              <w:tr2bl w:val="nil"/>
            </w:tcBorders>
            <w:vAlign w:val="center"/>
          </w:tcPr>
          <w:p w14:paraId="345FD44A">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5EC8530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7CDBBC75">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continue"/>
            <w:tcBorders>
              <w:tl2br w:val="nil"/>
              <w:tr2bl w:val="nil"/>
            </w:tcBorders>
            <w:vAlign w:val="center"/>
          </w:tcPr>
          <w:p w14:paraId="5FAE5E51">
            <w:pPr>
              <w:keepNext w:val="0"/>
              <w:keepLines w:val="0"/>
              <w:pageBreakBefore w:val="0"/>
              <w:widowControl/>
              <w:shd w:val="clear" w:color="auto" w:fill="FFFFFF"/>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p>
        </w:tc>
        <w:tc>
          <w:tcPr>
            <w:tcW w:w="855" w:type="dxa"/>
            <w:tcBorders>
              <w:tl2br w:val="nil"/>
              <w:tr2bl w:val="nil"/>
            </w:tcBorders>
            <w:vAlign w:val="center"/>
          </w:tcPr>
          <w:p w14:paraId="1C5AFA51">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6分</w:t>
            </w:r>
          </w:p>
        </w:tc>
        <w:tc>
          <w:tcPr>
            <w:tcW w:w="4303" w:type="dxa"/>
            <w:tcBorders>
              <w:tl2br w:val="nil"/>
              <w:tr2bl w:val="nil"/>
            </w:tcBorders>
            <w:vAlign w:val="center"/>
          </w:tcPr>
          <w:p w14:paraId="64E7B8CC">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信用评价C级，得6分。</w:t>
            </w:r>
          </w:p>
        </w:tc>
      </w:tr>
      <w:tr w14:paraId="21FAC9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14" w:type="dxa"/>
            <w:vMerge w:val="continue"/>
            <w:tcBorders>
              <w:tl2br w:val="nil"/>
              <w:tr2bl w:val="nil"/>
            </w:tcBorders>
            <w:vAlign w:val="center"/>
          </w:tcPr>
          <w:p w14:paraId="67CD8CB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77AA314B">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38F7DD9A">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continue"/>
            <w:tcBorders>
              <w:tl2br w:val="nil"/>
              <w:tr2bl w:val="nil"/>
            </w:tcBorders>
            <w:vAlign w:val="center"/>
          </w:tcPr>
          <w:p w14:paraId="5878CF0D">
            <w:pPr>
              <w:keepNext w:val="0"/>
              <w:keepLines w:val="0"/>
              <w:pageBreakBefore w:val="0"/>
              <w:widowControl/>
              <w:shd w:val="clear" w:color="auto" w:fill="FFFFFF"/>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p>
        </w:tc>
        <w:tc>
          <w:tcPr>
            <w:tcW w:w="855" w:type="dxa"/>
            <w:tcBorders>
              <w:tl2br w:val="nil"/>
              <w:tr2bl w:val="nil"/>
            </w:tcBorders>
            <w:vAlign w:val="center"/>
          </w:tcPr>
          <w:p w14:paraId="20252EBB">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0分</w:t>
            </w:r>
          </w:p>
        </w:tc>
        <w:tc>
          <w:tcPr>
            <w:tcW w:w="4303" w:type="dxa"/>
            <w:tcBorders>
              <w:tl2br w:val="nil"/>
              <w:tr2bl w:val="nil"/>
            </w:tcBorders>
            <w:vAlign w:val="center"/>
          </w:tcPr>
          <w:p w14:paraId="1992D7A2">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信用评价</w:t>
            </w:r>
            <w:r>
              <w:rPr>
                <w:rFonts w:hint="eastAsia" w:ascii="宋体" w:hAnsi="宋体" w:eastAsia="宋体" w:cs="宋体"/>
                <w:color w:val="auto"/>
                <w:sz w:val="21"/>
                <w:szCs w:val="21"/>
                <w:highlight w:val="none"/>
                <w:lang w:val="en-US" w:eastAsia="zh-CN"/>
              </w:rPr>
              <w:t>D</w:t>
            </w:r>
            <w:r>
              <w:rPr>
                <w:rFonts w:hint="eastAsia" w:ascii="宋体" w:hAnsi="宋体" w:eastAsia="宋体" w:cs="宋体"/>
                <w:color w:val="auto"/>
                <w:sz w:val="21"/>
                <w:szCs w:val="21"/>
                <w:highlight w:val="none"/>
              </w:rPr>
              <w:t>级，得</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p>
        </w:tc>
      </w:tr>
      <w:tr w14:paraId="335377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6E1B1CB0">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11D7904A">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2841C074">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p>
        </w:tc>
        <w:tc>
          <w:tcPr>
            <w:tcW w:w="7003" w:type="dxa"/>
            <w:gridSpan w:val="3"/>
            <w:tcBorders>
              <w:tl2br w:val="nil"/>
              <w:tr2bl w:val="nil"/>
            </w:tcBorders>
            <w:vAlign w:val="center"/>
          </w:tcPr>
          <w:p w14:paraId="70C750F2">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注：信用评价等级优先采用以下所列</w:t>
            </w:r>
            <w:r>
              <w:rPr>
                <w:rFonts w:hint="eastAsia" w:ascii="宋体" w:hAnsi="宋体" w:eastAsia="宋体" w:cs="宋体"/>
                <w:color w:val="auto"/>
                <w:sz w:val="21"/>
                <w:szCs w:val="21"/>
                <w:highlight w:val="none"/>
                <w:lang w:val="en-US" w:eastAsia="zh-CN"/>
              </w:rPr>
              <w:t>顺序</w:t>
            </w:r>
            <w:r>
              <w:rPr>
                <w:rFonts w:hint="eastAsia" w:ascii="宋体" w:hAnsi="宋体" w:eastAsia="宋体" w:cs="宋体"/>
                <w:color w:val="auto"/>
                <w:sz w:val="21"/>
                <w:szCs w:val="21"/>
                <w:highlight w:val="none"/>
              </w:rPr>
              <w:t>在前的企业信用等级：</w:t>
            </w:r>
          </w:p>
          <w:p w14:paraId="064860BC">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采用《吉林省公路管理局202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年度普通干线公路养护工程施工企业信用评价结果公告》中的投标人信用等级</w:t>
            </w:r>
            <w:r>
              <w:rPr>
                <w:rFonts w:hint="eastAsia" w:ascii="宋体" w:hAnsi="宋体" w:eastAsia="宋体" w:cs="宋体"/>
                <w:color w:val="auto"/>
                <w:sz w:val="21"/>
                <w:szCs w:val="21"/>
                <w:highlight w:val="none"/>
                <w:lang w:eastAsia="zh-CN"/>
              </w:rPr>
              <w:t>；</w:t>
            </w:r>
          </w:p>
          <w:p w14:paraId="5440171E">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采用《吉林省公路管理局202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年度普通干线公路养护工程施工企业信用评价结果公告》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含调整结果公告）</w:t>
            </w:r>
            <w:r>
              <w:rPr>
                <w:rFonts w:hint="eastAsia" w:ascii="宋体" w:hAnsi="宋体" w:eastAsia="宋体" w:cs="宋体"/>
                <w:color w:val="auto"/>
                <w:sz w:val="21"/>
                <w:szCs w:val="21"/>
                <w:highlight w:val="none"/>
              </w:rPr>
              <w:t>中的投标人信用等级</w:t>
            </w:r>
            <w:r>
              <w:rPr>
                <w:rFonts w:hint="eastAsia" w:ascii="宋体" w:hAnsi="宋体" w:eastAsia="宋体" w:cs="宋体"/>
                <w:color w:val="auto"/>
                <w:sz w:val="21"/>
                <w:szCs w:val="21"/>
                <w:highlight w:val="none"/>
                <w:lang w:eastAsia="zh-CN"/>
              </w:rPr>
              <w:t>；</w:t>
            </w:r>
          </w:p>
          <w:p w14:paraId="0112D81C">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采用交通运输部“全国公路建设市场监督管理系统/全国公路从业单位信用评价结果”中，投标人的2024年度“施工企业”信用等级；</w:t>
            </w:r>
          </w:p>
          <w:p w14:paraId="46E91E0C">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企业无</w:t>
            </w:r>
            <w:r>
              <w:rPr>
                <w:rFonts w:hint="eastAsia" w:ascii="宋体" w:hAnsi="宋体" w:eastAsia="宋体" w:cs="宋体"/>
                <w:color w:val="auto"/>
                <w:sz w:val="21"/>
                <w:szCs w:val="21"/>
                <w:highlight w:val="none"/>
                <w:lang w:val="en-US" w:eastAsia="zh-CN"/>
              </w:rPr>
              <w:t>上述信用评价的，若未列入交通运输部“全国公路建设市场监督管理系统”中“不良信用记录”的，按A级对待，否则视其严重程度按B级或以下等级对待。</w:t>
            </w:r>
          </w:p>
        </w:tc>
      </w:tr>
      <w:tr w14:paraId="06286E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537" w:type="dxa"/>
            <w:gridSpan w:val="6"/>
            <w:tcBorders>
              <w:tl2br w:val="nil"/>
              <w:tr2bl w:val="nil"/>
            </w:tcBorders>
            <w:vAlign w:val="center"/>
          </w:tcPr>
          <w:p w14:paraId="461FAADC">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需要补充的其他内容：</w:t>
            </w:r>
            <w:r>
              <w:rPr>
                <w:rFonts w:hint="eastAsia" w:ascii="宋体" w:hAnsi="宋体" w:eastAsia="宋体" w:cs="宋体"/>
                <w:b/>
                <w:bCs/>
                <w:color w:val="auto"/>
                <w:sz w:val="21"/>
                <w:szCs w:val="21"/>
                <w:highlight w:val="none"/>
                <w:lang w:val="en-US" w:eastAsia="zh-CN"/>
              </w:rPr>
              <w:t>投标文件的施工组织设计部分采用“暗标”形式，如果施工组织设计出现能识别投标人的内容，经评标</w:t>
            </w:r>
            <w:r>
              <w:rPr>
                <w:rFonts w:hint="eastAsia" w:ascii="宋体" w:hAnsi="宋体" w:eastAsia="宋体" w:cs="宋体"/>
                <w:b/>
                <w:bCs/>
                <w:color w:val="auto"/>
                <w:sz w:val="21"/>
                <w:szCs w:val="21"/>
                <w:highlight w:val="none"/>
              </w:rPr>
              <w:t>委员会确定后，</w:t>
            </w:r>
            <w:r>
              <w:rPr>
                <w:rFonts w:hint="eastAsia" w:ascii="宋体" w:hAnsi="宋体" w:eastAsia="宋体" w:cs="宋体"/>
                <w:b/>
                <w:bCs/>
                <w:color w:val="auto"/>
                <w:sz w:val="21"/>
                <w:szCs w:val="21"/>
                <w:highlight w:val="none"/>
                <w:lang w:val="en-US" w:eastAsia="zh-CN"/>
              </w:rPr>
              <w:t>将</w:t>
            </w:r>
            <w:r>
              <w:rPr>
                <w:rFonts w:hint="eastAsia" w:ascii="宋体" w:hAnsi="宋体" w:eastAsia="宋体" w:cs="宋体"/>
                <w:b/>
                <w:bCs/>
                <w:color w:val="auto"/>
                <w:sz w:val="21"/>
                <w:szCs w:val="21"/>
                <w:highlight w:val="none"/>
              </w:rPr>
              <w:t>否决其投标。</w:t>
            </w:r>
          </w:p>
        </w:tc>
      </w:tr>
    </w:tbl>
    <w:p w14:paraId="4360F9F3">
      <w:pPr>
        <w:keepLines w:val="0"/>
        <w:pageBreakBefore w:val="0"/>
        <w:kinsoku/>
        <w:wordWrap/>
        <w:overflowPunct/>
        <w:topLinePunct w:val="0"/>
        <w:bidi w:val="0"/>
        <w:spacing w:line="360" w:lineRule="exact"/>
        <w:ind w:right="420"/>
        <w:jc w:val="left"/>
        <w:textAlignment w:val="auto"/>
        <w:rPr>
          <w:rFonts w:hint="eastAsia" w:ascii="宋体" w:hAnsi="宋体" w:eastAsia="宋体" w:cs="宋体"/>
          <w:b/>
          <w:sz w:val="21"/>
          <w:szCs w:val="21"/>
        </w:rPr>
      </w:pPr>
      <w:r>
        <w:rPr>
          <w:rFonts w:hint="eastAsia" w:ascii="宋体" w:hAnsi="宋体" w:eastAsia="宋体" w:cs="宋体"/>
          <w:b/>
          <w:sz w:val="21"/>
          <w:szCs w:val="21"/>
        </w:rPr>
        <w:t>四、联系方式</w:t>
      </w:r>
    </w:p>
    <w:p w14:paraId="1F77E08D">
      <w:pPr>
        <w:keepLines w:val="0"/>
        <w:pageBreakBefore w:val="0"/>
        <w:tabs>
          <w:tab w:val="left" w:leader="underscore" w:pos="3942"/>
          <w:tab w:val="left" w:leader="underscore" w:pos="7066"/>
        </w:tabs>
        <w:kinsoku/>
        <w:wordWrap/>
        <w:overflowPunct/>
        <w:topLinePunct w:val="0"/>
        <w:bidi w:val="0"/>
        <w:spacing w:line="360" w:lineRule="exact"/>
        <w:ind w:firstLine="426"/>
        <w:textAlignment w:val="auto"/>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kern w:val="0"/>
          <w:sz w:val="21"/>
          <w:szCs w:val="21"/>
          <w:highlight w:val="none"/>
          <w:lang w:val="zh-CN" w:bidi="zh-CN"/>
        </w:rPr>
        <w:t>招</w:t>
      </w:r>
      <w:r>
        <w:rPr>
          <w:rFonts w:hint="eastAsia" w:ascii="宋体" w:hAnsi="宋体" w:eastAsia="宋体" w:cs="宋体"/>
          <w:color w:val="auto"/>
          <w:kern w:val="0"/>
          <w:sz w:val="21"/>
          <w:szCs w:val="21"/>
          <w:highlight w:val="none"/>
          <w:lang w:val="en-US" w:bidi="zh-CN"/>
        </w:rPr>
        <w:t xml:space="preserve"> </w:t>
      </w:r>
      <w:r>
        <w:rPr>
          <w:rFonts w:hint="eastAsia" w:ascii="宋体" w:hAnsi="宋体" w:eastAsia="宋体" w:cs="宋体"/>
          <w:color w:val="auto"/>
          <w:kern w:val="0"/>
          <w:sz w:val="21"/>
          <w:szCs w:val="21"/>
          <w:highlight w:val="none"/>
          <w:lang w:val="zh-CN" w:bidi="zh-CN"/>
        </w:rPr>
        <w:t>标</w:t>
      </w:r>
      <w:r>
        <w:rPr>
          <w:rFonts w:hint="eastAsia" w:ascii="宋体" w:hAnsi="宋体" w:eastAsia="宋体" w:cs="宋体"/>
          <w:color w:val="auto"/>
          <w:kern w:val="0"/>
          <w:sz w:val="21"/>
          <w:szCs w:val="21"/>
          <w:highlight w:val="none"/>
          <w:lang w:val="en-US" w:bidi="zh-CN"/>
        </w:rPr>
        <w:t xml:space="preserve"> </w:t>
      </w:r>
      <w:r>
        <w:rPr>
          <w:rFonts w:hint="eastAsia" w:ascii="宋体" w:hAnsi="宋体" w:eastAsia="宋体" w:cs="宋体"/>
          <w:color w:val="auto"/>
          <w:kern w:val="0"/>
          <w:sz w:val="21"/>
          <w:szCs w:val="21"/>
          <w:highlight w:val="none"/>
          <w:lang w:val="zh-CN" w:bidi="zh-CN"/>
        </w:rPr>
        <w:t>人：长白山保护开发区公路服务中心</w:t>
      </w:r>
    </w:p>
    <w:p w14:paraId="4113BF3E">
      <w:pPr>
        <w:keepLines w:val="0"/>
        <w:pageBreakBefore w:val="0"/>
        <w:tabs>
          <w:tab w:val="left" w:leader="underscore" w:pos="3942"/>
          <w:tab w:val="left" w:leader="underscore" w:pos="7066"/>
        </w:tabs>
        <w:kinsoku/>
        <w:wordWrap/>
        <w:overflowPunct/>
        <w:topLinePunct w:val="0"/>
        <w:bidi w:val="0"/>
        <w:spacing w:line="360" w:lineRule="exact"/>
        <w:ind w:firstLine="426"/>
        <w:textAlignment w:val="auto"/>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kern w:val="0"/>
          <w:sz w:val="21"/>
          <w:szCs w:val="21"/>
          <w:highlight w:val="none"/>
          <w:lang w:val="zh-CN" w:bidi="zh-CN"/>
        </w:rPr>
        <w:t>地</w:t>
      </w:r>
      <w:r>
        <w:rPr>
          <w:rFonts w:hint="eastAsia" w:ascii="宋体" w:hAnsi="宋体" w:eastAsia="宋体" w:cs="宋体"/>
          <w:color w:val="auto"/>
          <w:kern w:val="0"/>
          <w:sz w:val="21"/>
          <w:szCs w:val="21"/>
          <w:highlight w:val="none"/>
          <w:lang w:val="en-US" w:bidi="zh-CN"/>
        </w:rPr>
        <w:t xml:space="preserve">    </w:t>
      </w:r>
      <w:r>
        <w:rPr>
          <w:rFonts w:hint="eastAsia" w:ascii="宋体" w:hAnsi="宋体" w:eastAsia="宋体" w:cs="宋体"/>
          <w:color w:val="auto"/>
          <w:kern w:val="0"/>
          <w:sz w:val="21"/>
          <w:szCs w:val="21"/>
          <w:highlight w:val="none"/>
          <w:lang w:val="zh-CN" w:bidi="zh-CN"/>
        </w:rPr>
        <w:t>址：吉林省延边州安图县二道镇白山大街康乐胡同血站综合楼</w:t>
      </w:r>
    </w:p>
    <w:p w14:paraId="7D6C8F67">
      <w:pPr>
        <w:keepLines w:val="0"/>
        <w:pageBreakBefore w:val="0"/>
        <w:tabs>
          <w:tab w:val="left" w:leader="underscore" w:pos="3942"/>
          <w:tab w:val="left" w:leader="underscore" w:pos="7066"/>
        </w:tabs>
        <w:kinsoku/>
        <w:wordWrap/>
        <w:overflowPunct/>
        <w:topLinePunct w:val="0"/>
        <w:bidi w:val="0"/>
        <w:spacing w:line="360" w:lineRule="exact"/>
        <w:ind w:firstLine="426"/>
        <w:textAlignment w:val="auto"/>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kern w:val="0"/>
          <w:sz w:val="21"/>
          <w:szCs w:val="21"/>
          <w:highlight w:val="none"/>
          <w:lang w:val="zh-CN" w:bidi="zh-CN"/>
        </w:rPr>
        <w:t>联</w:t>
      </w:r>
      <w:r>
        <w:rPr>
          <w:rFonts w:hint="eastAsia" w:ascii="宋体" w:hAnsi="宋体" w:eastAsia="宋体" w:cs="宋体"/>
          <w:color w:val="auto"/>
          <w:kern w:val="0"/>
          <w:sz w:val="21"/>
          <w:szCs w:val="21"/>
          <w:highlight w:val="none"/>
          <w:lang w:val="en-US" w:bidi="zh-CN"/>
        </w:rPr>
        <w:t xml:space="preserve"> </w:t>
      </w:r>
      <w:r>
        <w:rPr>
          <w:rFonts w:hint="eastAsia" w:ascii="宋体" w:hAnsi="宋体" w:eastAsia="宋体" w:cs="宋体"/>
          <w:color w:val="auto"/>
          <w:kern w:val="0"/>
          <w:sz w:val="21"/>
          <w:szCs w:val="21"/>
          <w:highlight w:val="none"/>
          <w:lang w:val="zh-CN" w:bidi="zh-CN"/>
        </w:rPr>
        <w:t>系</w:t>
      </w:r>
      <w:r>
        <w:rPr>
          <w:rFonts w:hint="eastAsia" w:ascii="宋体" w:hAnsi="宋体" w:eastAsia="宋体" w:cs="宋体"/>
          <w:color w:val="auto"/>
          <w:kern w:val="0"/>
          <w:sz w:val="21"/>
          <w:szCs w:val="21"/>
          <w:highlight w:val="none"/>
          <w:lang w:val="en-US" w:bidi="zh-CN"/>
        </w:rPr>
        <w:t xml:space="preserve"> </w:t>
      </w:r>
      <w:r>
        <w:rPr>
          <w:rFonts w:hint="eastAsia" w:ascii="宋体" w:hAnsi="宋体" w:eastAsia="宋体" w:cs="宋体"/>
          <w:color w:val="auto"/>
          <w:kern w:val="0"/>
          <w:sz w:val="21"/>
          <w:szCs w:val="21"/>
          <w:highlight w:val="none"/>
          <w:lang w:val="zh-CN" w:bidi="zh-CN"/>
        </w:rPr>
        <w:t>人：</w:t>
      </w:r>
      <w:r>
        <w:rPr>
          <w:rFonts w:hint="eastAsia" w:ascii="宋体" w:hAnsi="宋体" w:eastAsia="宋体" w:cs="宋体"/>
          <w:color w:val="auto"/>
          <w:kern w:val="0"/>
          <w:sz w:val="21"/>
          <w:szCs w:val="21"/>
          <w:highlight w:val="none"/>
          <w:lang w:val="en-US" w:bidi="zh-CN"/>
        </w:rPr>
        <w:t>马海波</w:t>
      </w:r>
    </w:p>
    <w:p w14:paraId="1EE44ABB">
      <w:pPr>
        <w:keepLines w:val="0"/>
        <w:pageBreakBefore w:val="0"/>
        <w:tabs>
          <w:tab w:val="left" w:leader="underscore" w:pos="3942"/>
          <w:tab w:val="left" w:leader="underscore" w:pos="7066"/>
        </w:tabs>
        <w:kinsoku/>
        <w:wordWrap/>
        <w:overflowPunct/>
        <w:topLinePunct w:val="0"/>
        <w:bidi w:val="0"/>
        <w:spacing w:line="360" w:lineRule="exact"/>
        <w:ind w:firstLine="426"/>
        <w:textAlignment w:val="auto"/>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kern w:val="0"/>
          <w:sz w:val="21"/>
          <w:szCs w:val="21"/>
          <w:highlight w:val="none"/>
          <w:lang w:val="zh-CN" w:bidi="zh-CN"/>
        </w:rPr>
        <w:t>电</w:t>
      </w:r>
      <w:r>
        <w:rPr>
          <w:rFonts w:hint="eastAsia" w:ascii="宋体" w:hAnsi="宋体" w:eastAsia="宋体" w:cs="宋体"/>
          <w:color w:val="auto"/>
          <w:kern w:val="0"/>
          <w:sz w:val="21"/>
          <w:szCs w:val="21"/>
          <w:highlight w:val="none"/>
          <w:lang w:val="en-US" w:bidi="zh-CN"/>
        </w:rPr>
        <w:t xml:space="preserve">    </w:t>
      </w:r>
      <w:r>
        <w:rPr>
          <w:rFonts w:hint="eastAsia" w:ascii="宋体" w:hAnsi="宋体" w:eastAsia="宋体" w:cs="宋体"/>
          <w:color w:val="auto"/>
          <w:kern w:val="0"/>
          <w:sz w:val="21"/>
          <w:szCs w:val="21"/>
          <w:highlight w:val="none"/>
          <w:lang w:val="zh-CN" w:bidi="zh-CN"/>
        </w:rPr>
        <w:t>话：0433-6179007</w:t>
      </w:r>
    </w:p>
    <w:p w14:paraId="77D75B19">
      <w:pPr>
        <w:rPr>
          <w:rFonts w:hint="eastAsia" w:asciiTheme="minorEastAsia" w:hAnsiTheme="minorEastAsia"/>
          <w:sz w:val="18"/>
        </w:rPr>
      </w:pPr>
    </w:p>
    <w:sectPr>
      <w:footnotePr>
        <w:numFmt w:val="decimalEnclosedCircleChinese"/>
        <w:numRestart w:val="eachPage"/>
      </w:footnote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Batang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KSOFA61C387F">
    <w:panose1 w:val="020B0604030504040204"/>
    <w:charset w:val="88"/>
    <w:family w:val="auto"/>
    <w:pitch w:val="default"/>
    <w:sig w:usb0="00000001" w:usb1="00000000" w:usb2="00000000" w:usb3="00000000" w:csb0="00100001" w:csb1="00000000"/>
  </w:font>
  <w:font w:name="KSOFC540DBD5">
    <w:panose1 w:val="02020500000000000000"/>
    <w:charset w:val="88"/>
    <w:family w:val="auto"/>
    <w:pitch w:val="default"/>
    <w:sig w:usb0="00000001" w:usb1="00000000" w:usb2="00000000" w:usb3="00000000" w:csb0="00100001" w:csb1="00000000"/>
  </w:font>
  <w:font w:name="KSOF6B657194">
    <w:panose1 w:val="02020500000000000000"/>
    <w:charset w:val="88"/>
    <w:family w:val="auto"/>
    <w:pitch w:val="default"/>
    <w:sig w:usb0="00000001" w:usb1="00000000"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7A28498D">
      <w:pPr>
        <w:pStyle w:val="8"/>
      </w:pPr>
      <w:r>
        <w:rPr>
          <w:rStyle w:val="11"/>
        </w:rPr>
        <w:footnoteRef/>
      </w:r>
      <w:r>
        <w:rPr>
          <w:rFonts w:hint="eastAsia"/>
        </w:rPr>
        <w:t>本款规定仅适用于根据《关于发布公路工程从业企业资质名录的通知》（厅公路字[2011]114号）要求，招标人应通过名录对投标人资质条件进行审核的公路施工企业。</w:t>
      </w:r>
    </w:p>
  </w:footnote>
  <w:footnote w:id="1">
    <w:p w14:paraId="4FAE817E">
      <w:pPr>
        <w:rPr>
          <w:sz w:val="18"/>
          <w:szCs w:val="18"/>
        </w:rPr>
      </w:pPr>
      <w:r>
        <w:rPr>
          <w:rStyle w:val="11"/>
        </w:rPr>
        <w:footnoteRef/>
      </w:r>
      <w:r>
        <w:rPr>
          <w:rFonts w:hint="eastAsia" w:ascii="宋体" w:hAnsi="宋体" w:cs="宋体"/>
          <w:kern w:val="0"/>
          <w:sz w:val="18"/>
          <w:szCs w:val="18"/>
          <w:lang w:val="zh-CN"/>
        </w:rPr>
        <w:t>本表所列人员不得互相兼职。</w:t>
      </w:r>
    </w:p>
  </w:footnote>
  <w:footnote w:id="2">
    <w:p w14:paraId="07B0EF9A">
      <w:pPr>
        <w:pStyle w:val="8"/>
      </w:pPr>
      <w:r>
        <w:rPr>
          <w:rStyle w:val="11"/>
        </w:rPr>
        <w:footnoteRef/>
      </w:r>
      <w:r>
        <w:rPr>
          <w:rFonts w:hint="eastAsia" w:ascii="BatangChe" w:hAnsi="BatangChe"/>
          <w:b w:val="0"/>
          <w:bCs/>
        </w:rPr>
        <w:t>“</w:t>
      </w:r>
      <w:r>
        <w:rPr>
          <w:rFonts w:hint="eastAsia" w:ascii="BatangChe" w:hAnsi="BatangChe"/>
          <w:b w:val="0"/>
          <w:bCs/>
          <w:spacing w:val="-6"/>
        </w:rPr>
        <w:t>投标人自有人员”</w:t>
      </w:r>
      <w:r>
        <w:rPr>
          <w:rFonts w:hint="eastAsia" w:ascii="BatangChe" w:hAnsi="BatangChe"/>
          <w:spacing w:val="-6"/>
        </w:rPr>
        <w:t>指</w:t>
      </w:r>
      <w:r>
        <w:t>社保缴费证明中</w:t>
      </w:r>
      <w:r>
        <w:rPr>
          <w:rFonts w:hint="eastAsia" w:ascii="宋体" w:hAnsi="宋体"/>
        </w:rPr>
        <w:t>缴费单位与投标人名称一致</w:t>
      </w:r>
      <w:r>
        <w:rPr>
          <w:rFonts w:hint="eastAsia" w:ascii="BatangChe" w:hAnsi="BatangChe"/>
          <w:spacing w:val="-6"/>
        </w:rPr>
        <w:t>。</w:t>
      </w:r>
    </w:p>
  </w:footnote>
  <w:footnote w:id="3">
    <w:p w14:paraId="43C1FFD1">
      <w:pPr>
        <w:pStyle w:val="8"/>
      </w:pPr>
      <w:r>
        <w:rPr>
          <w:rStyle w:val="11"/>
        </w:rPr>
        <w:footnoteRef/>
      </w:r>
      <w:r>
        <w:rPr>
          <w:rFonts w:hint="eastAsia" w:ascii="宋体" w:hAnsi="宋体" w:cs="宋体"/>
          <w:lang w:val="zh-CN"/>
        </w:rPr>
        <w:t>公路工程相关专业职称包括公路工程、桥梁工程、公路与桥梁工程、交通土建、隧道（地下结构）工程、交通工程等专业职称。如职称证上无专业，则以毕业证上的专业为准。</w:t>
      </w:r>
    </w:p>
  </w:footnote>
  <w:footnote w:id="4">
    <w:p w14:paraId="50A3A82B">
      <w:pPr>
        <w:pStyle w:val="8"/>
        <w:jc w:val="both"/>
        <w:rPr>
          <w:rFonts w:ascii="宋体" w:hAnsi="宋体"/>
        </w:rPr>
      </w:pPr>
      <w:r>
        <w:rPr>
          <w:rStyle w:val="11"/>
        </w:rPr>
        <w:footnoteRef/>
      </w:r>
      <w:r>
        <w:rPr>
          <w:rFonts w:hint="eastAsia" w:ascii="宋体" w:hAnsi="宋体"/>
        </w:rPr>
        <w:t>招标人应根据项目具体情况确定各评分因素及评分因素权重分值，并对各评分因素进行细分（如有）、确定各评分因素细分项的分值，各评分因素权重分值合计应为100分。各评分因素（评标价和</w:t>
      </w:r>
      <w:r>
        <w:rPr>
          <w:rFonts w:ascii="宋体" w:hAnsi="宋体"/>
        </w:rPr>
        <w:t>履约信誉评分项</w:t>
      </w:r>
      <w:r>
        <w:rPr>
          <w:rFonts w:hint="eastAsia" w:ascii="宋体" w:hAnsi="宋体"/>
        </w:rPr>
        <w:t>除外）得分均不应低于其权重分值的60%，且各评分因素得分应以评标委员会各成员的打分平均值确定，</w:t>
      </w:r>
      <w:r>
        <w:rPr>
          <w:rFonts w:ascii="宋体" w:hAnsi="宋体"/>
        </w:rPr>
        <w:t>评</w:t>
      </w:r>
      <w:r>
        <w:rPr>
          <w:rFonts w:hint="eastAsia" w:ascii="宋体" w:hAnsi="宋体"/>
        </w:rPr>
        <w:t>标</w:t>
      </w:r>
      <w:r>
        <w:rPr>
          <w:rFonts w:ascii="宋体" w:hAnsi="宋体"/>
        </w:rPr>
        <w:t>委员会成员总数为七人以上时，该平均值以去掉</w:t>
      </w:r>
      <w:r>
        <w:rPr>
          <w:rFonts w:hint="eastAsia" w:ascii="宋体" w:hAnsi="宋体"/>
        </w:rPr>
        <w:t>一</w:t>
      </w:r>
      <w:r>
        <w:rPr>
          <w:rFonts w:ascii="宋体" w:hAnsi="宋体"/>
        </w:rPr>
        <w:t>个最高分和一个</w:t>
      </w:r>
      <w:r>
        <w:rPr>
          <w:rFonts w:hint="eastAsia" w:ascii="宋体" w:hAnsi="宋体"/>
        </w:rPr>
        <w:t>最</w:t>
      </w:r>
      <w:r>
        <w:rPr>
          <w:rFonts w:ascii="宋体" w:hAnsi="宋体"/>
        </w:rPr>
        <w:t>低分后计</w:t>
      </w:r>
      <w:r>
        <w:rPr>
          <w:rFonts w:hint="eastAsia" w:ascii="宋体" w:hAnsi="宋体"/>
        </w:rPr>
        <w:t>算。评标</w:t>
      </w:r>
      <w:r>
        <w:rPr>
          <w:rFonts w:ascii="宋体" w:hAnsi="宋体"/>
        </w:rPr>
        <w:t>委员会成员对某一项评分因</w:t>
      </w:r>
      <w:r>
        <w:rPr>
          <w:rFonts w:hint="eastAsia" w:ascii="宋体" w:hAnsi="宋体"/>
        </w:rPr>
        <w:t>素</w:t>
      </w:r>
      <w:r>
        <w:rPr>
          <w:rFonts w:ascii="宋体" w:hAnsi="宋体"/>
        </w:rPr>
        <w:t>的评分低于权重分值</w:t>
      </w:r>
      <w:r>
        <w:rPr>
          <w:rFonts w:hint="eastAsia" w:ascii="宋体" w:hAnsi="宋体"/>
        </w:rPr>
        <w:t>60%的，应</w:t>
      </w:r>
      <w:r>
        <w:rPr>
          <w:rFonts w:ascii="宋体" w:hAnsi="宋体"/>
        </w:rPr>
        <w:t>在评</w:t>
      </w:r>
      <w:r>
        <w:rPr>
          <w:rFonts w:hint="eastAsia" w:ascii="宋体" w:hAnsi="宋体"/>
        </w:rPr>
        <w:t>标</w:t>
      </w:r>
      <w:r>
        <w:rPr>
          <w:rFonts w:ascii="宋体" w:hAnsi="宋体"/>
        </w:rPr>
        <w:t>报告中作出说明。</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numFmt w:val="decimalEnclosedCircleChinese"/>
    <w:numRestart w:val="eachPage"/>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NlNmJhZWI0ZDJmODFjNDMwOTU5MGVmZDE2YzJmMjgifQ=="/>
  </w:docVars>
  <w:rsids>
    <w:rsidRoot w:val="00DE1914"/>
    <w:rsid w:val="00007D0D"/>
    <w:rsid w:val="000C7FFE"/>
    <w:rsid w:val="000D45D8"/>
    <w:rsid w:val="00150308"/>
    <w:rsid w:val="0016649D"/>
    <w:rsid w:val="001C5264"/>
    <w:rsid w:val="001F4B00"/>
    <w:rsid w:val="001F767C"/>
    <w:rsid w:val="00250688"/>
    <w:rsid w:val="002B6B2C"/>
    <w:rsid w:val="00316C16"/>
    <w:rsid w:val="003171A3"/>
    <w:rsid w:val="0037455E"/>
    <w:rsid w:val="003C3184"/>
    <w:rsid w:val="003E1571"/>
    <w:rsid w:val="00530DB1"/>
    <w:rsid w:val="00562C9D"/>
    <w:rsid w:val="005C0428"/>
    <w:rsid w:val="00643E44"/>
    <w:rsid w:val="006A39C9"/>
    <w:rsid w:val="006C28DA"/>
    <w:rsid w:val="0072686E"/>
    <w:rsid w:val="00786838"/>
    <w:rsid w:val="008715DB"/>
    <w:rsid w:val="00873F02"/>
    <w:rsid w:val="008E2951"/>
    <w:rsid w:val="008E6FE1"/>
    <w:rsid w:val="009A086D"/>
    <w:rsid w:val="009B01BC"/>
    <w:rsid w:val="009D3B6D"/>
    <w:rsid w:val="00A73217"/>
    <w:rsid w:val="00AB197A"/>
    <w:rsid w:val="00AB5898"/>
    <w:rsid w:val="00B77B1E"/>
    <w:rsid w:val="00BB6447"/>
    <w:rsid w:val="00BE0105"/>
    <w:rsid w:val="00BF0284"/>
    <w:rsid w:val="00C15CD1"/>
    <w:rsid w:val="00C40C09"/>
    <w:rsid w:val="00CA2765"/>
    <w:rsid w:val="00CA3A18"/>
    <w:rsid w:val="00CC109B"/>
    <w:rsid w:val="00D43D36"/>
    <w:rsid w:val="00D57E3A"/>
    <w:rsid w:val="00DC39DC"/>
    <w:rsid w:val="00DE1914"/>
    <w:rsid w:val="00DF2D8E"/>
    <w:rsid w:val="00E16787"/>
    <w:rsid w:val="00E7408A"/>
    <w:rsid w:val="00EA5385"/>
    <w:rsid w:val="00F641C5"/>
    <w:rsid w:val="00F76FA4"/>
    <w:rsid w:val="00FC5FAE"/>
    <w:rsid w:val="00FD038E"/>
    <w:rsid w:val="00FF554C"/>
    <w:rsid w:val="10CA24F9"/>
    <w:rsid w:val="474D1979"/>
    <w:rsid w:val="4C4832FE"/>
    <w:rsid w:val="6623322B"/>
    <w:rsid w:val="7C983DB4"/>
    <w:rsid w:val="7EA325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9"/>
    <w:pPr>
      <w:keepNext/>
      <w:keepLines/>
      <w:spacing w:before="260" w:after="260" w:line="416" w:lineRule="auto"/>
      <w:outlineLvl w:val="2"/>
    </w:pPr>
    <w:rPr>
      <w:b/>
      <w:bCs/>
      <w:kern w:val="0"/>
      <w:sz w:val="32"/>
      <w:szCs w:val="32"/>
    </w:rPr>
  </w:style>
  <w:style w:type="character" w:default="1" w:styleId="10">
    <w:name w:val="Default Paragraph Font"/>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link w:val="26"/>
    <w:qFormat/>
    <w:uiPriority w:val="99"/>
    <w:pPr>
      <w:ind w:firstLine="1120" w:firstLineChars="400"/>
    </w:pPr>
    <w:rPr>
      <w:rFonts w:ascii="Times New Roman" w:hAnsi="Times New Roman" w:eastAsia="宋体" w:cs="Times New Roman"/>
      <w:sz w:val="28"/>
      <w:szCs w:val="24"/>
    </w:rPr>
  </w:style>
  <w:style w:type="paragraph" w:styleId="4">
    <w:name w:val="Body Text Indent 2"/>
    <w:basedOn w:val="1"/>
    <w:link w:val="27"/>
    <w:semiHidden/>
    <w:unhideWhenUsed/>
    <w:qFormat/>
    <w:uiPriority w:val="99"/>
    <w:pPr>
      <w:spacing w:after="120" w:line="480" w:lineRule="auto"/>
      <w:ind w:left="420" w:leftChars="200"/>
    </w:pPr>
  </w:style>
  <w:style w:type="paragraph" w:styleId="5">
    <w:name w:val="Plain Text"/>
    <w:basedOn w:val="1"/>
    <w:link w:val="28"/>
    <w:qFormat/>
    <w:uiPriority w:val="99"/>
    <w:rPr>
      <w:rFonts w:ascii="宋体" w:hAnsi="Courier New" w:eastAsia="宋体" w:cs="Times New Roman"/>
      <w:szCs w:val="21"/>
    </w:rPr>
  </w:style>
  <w:style w:type="paragraph" w:styleId="6">
    <w:name w:val="footer"/>
    <w:basedOn w:val="1"/>
    <w:link w:val="22"/>
    <w:autoRedefine/>
    <w:unhideWhenUsed/>
    <w:qFormat/>
    <w:uiPriority w:val="99"/>
    <w:pPr>
      <w:tabs>
        <w:tab w:val="center" w:pos="4153"/>
        <w:tab w:val="right" w:pos="8306"/>
      </w:tabs>
      <w:snapToGrid w:val="0"/>
      <w:jc w:val="left"/>
    </w:pPr>
    <w:rPr>
      <w:sz w:val="18"/>
      <w:szCs w:val="18"/>
    </w:rPr>
  </w:style>
  <w:style w:type="paragraph" w:styleId="7">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14"/>
    <w:autoRedefine/>
    <w:unhideWhenUsed/>
    <w:qFormat/>
    <w:uiPriority w:val="0"/>
    <w:pPr>
      <w:snapToGrid w:val="0"/>
      <w:jc w:val="left"/>
    </w:pPr>
    <w:rPr>
      <w:rFonts w:ascii="Times New Roman" w:hAnsi="Times New Roman" w:eastAsia="宋体" w:cs="Times New Roman"/>
      <w:kern w:val="0"/>
      <w:sz w:val="18"/>
      <w:szCs w:val="18"/>
    </w:rPr>
  </w:style>
  <w:style w:type="character" w:styleId="11">
    <w:name w:val="footnote reference"/>
    <w:autoRedefine/>
    <w:qFormat/>
    <w:uiPriority w:val="0"/>
    <w:rPr>
      <w:vertAlign w:val="superscript"/>
    </w:rPr>
  </w:style>
  <w:style w:type="character" w:customStyle="1" w:styleId="12">
    <w:name w:val="其他_"/>
    <w:link w:val="13"/>
    <w:qFormat/>
    <w:uiPriority w:val="0"/>
    <w:rPr>
      <w:rFonts w:ascii="宋体" w:hAnsi="宋体" w:cs="宋体"/>
      <w:shd w:val="clear" w:color="auto" w:fill="FFFFFF"/>
      <w:lang w:val="zh-CN" w:bidi="zh-CN"/>
    </w:rPr>
  </w:style>
  <w:style w:type="paragraph" w:customStyle="1" w:styleId="13">
    <w:name w:val="其他"/>
    <w:basedOn w:val="1"/>
    <w:link w:val="12"/>
    <w:autoRedefine/>
    <w:qFormat/>
    <w:uiPriority w:val="0"/>
    <w:pPr>
      <w:shd w:val="clear" w:color="auto" w:fill="FFFFFF"/>
      <w:spacing w:line="430" w:lineRule="auto"/>
      <w:ind w:firstLine="400"/>
      <w:jc w:val="distribute"/>
    </w:pPr>
    <w:rPr>
      <w:rFonts w:ascii="宋体" w:hAnsi="宋体" w:cs="宋体"/>
      <w:lang w:val="zh-CN" w:bidi="zh-CN"/>
    </w:rPr>
  </w:style>
  <w:style w:type="character" w:customStyle="1" w:styleId="14">
    <w:name w:val="脚注文本 字符"/>
    <w:basedOn w:val="10"/>
    <w:link w:val="8"/>
    <w:qFormat/>
    <w:uiPriority w:val="0"/>
    <w:rPr>
      <w:rFonts w:ascii="Times New Roman" w:hAnsi="Times New Roman" w:eastAsia="宋体" w:cs="Times New Roman"/>
      <w:kern w:val="0"/>
      <w:sz w:val="18"/>
      <w:szCs w:val="18"/>
    </w:rPr>
  </w:style>
  <w:style w:type="character" w:customStyle="1" w:styleId="15">
    <w:name w:val="正文文本 (2)_"/>
    <w:link w:val="16"/>
    <w:autoRedefine/>
    <w:qFormat/>
    <w:uiPriority w:val="0"/>
    <w:rPr>
      <w:rFonts w:ascii="宋体" w:hAnsi="宋体" w:cs="宋体"/>
      <w:sz w:val="22"/>
      <w:shd w:val="clear" w:color="auto" w:fill="FFFFFF"/>
    </w:rPr>
  </w:style>
  <w:style w:type="paragraph" w:customStyle="1" w:styleId="16">
    <w:name w:val="正文文本 (2)"/>
    <w:basedOn w:val="1"/>
    <w:link w:val="15"/>
    <w:autoRedefine/>
    <w:qFormat/>
    <w:uiPriority w:val="0"/>
    <w:pPr>
      <w:shd w:val="clear" w:color="auto" w:fill="FFFFFF"/>
      <w:spacing w:before="300" w:line="439" w:lineRule="exact"/>
      <w:jc w:val="distribute"/>
    </w:pPr>
    <w:rPr>
      <w:rFonts w:ascii="宋体" w:hAnsi="宋体" w:cs="宋体"/>
      <w:sz w:val="22"/>
    </w:rPr>
  </w:style>
  <w:style w:type="paragraph" w:styleId="17">
    <w:name w:val="List Paragraph"/>
    <w:basedOn w:val="1"/>
    <w:qFormat/>
    <w:uiPriority w:val="34"/>
    <w:pPr>
      <w:ind w:firstLine="420" w:firstLineChars="200"/>
    </w:pPr>
    <w:rPr>
      <w:rFonts w:ascii="Times New Roman" w:hAnsi="Times New Roman" w:eastAsia="宋体" w:cs="Times New Roman"/>
    </w:rPr>
  </w:style>
  <w:style w:type="character" w:customStyle="1" w:styleId="18">
    <w:name w:val="正文文本 (2) + 9.5 pt"/>
    <w:qFormat/>
    <w:uiPriority w:val="0"/>
    <w:rPr>
      <w:rFonts w:ascii="MingLiU" w:hAnsi="MingLiU" w:eastAsia="MingLiU" w:cs="MingLiU"/>
      <w:color w:val="000000"/>
      <w:spacing w:val="0"/>
      <w:w w:val="100"/>
      <w:position w:val="0"/>
      <w:sz w:val="19"/>
      <w:szCs w:val="19"/>
      <w:shd w:val="clear" w:color="auto" w:fill="FFFFFF"/>
      <w:lang w:val="zh-TW" w:eastAsia="zh-TW" w:bidi="zh-TW"/>
    </w:rPr>
  </w:style>
  <w:style w:type="character" w:customStyle="1" w:styleId="19">
    <w:name w:val="正文文本 (2) + 10 pt"/>
    <w:autoRedefine/>
    <w:qFormat/>
    <w:uiPriority w:val="0"/>
    <w:rPr>
      <w:rFonts w:ascii="MingLiU" w:hAnsi="MingLiU" w:eastAsia="MingLiU" w:cs="MingLiU"/>
      <w:b/>
      <w:bCs/>
      <w:color w:val="000000"/>
      <w:spacing w:val="0"/>
      <w:w w:val="100"/>
      <w:position w:val="0"/>
      <w:sz w:val="20"/>
      <w:szCs w:val="20"/>
      <w:u w:val="none"/>
      <w:lang w:val="zh-TW" w:eastAsia="zh-TW" w:bidi="zh-TW"/>
    </w:rPr>
  </w:style>
  <w:style w:type="character" w:customStyle="1" w:styleId="20">
    <w:name w:val="正文文本 (2) + 9 pt"/>
    <w:autoRedefine/>
    <w:qFormat/>
    <w:uiPriority w:val="0"/>
    <w:rPr>
      <w:rFonts w:ascii="MingLiU" w:hAnsi="MingLiU" w:eastAsia="MingLiU" w:cs="MingLiU"/>
      <w:color w:val="000000"/>
      <w:spacing w:val="0"/>
      <w:w w:val="100"/>
      <w:position w:val="0"/>
      <w:sz w:val="18"/>
      <w:szCs w:val="18"/>
      <w:u w:val="none"/>
      <w:shd w:val="clear" w:color="auto" w:fill="FFFFFF"/>
      <w:lang w:val="en-US" w:eastAsia="en-US" w:bidi="en-US"/>
    </w:rPr>
  </w:style>
  <w:style w:type="character" w:customStyle="1" w:styleId="21">
    <w:name w:val="页眉 字符"/>
    <w:basedOn w:val="10"/>
    <w:link w:val="7"/>
    <w:qFormat/>
    <w:uiPriority w:val="99"/>
    <w:rPr>
      <w:sz w:val="18"/>
      <w:szCs w:val="18"/>
    </w:rPr>
  </w:style>
  <w:style w:type="character" w:customStyle="1" w:styleId="22">
    <w:name w:val="页脚 字符"/>
    <w:basedOn w:val="10"/>
    <w:link w:val="6"/>
    <w:autoRedefine/>
    <w:qFormat/>
    <w:uiPriority w:val="99"/>
    <w:rPr>
      <w:sz w:val="18"/>
      <w:szCs w:val="18"/>
    </w:rPr>
  </w:style>
  <w:style w:type="paragraph" w:customStyle="1" w:styleId="23">
    <w:name w:val="MSG_EN_FONT_STYLE_NAME_TEMPLATE_ROLE_NUMBER MSG_EN_FONT_STYLE_NAME_BY_ROLE_TEXT 131"/>
    <w:basedOn w:val="1"/>
    <w:link w:val="29"/>
    <w:autoRedefine/>
    <w:qFormat/>
    <w:uiPriority w:val="0"/>
    <w:pPr>
      <w:shd w:val="clear" w:color="auto" w:fill="FFFFFF"/>
      <w:spacing w:before="340" w:after="160" w:line="398" w:lineRule="exact"/>
      <w:jc w:val="distribute"/>
    </w:pPr>
    <w:rPr>
      <w:rFonts w:ascii="PMingLiU" w:hAnsi="PMingLiU" w:eastAsia="PMingLiU" w:cs="PMingLiU"/>
      <w:kern w:val="0"/>
      <w:sz w:val="20"/>
      <w:szCs w:val="20"/>
    </w:rPr>
  </w:style>
  <w:style w:type="character" w:customStyle="1" w:styleId="24">
    <w:name w:val="MSG_EN_FONT_STYLE_NAME_TEMPLATE_ROLE_NUMBER MSG_EN_FONT_STYLE_NAME_BY_ROLE_TEXT 13 + MSG_EN_FONT_STYLE_MODIFER_SIZE 8.5"/>
    <w:autoRedefine/>
    <w:qFormat/>
    <w:uiPriority w:val="0"/>
    <w:rPr>
      <w:rFonts w:ascii="PMingLiU" w:hAnsi="PMingLiU" w:eastAsia="PMingLiU" w:cs="PMingLiU"/>
      <w:color w:val="000000"/>
      <w:spacing w:val="0"/>
      <w:w w:val="100"/>
      <w:position w:val="0"/>
      <w:sz w:val="17"/>
      <w:szCs w:val="17"/>
      <w:u w:val="none"/>
      <w:shd w:val="clear" w:color="auto" w:fill="FFFFFF"/>
      <w:lang w:val="zh-CN" w:eastAsia="zh-CN" w:bidi="zh-CN"/>
    </w:rPr>
  </w:style>
  <w:style w:type="paragraph" w:customStyle="1" w:styleId="25">
    <w:name w:val="MSG_EN_FONT_STYLE_NAME_TEMPLATE_ROLE_NUMBER MSG_EN_FONT_STYLE_NAME_BY_ROLE_TEXT 5"/>
    <w:basedOn w:val="1"/>
    <w:link w:val="30"/>
    <w:autoRedefine/>
    <w:qFormat/>
    <w:uiPriority w:val="0"/>
    <w:pPr>
      <w:shd w:val="clear" w:color="auto" w:fill="FFFFFF"/>
      <w:spacing w:before="5120" w:line="170" w:lineRule="exact"/>
      <w:jc w:val="left"/>
    </w:pPr>
    <w:rPr>
      <w:rFonts w:ascii="PMingLiU" w:hAnsi="PMingLiU" w:eastAsia="PMingLiU" w:cs="PMingLiU"/>
      <w:kern w:val="0"/>
      <w:sz w:val="17"/>
      <w:szCs w:val="17"/>
    </w:rPr>
  </w:style>
  <w:style w:type="character" w:customStyle="1" w:styleId="26">
    <w:name w:val="正文文本缩进 字符"/>
    <w:basedOn w:val="10"/>
    <w:link w:val="3"/>
    <w:qFormat/>
    <w:uiPriority w:val="99"/>
    <w:rPr>
      <w:rFonts w:ascii="Times New Roman" w:hAnsi="Times New Roman" w:eastAsia="宋体" w:cs="Times New Roman"/>
      <w:kern w:val="2"/>
      <w:sz w:val="28"/>
      <w:szCs w:val="24"/>
    </w:rPr>
  </w:style>
  <w:style w:type="character" w:customStyle="1" w:styleId="27">
    <w:name w:val="正文文本缩进 2 字符"/>
    <w:basedOn w:val="10"/>
    <w:link w:val="4"/>
    <w:semiHidden/>
    <w:qFormat/>
    <w:uiPriority w:val="99"/>
    <w:rPr>
      <w:kern w:val="2"/>
      <w:sz w:val="21"/>
      <w:szCs w:val="22"/>
    </w:rPr>
  </w:style>
  <w:style w:type="character" w:customStyle="1" w:styleId="28">
    <w:name w:val="纯文本 字符"/>
    <w:basedOn w:val="10"/>
    <w:link w:val="5"/>
    <w:qFormat/>
    <w:uiPriority w:val="99"/>
    <w:rPr>
      <w:rFonts w:ascii="宋体" w:hAnsi="Courier New" w:eastAsia="宋体" w:cs="Times New Roman"/>
      <w:kern w:val="2"/>
      <w:sz w:val="21"/>
      <w:szCs w:val="21"/>
    </w:rPr>
  </w:style>
  <w:style w:type="character" w:customStyle="1" w:styleId="29">
    <w:name w:val="MSG_EN_FONT_STYLE_NAME_TEMPLATE_ROLE_NUMBER MSG_EN_FONT_STYLE_NAME_BY_ROLE_TEXT 13_"/>
    <w:link w:val="23"/>
    <w:qFormat/>
    <w:uiPriority w:val="0"/>
    <w:rPr>
      <w:rFonts w:ascii="PMingLiU" w:hAnsi="PMingLiU" w:eastAsia="PMingLiU" w:cs="PMingLiU"/>
      <w:shd w:val="clear" w:color="auto" w:fill="FFFFFF"/>
    </w:rPr>
  </w:style>
  <w:style w:type="character" w:customStyle="1" w:styleId="30">
    <w:name w:val="MSG_EN_FONT_STYLE_NAME_TEMPLATE_ROLE_NUMBER MSG_EN_FONT_STYLE_NAME_BY_ROLE_TEXT 5_"/>
    <w:link w:val="25"/>
    <w:qFormat/>
    <w:uiPriority w:val="0"/>
    <w:rPr>
      <w:rFonts w:ascii="PMingLiU" w:hAnsi="PMingLiU" w:eastAsia="PMingLiU" w:cs="PMingLiU"/>
      <w:sz w:val="17"/>
      <w:szCs w:val="17"/>
      <w:shd w:val="clear" w:color="auto"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D1415-EB3F-4E4B-8E9A-7202B2D1D16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4021</Words>
  <Characters>4262</Characters>
  <Lines>39</Lines>
  <Paragraphs>11</Paragraphs>
  <TotalTime>0</TotalTime>
  <ScaleCrop>false</ScaleCrop>
  <LinksUpToDate>false</LinksUpToDate>
  <CharactersWithSpaces>4278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2021-08-02T04:08:00Z</dcterms:created>
  <dc:creator>微软用户</dc:creator>
  <cp:lastModifiedBy>ASUS</cp:lastModifiedBy>
  <dcterms:modified xsi:type="dcterms:W3CDTF">2026-05-20T06:28:23Z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97B25FE1A566477186C8543FFB10435D_12</vt:lpwstr>
  </property>
  <property fmtid="{D5CDD505-2E9C-101B-9397-08002B2CF9AE}" pid="4" name="KSOTemplateDocerSaveRecord">
    <vt:lpwstr>eyJoZGlkIjoiZWEyZGQyZDIxYjdjNzVlYjVkM2EyZTg3MWQ0M2U4ODUiLCJ1c2VySWQiOiI0MzE5OTkyMDAifQ==</vt:lpwstr>
  </property>
</Properties>
</file>