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185AB">
      <w:pPr>
        <w:keepLines w:val="0"/>
        <w:kinsoku/>
        <w:wordWrap/>
        <w:overflowPunct/>
        <w:topLinePunct w:val="0"/>
        <w:bidi w:val="0"/>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长春市2025年国道龙东公路大龙桥拆除重建工程施工监理招标</w:t>
      </w:r>
    </w:p>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12A067C9">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0D938ED9">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3C291520">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w:t>
            </w:r>
            <w:r>
              <w:rPr>
                <w:rFonts w:hint="eastAsia" w:ascii="宋体" w:hAnsi="宋体" w:eastAsia="宋体" w:cs="宋体"/>
                <w:sz w:val="21"/>
                <w:szCs w:val="21"/>
                <w:highlight w:val="none"/>
              </w:rPr>
              <w:t>见附录1</w:t>
            </w:r>
          </w:p>
          <w:p w14:paraId="371BA551">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6AF9ACC1">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7E24C177">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总监理工程师资格：见附录4</w:t>
            </w:r>
          </w:p>
          <w:p w14:paraId="79E35163">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50ABE4B3">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rPr>
              <w:t>不接受</w:t>
            </w:r>
          </w:p>
          <w:p w14:paraId="57981519">
            <w:pPr>
              <w:keepLines w:val="0"/>
              <w:widowControl/>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 </w:instrText>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w:t>
            </w:r>
            <w:r>
              <w:rPr>
                <w:rFonts w:hint="eastAsia" w:ascii="宋体" w:hAnsi="宋体" w:eastAsia="宋体" w:cs="宋体"/>
                <w:sz w:val="21"/>
                <w:szCs w:val="21"/>
                <w:highlight w:val="none"/>
              </w:rPr>
              <w:t>联合体投标的，应满足下列要求：见第一章招标公告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w:t>
            </w:r>
            <w:r>
              <w:rPr>
                <w:rFonts w:hint="eastAsia" w:ascii="宋体" w:hAnsi="宋体" w:eastAsia="宋体" w:cs="宋体"/>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31C14749">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47E9A3D7">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1292287E">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84A49A4">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t>/</w:t>
            </w:r>
          </w:p>
        </w:tc>
      </w:tr>
    </w:tbl>
    <w:p w14:paraId="637BC394">
      <w:pPr>
        <w:keepLines w:val="0"/>
        <w:kinsoku/>
        <w:wordWrap/>
        <w:overflowPunct/>
        <w:topLinePunct w:val="0"/>
        <w:bidi w:val="0"/>
        <w:spacing w:line="360" w:lineRule="exact"/>
        <w:textAlignment w:val="auto"/>
        <w:rPr>
          <w:rFonts w:hint="eastAsia" w:ascii="宋体" w:hAnsi="宋体" w:eastAsia="宋体" w:cs="宋体"/>
          <w:b w:val="0"/>
          <w:bCs w:val="0"/>
          <w:color w:val="auto"/>
          <w:sz w:val="21"/>
          <w:szCs w:val="21"/>
          <w:highlight w:val="none"/>
        </w:rPr>
      </w:pPr>
      <w:bookmarkStart w:id="0" w:name="_Toc6800"/>
      <w:r>
        <w:rPr>
          <w:rFonts w:hint="eastAsia" w:ascii="宋体" w:hAnsi="宋体" w:eastAsia="宋体" w:cs="宋体"/>
          <w:b w:val="0"/>
          <w:bCs w:val="0"/>
          <w:color w:val="auto"/>
          <w:sz w:val="21"/>
          <w:szCs w:val="21"/>
          <w:highlight w:val="none"/>
        </w:rPr>
        <w:t>1.4投标人资格要求（适用于未进行资格预审的）</w:t>
      </w:r>
    </w:p>
    <w:p w14:paraId="42D133C1">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1.4.1投标人应具备承担本标段施工监理的资质条件、能力和信誉。</w:t>
      </w:r>
    </w:p>
    <w:p w14:paraId="74A900E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(l）资质要求：见投标人须知前附表；</w:t>
      </w:r>
    </w:p>
    <w:p w14:paraId="6FEFE8A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(2）业绩要求：见投标人须知前附表；</w:t>
      </w:r>
    </w:p>
    <w:p w14:paraId="17DDD44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(3）信誉要求：见投标人须知前附表；</w:t>
      </w:r>
    </w:p>
    <w:p w14:paraId="768BCD87">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(4）总监理工程师资格：见投标人须知前附表</w:t>
      </w:r>
      <w:r>
        <w:rPr>
          <w:rFonts w:hint="eastAsia" w:ascii="宋体" w:hAnsi="宋体" w:eastAsia="宋体" w:cs="宋体"/>
          <w:color w:val="auto"/>
          <w:sz w:val="21"/>
          <w:szCs w:val="21"/>
          <w:highlight w:val="none"/>
          <w:lang w:eastAsia="zh-CN"/>
        </w:rPr>
        <w:t>；</w:t>
      </w:r>
    </w:p>
    <w:p w14:paraId="560D231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(5）其他要求：见投标人须知前附表。</w:t>
      </w:r>
    </w:p>
    <w:p w14:paraId="1091ED3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42706B5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0A7BF05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(1）联合体各方应按招标文件提供的格式签订联合体协议书，明确联合体牵头人和各方权利义务，并承诺就中标项目向招标人承担连带责任；</w:t>
      </w:r>
    </w:p>
    <w:p w14:paraId="320ADBF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62089F6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(3）联合体各方不得再以自己名义单独或参加其他联合体在同一标段中投标；</w:t>
      </w:r>
    </w:p>
    <w:p w14:paraId="7722CA28">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37AD5F71">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（5）尽管委任了联合体牵头人，但联合体各成员在投标、签订合同与履行合同过程中，仍负有连带的和各自的法律责任。</w:t>
      </w:r>
    </w:p>
    <w:p w14:paraId="4A7767C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4B4A142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(l）为招标人不具有独立法人资格的附属机构（单位）；</w:t>
      </w:r>
    </w:p>
    <w:p w14:paraId="7D8B086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(2）与招标人存在利害关系且可能影响招标公正性；</w:t>
      </w:r>
    </w:p>
    <w:p w14:paraId="03B2CABE">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rPr>
        <w:t>本标段的</w:t>
      </w:r>
      <w:r>
        <w:rPr>
          <w:rFonts w:hint="eastAsia" w:ascii="宋体" w:hAnsi="宋体" w:eastAsia="宋体" w:cs="宋体"/>
          <w:color w:val="auto"/>
          <w:sz w:val="21"/>
          <w:szCs w:val="21"/>
          <w:highlight w:val="none"/>
        </w:rPr>
        <w:t>其他投标人同为一个单位负责人；</w:t>
      </w:r>
    </w:p>
    <w:p w14:paraId="5123C960">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与本标段的其他投标人存在控股、管理关系；</w:t>
      </w:r>
    </w:p>
    <w:p w14:paraId="574E7876">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为本标段的代建人；</w:t>
      </w:r>
    </w:p>
    <w:p w14:paraId="3D697446">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为本标段</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rPr>
        <w:t>招标代理</w:t>
      </w:r>
      <w:r>
        <w:rPr>
          <w:rFonts w:hint="eastAsia" w:ascii="宋体" w:hAnsi="宋体" w:eastAsia="宋体" w:cs="宋体"/>
          <w:color w:val="auto"/>
          <w:sz w:val="21"/>
          <w:szCs w:val="21"/>
          <w:highlight w:val="none"/>
        </w:rPr>
        <w:t>机构</w:t>
      </w:r>
      <w:r>
        <w:rPr>
          <w:rFonts w:hint="eastAsia" w:ascii="宋体" w:hAnsi="宋体" w:eastAsia="宋体" w:cs="宋体"/>
          <w:color w:val="auto"/>
          <w:sz w:val="21"/>
          <w:szCs w:val="21"/>
          <w:highlight w:val="none"/>
        </w:rPr>
        <w:t>；</w:t>
      </w:r>
    </w:p>
    <w:p w14:paraId="7D27C5C9">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与本标段的代建人或招标代理机构同为一个法定代表人；</w:t>
      </w:r>
    </w:p>
    <w:p w14:paraId="18D053DC">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与本标段的代建人或招标代理机构</w:t>
      </w:r>
      <w:r>
        <w:rPr>
          <w:rFonts w:hint="eastAsia" w:ascii="宋体" w:hAnsi="宋体" w:eastAsia="宋体" w:cs="宋体"/>
          <w:color w:val="auto"/>
          <w:sz w:val="21"/>
          <w:szCs w:val="21"/>
          <w:highlight w:val="none"/>
        </w:rPr>
        <w:t>存在</w:t>
      </w:r>
      <w:r>
        <w:rPr>
          <w:rFonts w:hint="eastAsia" w:ascii="宋体" w:hAnsi="宋体" w:eastAsia="宋体" w:cs="宋体"/>
          <w:color w:val="auto"/>
          <w:sz w:val="21"/>
          <w:szCs w:val="21"/>
          <w:highlight w:val="none"/>
        </w:rPr>
        <w:t>控股或参股</w:t>
      </w:r>
      <w:r>
        <w:rPr>
          <w:rFonts w:hint="eastAsia" w:ascii="宋体" w:hAnsi="宋体" w:eastAsia="宋体" w:cs="宋体"/>
          <w:color w:val="auto"/>
          <w:sz w:val="21"/>
          <w:szCs w:val="21"/>
          <w:highlight w:val="none"/>
        </w:rPr>
        <w:t>关系</w:t>
      </w:r>
      <w:r>
        <w:rPr>
          <w:rFonts w:hint="eastAsia" w:ascii="宋体" w:hAnsi="宋体" w:eastAsia="宋体" w:cs="宋体"/>
          <w:color w:val="auto"/>
          <w:sz w:val="21"/>
          <w:szCs w:val="21"/>
          <w:highlight w:val="none"/>
        </w:rPr>
        <w:t>；</w:t>
      </w:r>
    </w:p>
    <w:p w14:paraId="44CCF1D9">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（9）与本标段对应工程的施工承包人以及建筑材料、建筑构配件和设备供应商有隶属关系或其他利害关系；</w:t>
      </w:r>
    </w:p>
    <w:p w14:paraId="6C3BB574">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（10）法律法规或投标人须知前附表规定的其他情形。</w:t>
      </w:r>
    </w:p>
    <w:p w14:paraId="496154D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（包括联合体各成员）不得存在下列不良状况或不良信用记录</w:t>
      </w:r>
      <w:r>
        <w:rPr>
          <w:rFonts w:hint="eastAsia" w:ascii="宋体" w:hAnsi="宋体" w:eastAsia="宋体" w:cs="宋体"/>
          <w:color w:val="auto"/>
          <w:sz w:val="21"/>
          <w:szCs w:val="21"/>
          <w:highlight w:val="none"/>
        </w:rPr>
        <w:t>：</w:t>
      </w:r>
    </w:p>
    <w:p w14:paraId="73BBD35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7184B74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被责令停业</w:t>
      </w:r>
      <w:r>
        <w:rPr>
          <w:rFonts w:hint="eastAsia" w:ascii="宋体" w:hAnsi="宋体" w:eastAsia="宋体" w:cs="宋体"/>
          <w:color w:val="auto"/>
          <w:sz w:val="21"/>
          <w:szCs w:val="21"/>
          <w:highlight w:val="none"/>
        </w:rPr>
        <w:t>，暂扣或吊销执照，或吊销资质证书；</w:t>
      </w:r>
    </w:p>
    <w:p w14:paraId="0FBF0A2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（3）进入清算程序，或被宣告破产，或其他丧失履约能力的情形；</w:t>
      </w:r>
    </w:p>
    <w:p w14:paraId="79D440B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（4）在国家企业信用信息公示系统（http://www.gsxt.gov.cn/）中被列入严重违法失信企业名单；</w:t>
      </w:r>
    </w:p>
    <w:p w14:paraId="3FEB761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（5）在“信用中国”网站（http://www.creditchina.gov.cn/）中被列入失信被执行人名单；</w:t>
      </w:r>
    </w:p>
    <w:p w14:paraId="3BEFB7B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（6）投标人或其法定代表人、拟委任的总监理工程师在近三年内有行贿犯罪行为的；</w:t>
      </w:r>
    </w:p>
    <w:p w14:paraId="2D22A4F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（7）法律法规或投标人须知前附表规定的其他情形。</w:t>
      </w:r>
    </w:p>
    <w:p w14:paraId="5B919057">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（包括联合体各成员）应进入交通运输部“全国公路建设市场监督管理系统（https://hwdms.mot.gov.cn</w:t>
      </w: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”中的公路工程施工监理资质企业名录，且投标人名称和资质与该名录中的相应企业名称和资质完全一致。投标人不满足本项规定条件的，将被否决投标。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0F12B2F">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0"/>
    <w:p w14:paraId="2855B561">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1" w:name="_Toc17069"/>
      <w:r>
        <w:rPr>
          <w:rFonts w:hint="eastAsia" w:ascii="宋体" w:hAnsi="宋体" w:eastAsia="宋体" w:cs="宋体"/>
          <w:b/>
          <w:sz w:val="21"/>
          <w:szCs w:val="21"/>
          <w:highlight w:val="none"/>
        </w:rPr>
        <w:t>附录1资格审查条件（资质最低要求）</w:t>
      </w:r>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8196"/>
      </w:tblGrid>
      <w:tr w14:paraId="739D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20" w:type="dxa"/>
            <w:tcBorders>
              <w:top w:val="single" w:color="auto" w:sz="12" w:space="0"/>
              <w:left w:val="single" w:color="auto" w:sz="12" w:space="0"/>
            </w:tcBorders>
            <w:vAlign w:val="center"/>
          </w:tcPr>
          <w:p w14:paraId="09225109">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196" w:type="dxa"/>
            <w:tcBorders>
              <w:top w:val="single" w:color="auto" w:sz="12" w:space="0"/>
              <w:right w:val="single" w:color="auto" w:sz="12" w:space="0"/>
            </w:tcBorders>
            <w:vAlign w:val="center"/>
          </w:tcPr>
          <w:p w14:paraId="75105732">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监理企业资质等级要求</w:t>
            </w:r>
          </w:p>
        </w:tc>
      </w:tr>
      <w:tr w14:paraId="64B5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0" w:type="dxa"/>
            <w:tcBorders>
              <w:left w:val="single" w:color="auto" w:sz="12" w:space="0"/>
              <w:bottom w:val="single" w:color="auto" w:sz="12" w:space="0"/>
            </w:tcBorders>
            <w:vAlign w:val="center"/>
          </w:tcPr>
          <w:p w14:paraId="1A420277">
            <w:pPr>
              <w:pStyle w:val="7"/>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CC</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JL01</w:t>
            </w:r>
          </w:p>
        </w:tc>
        <w:tc>
          <w:tcPr>
            <w:tcW w:w="8196" w:type="dxa"/>
            <w:tcBorders>
              <w:bottom w:val="single" w:color="auto" w:sz="12" w:space="0"/>
              <w:right w:val="single" w:color="auto" w:sz="12" w:space="0"/>
            </w:tcBorders>
            <w:vAlign w:val="center"/>
          </w:tcPr>
          <w:p w14:paraId="297F3C9E">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的公路工程监理企业甲级或乙级资质；</w:t>
            </w:r>
          </w:p>
          <w:p w14:paraId="231BFA64">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（2）具备（或其下属非独立法人机构具备）交通运输主管部门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w:t>
            </w:r>
            <w:r>
              <w:rPr>
                <w:rFonts w:hint="eastAsia" w:ascii="宋体" w:hAnsi="宋体" w:eastAsia="宋体" w:cs="宋体"/>
                <w:color w:val="auto"/>
                <w:sz w:val="21"/>
                <w:szCs w:val="21"/>
                <w:highlight w:val="none"/>
                <w:lang w:val="en-US" w:eastAsia="zh-CN"/>
              </w:rPr>
              <w:t>水运</w:t>
            </w:r>
            <w:r>
              <w:rPr>
                <w:rFonts w:hint="eastAsia" w:ascii="宋体" w:hAnsi="宋体" w:eastAsia="宋体" w:cs="宋体"/>
                <w:color w:val="auto"/>
                <w:sz w:val="21"/>
                <w:szCs w:val="21"/>
                <w:highlight w:val="none"/>
              </w:rPr>
              <w:t>工程质量检测机构</w:t>
            </w:r>
            <w:r>
              <w:rPr>
                <w:rFonts w:hint="eastAsia" w:ascii="宋体" w:hAnsi="宋体" w:eastAsia="宋体" w:cs="宋体"/>
                <w:color w:val="auto"/>
                <w:sz w:val="21"/>
                <w:szCs w:val="21"/>
                <w:highlight w:val="none"/>
                <w:lang w:val="en-US" w:eastAsia="zh-CN"/>
              </w:rPr>
              <w:t>公路工程专业</w:t>
            </w:r>
            <w:r>
              <w:rPr>
                <w:rFonts w:hint="eastAsia" w:ascii="宋体" w:hAnsi="宋体" w:eastAsia="宋体" w:cs="宋体"/>
                <w:color w:val="auto"/>
                <w:sz w:val="21"/>
                <w:szCs w:val="21"/>
                <w:highlight w:val="none"/>
              </w:rPr>
              <w:t>甲级或乙级资质</w:t>
            </w:r>
            <w:r>
              <w:rPr>
                <w:rFonts w:hint="eastAsia" w:ascii="宋体" w:hAnsi="宋体" w:eastAsia="宋体" w:cs="宋体"/>
                <w:color w:val="auto"/>
                <w:sz w:val="21"/>
                <w:szCs w:val="21"/>
                <w:highlight w:val="none"/>
                <w:lang w:eastAsia="zh-CN"/>
              </w:rPr>
              <w:t>。</w:t>
            </w:r>
          </w:p>
        </w:tc>
      </w:tr>
    </w:tbl>
    <w:p w14:paraId="7324D178">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2" w:name="_Toc1806"/>
      <w:r>
        <w:rPr>
          <w:rFonts w:hint="eastAsia" w:ascii="宋体" w:hAnsi="宋体" w:eastAsia="宋体" w:cs="宋体"/>
          <w:b/>
          <w:sz w:val="21"/>
          <w:szCs w:val="21"/>
          <w:highlight w:val="none"/>
        </w:rPr>
        <w:t>附录2资格审查条件（业绩最低要求）</w:t>
      </w:r>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8168"/>
      </w:tblGrid>
      <w:tr w14:paraId="2448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tcBorders>
              <w:top w:val="single" w:color="auto" w:sz="12" w:space="0"/>
              <w:left w:val="single" w:color="auto" w:sz="12" w:space="0"/>
            </w:tcBorders>
            <w:vAlign w:val="center"/>
          </w:tcPr>
          <w:p w14:paraId="0E88BDA7">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168" w:type="dxa"/>
            <w:tcBorders>
              <w:top w:val="single" w:color="auto" w:sz="12" w:space="0"/>
              <w:right w:val="single" w:color="auto" w:sz="12" w:space="0"/>
            </w:tcBorders>
            <w:vAlign w:val="center"/>
          </w:tcPr>
          <w:p w14:paraId="5C02DC6B">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1DEB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tcBorders>
              <w:left w:val="single" w:color="auto" w:sz="12" w:space="0"/>
              <w:bottom w:val="single" w:color="auto" w:sz="12" w:space="0"/>
            </w:tcBorders>
            <w:vAlign w:val="center"/>
          </w:tcPr>
          <w:p w14:paraId="6E1844AC">
            <w:pPr>
              <w:pStyle w:val="7"/>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CC</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JL01</w:t>
            </w:r>
          </w:p>
        </w:tc>
        <w:tc>
          <w:tcPr>
            <w:tcW w:w="8168" w:type="dxa"/>
            <w:tcBorders>
              <w:bottom w:val="single" w:color="auto" w:sz="12" w:space="0"/>
              <w:right w:val="single" w:color="auto" w:sz="12" w:space="0"/>
            </w:tcBorders>
            <w:vAlign w:val="center"/>
          </w:tcPr>
          <w:p w14:paraId="29F37008">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429E04CB">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3" w:name="_Toc6991"/>
      <w:r>
        <w:rPr>
          <w:rFonts w:hint="eastAsia" w:ascii="宋体" w:hAnsi="宋体" w:eastAsia="宋体" w:cs="宋体"/>
          <w:b/>
          <w:sz w:val="21"/>
          <w:szCs w:val="21"/>
          <w:highlight w:val="none"/>
        </w:rPr>
        <w:t>附录3资格审查条件（信誉最低要求）</w:t>
      </w:r>
      <w:bookmarkEnd w:id="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6E66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7793A6E1">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11A2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5E012430">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748469E2">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4" w:name="_Toc27086"/>
      <w:bookmarkStart w:id="5" w:name="_Toc411418983"/>
      <w:bookmarkStart w:id="6" w:name="_Toc346800722"/>
      <w:r>
        <w:rPr>
          <w:rFonts w:hint="eastAsia" w:ascii="宋体" w:hAnsi="宋体" w:eastAsia="宋体" w:cs="宋体"/>
          <w:b/>
          <w:sz w:val="21"/>
          <w:szCs w:val="21"/>
          <w:highlight w:val="none"/>
        </w:rPr>
        <w:t>附录4资格审查条件（总监理工程师最低要求）</w:t>
      </w:r>
      <w:bookmarkEnd w:id="4"/>
      <w:bookmarkEnd w:id="5"/>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29"/>
        <w:gridCol w:w="4666"/>
        <w:gridCol w:w="2378"/>
      </w:tblGrid>
      <w:tr w14:paraId="394D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top w:val="single" w:color="auto" w:sz="12" w:space="0"/>
              <w:left w:val="single" w:color="auto" w:sz="12" w:space="0"/>
            </w:tcBorders>
            <w:vAlign w:val="center"/>
          </w:tcPr>
          <w:p w14:paraId="3B543D99">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229" w:type="dxa"/>
            <w:tcBorders>
              <w:top w:val="single" w:color="auto" w:sz="12" w:space="0"/>
            </w:tcBorders>
            <w:vAlign w:val="center"/>
          </w:tcPr>
          <w:p w14:paraId="6125BFCD">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4666" w:type="dxa"/>
            <w:tcBorders>
              <w:top w:val="single" w:color="auto" w:sz="12" w:space="0"/>
              <w:right w:val="single" w:color="auto" w:sz="4" w:space="0"/>
            </w:tcBorders>
            <w:vAlign w:val="center"/>
          </w:tcPr>
          <w:p w14:paraId="6890ED13">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2378" w:type="dxa"/>
            <w:tcBorders>
              <w:top w:val="single" w:color="auto" w:sz="12" w:space="0"/>
              <w:left w:val="single" w:color="auto" w:sz="4" w:space="0"/>
              <w:right w:val="single" w:color="auto" w:sz="12" w:space="0"/>
            </w:tcBorders>
            <w:vAlign w:val="center"/>
          </w:tcPr>
          <w:p w14:paraId="3ABA94E7">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在岗要求</w:t>
            </w:r>
          </w:p>
        </w:tc>
      </w:tr>
      <w:tr w14:paraId="0EBE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left w:val="single" w:color="auto" w:sz="12" w:space="0"/>
              <w:bottom w:val="single" w:color="auto" w:sz="12" w:space="0"/>
            </w:tcBorders>
            <w:vAlign w:val="center"/>
          </w:tcPr>
          <w:p w14:paraId="027E350D">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w:t>
            </w:r>
          </w:p>
          <w:p w14:paraId="7C9D374C">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工程师</w:t>
            </w:r>
          </w:p>
        </w:tc>
        <w:tc>
          <w:tcPr>
            <w:tcW w:w="1229" w:type="dxa"/>
            <w:tcBorders>
              <w:bottom w:val="single" w:color="auto" w:sz="12" w:space="0"/>
            </w:tcBorders>
            <w:vAlign w:val="center"/>
          </w:tcPr>
          <w:p w14:paraId="1CAFFA73">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666" w:type="dxa"/>
            <w:tcBorders>
              <w:top w:val="single" w:color="auto" w:sz="8" w:space="0"/>
              <w:bottom w:val="single" w:color="auto" w:sz="12" w:space="0"/>
              <w:right w:val="single" w:color="auto" w:sz="4" w:space="0"/>
            </w:tcBorders>
            <w:vAlign w:val="center"/>
          </w:tcPr>
          <w:p w14:paraId="123E79D6">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1）投标人（联合体投标的，指联合体牵头人）</w:t>
            </w:r>
            <w:r>
              <w:rPr>
                <w:rFonts w:hint="eastAsia" w:ascii="宋体" w:hAnsi="宋体" w:eastAsia="宋体" w:cs="宋体"/>
                <w:b/>
                <w:color w:val="auto"/>
                <w:sz w:val="21"/>
                <w:szCs w:val="21"/>
                <w:highlight w:val="none"/>
              </w:rPr>
              <w:t>自有</w:t>
            </w:r>
            <w:r>
              <w:rPr>
                <w:rFonts w:hint="eastAsia" w:ascii="宋体" w:hAnsi="宋体" w:eastAsia="宋体" w:cs="宋体"/>
                <w:color w:val="auto"/>
                <w:sz w:val="21"/>
                <w:szCs w:val="21"/>
                <w:highlight w:val="none"/>
              </w:rPr>
              <w:t>人员</w:t>
            </w:r>
            <w:r>
              <w:rPr>
                <w:rStyle w:val="13"/>
                <w:rFonts w:hint="eastAsia" w:ascii="宋体" w:hAnsi="宋体" w:eastAsia="宋体" w:cs="宋体"/>
                <w:color w:val="auto"/>
                <w:sz w:val="21"/>
                <w:szCs w:val="21"/>
                <w:highlight w:val="none"/>
              </w:rPr>
              <w:footnoteReference w:id="1"/>
            </w:r>
            <w:r>
              <w:rPr>
                <w:rFonts w:hint="eastAsia" w:ascii="宋体" w:hAnsi="宋体" w:eastAsia="宋体" w:cs="宋体"/>
                <w:color w:val="auto"/>
                <w:sz w:val="21"/>
                <w:szCs w:val="21"/>
                <w:highlight w:val="none"/>
              </w:rPr>
              <w:t>；</w:t>
            </w:r>
          </w:p>
          <w:p w14:paraId="52C5A147">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公路</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相关专业</w:t>
            </w:r>
            <w:r>
              <w:rPr>
                <w:rStyle w:val="13"/>
                <w:rFonts w:hint="eastAsia" w:ascii="宋体" w:hAnsi="宋体" w:eastAsia="宋体" w:cs="宋体"/>
                <w:color w:val="auto"/>
                <w:sz w:val="21"/>
                <w:szCs w:val="21"/>
                <w:highlight w:val="none"/>
              </w:rPr>
              <w:footnoteReference w:id="2"/>
            </w:r>
            <w:r>
              <w:rPr>
                <w:rFonts w:hint="eastAsia" w:ascii="宋体" w:hAnsi="宋体" w:eastAsia="宋体" w:cs="宋体"/>
                <w:b/>
                <w:color w:val="auto"/>
                <w:sz w:val="21"/>
                <w:szCs w:val="21"/>
                <w:highlight w:val="none"/>
              </w:rPr>
              <w:t>高级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color w:val="auto"/>
                <w:sz w:val="21"/>
                <w:szCs w:val="21"/>
                <w:highlight w:val="none"/>
              </w:rPr>
              <w:t>；</w:t>
            </w:r>
          </w:p>
          <w:p w14:paraId="53F83EE6">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sz w:val="21"/>
                <w:szCs w:val="21"/>
                <w:highlight w:val="none"/>
              </w:rPr>
              <w:t>具有公路工程监理工程师</w:t>
            </w:r>
            <w:r>
              <w:rPr>
                <w:rFonts w:hint="eastAsia" w:ascii="宋体" w:hAnsi="宋体" w:eastAsia="宋体" w:cs="宋体"/>
                <w:sz w:val="21"/>
                <w:szCs w:val="21"/>
                <w:highlight w:val="none"/>
                <w:lang w:val="en-US" w:eastAsia="zh-CN"/>
              </w:rPr>
              <w:t>注册</w:t>
            </w:r>
            <w:r>
              <w:rPr>
                <w:rFonts w:hint="eastAsia" w:ascii="宋体" w:hAnsi="宋体" w:eastAsia="宋体" w:cs="宋体"/>
                <w:sz w:val="21"/>
                <w:szCs w:val="21"/>
                <w:highlight w:val="none"/>
              </w:rPr>
              <w:t>证书。</w:t>
            </w:r>
          </w:p>
        </w:tc>
        <w:tc>
          <w:tcPr>
            <w:tcW w:w="2378" w:type="dxa"/>
            <w:tcBorders>
              <w:top w:val="single" w:color="auto" w:sz="8" w:space="0"/>
              <w:left w:val="single" w:color="auto" w:sz="4" w:space="0"/>
              <w:bottom w:val="single" w:color="auto" w:sz="12" w:space="0"/>
              <w:right w:val="single" w:color="auto" w:sz="12" w:space="0"/>
            </w:tcBorders>
            <w:vAlign w:val="center"/>
          </w:tcPr>
          <w:p w14:paraId="22B473EE">
            <w:pPr>
              <w:keepLines w:val="0"/>
              <w:widowControl/>
              <w:kinsoku/>
              <w:wordWrap/>
              <w:overflowPunct/>
              <w:topLinePunct w:val="0"/>
              <w:bidi w:val="0"/>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无在岗项目</w:t>
            </w:r>
            <w:r>
              <w:rPr>
                <w:rFonts w:hint="eastAsia" w:ascii="宋体" w:hAnsi="宋体" w:eastAsia="宋体" w:cs="宋体"/>
                <w:bCs/>
                <w:sz w:val="21"/>
                <w:szCs w:val="21"/>
                <w:highlight w:val="none"/>
              </w:rPr>
              <w:t>（指目前未在其他项目上任职，或虽在其他项目上任职但本项目中标后能够从该项目撤离）</w:t>
            </w:r>
          </w:p>
        </w:tc>
      </w:tr>
      <w:bookmarkEnd w:id="6"/>
    </w:tbl>
    <w:p w14:paraId="384CA9C9">
      <w:pPr>
        <w:keepLines w:val="0"/>
        <w:kinsoku/>
        <w:wordWrap/>
        <w:overflowPunct/>
        <w:topLinePunct w:val="0"/>
        <w:bidi w:val="0"/>
        <w:spacing w:before="100" w:beforeAutospacing="1" w:line="360" w:lineRule="exact"/>
        <w:jc w:val="both"/>
        <w:textAlignment w:val="auto"/>
        <w:outlineLvl w:val="2"/>
        <w:rPr>
          <w:rFonts w:hint="eastAsia" w:ascii="宋体" w:hAnsi="宋体" w:eastAsia="宋体" w:cs="宋体"/>
          <w:b/>
          <w:bCs/>
          <w:sz w:val="21"/>
          <w:szCs w:val="21"/>
        </w:rPr>
      </w:pPr>
      <w:r>
        <w:rPr>
          <w:rFonts w:hint="eastAsia" w:ascii="宋体" w:hAnsi="宋体" w:eastAsia="宋体" w:cs="宋体"/>
          <w:b/>
          <w:sz w:val="21"/>
          <w:szCs w:val="21"/>
        </w:rPr>
        <w:br w:type="page"/>
      </w:r>
    </w:p>
    <w:p w14:paraId="51C246B1">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评</w:t>
      </w:r>
      <w:r>
        <w:rPr>
          <w:rFonts w:hint="eastAsia" w:ascii="宋体" w:hAnsi="宋体" w:eastAsia="宋体" w:cs="宋体"/>
          <w:b/>
          <w:color w:val="auto"/>
          <w:sz w:val="21"/>
          <w:szCs w:val="21"/>
          <w:highlight w:val="none"/>
        </w:rPr>
        <w:t>标办法（综合评估法）</w:t>
      </w:r>
    </w:p>
    <w:p w14:paraId="1B507D04">
      <w:pPr>
        <w:keepLines w:val="0"/>
        <w:kinsoku/>
        <w:wordWrap/>
        <w:overflowPunct/>
        <w:topLinePunct w:val="0"/>
        <w:bidi w:val="0"/>
        <w:spacing w:line="360" w:lineRule="exact"/>
        <w:textAlignment w:val="auto"/>
        <w:outlineLvl w:val="1"/>
        <w:rPr>
          <w:rFonts w:hint="eastAsia" w:ascii="宋体" w:hAnsi="宋体" w:eastAsia="宋体" w:cs="宋体"/>
          <w:b/>
          <w:sz w:val="21"/>
          <w:szCs w:val="21"/>
          <w:highlight w:val="none"/>
        </w:rPr>
      </w:pPr>
      <w:bookmarkStart w:id="7" w:name="_Toc10334"/>
      <w:bookmarkStart w:id="8" w:name="_GoBack"/>
      <w:bookmarkEnd w:id="8"/>
      <w:r>
        <w:rPr>
          <w:rFonts w:hint="eastAsia" w:ascii="宋体" w:hAnsi="宋体" w:eastAsia="宋体" w:cs="宋体"/>
          <w:b/>
          <w:sz w:val="21"/>
          <w:szCs w:val="21"/>
          <w:highlight w:val="none"/>
        </w:rPr>
        <w:t>评标办法前附表</w:t>
      </w:r>
      <w:bookmarkEnd w:id="7"/>
    </w:p>
    <w:tbl>
      <w:tblPr>
        <w:tblStyle w:val="11"/>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27"/>
        <w:gridCol w:w="7076"/>
      </w:tblGrid>
      <w:tr w14:paraId="2F8EF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2486" w:type="dxa"/>
            <w:gridSpan w:val="2"/>
            <w:shd w:val="clear" w:color="auto" w:fill="auto"/>
            <w:vAlign w:val="center"/>
          </w:tcPr>
          <w:p w14:paraId="118143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条款号</w:t>
            </w:r>
          </w:p>
        </w:tc>
        <w:tc>
          <w:tcPr>
            <w:tcW w:w="7076" w:type="dxa"/>
            <w:shd w:val="clear" w:color="auto" w:fill="auto"/>
            <w:vAlign w:val="center"/>
          </w:tcPr>
          <w:p w14:paraId="293952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评审因素与评审标准</w:t>
            </w:r>
          </w:p>
        </w:tc>
      </w:tr>
      <w:tr w14:paraId="51A98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257B1A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27" w:type="dxa"/>
            <w:shd w:val="clear" w:color="auto" w:fill="auto"/>
            <w:vAlign w:val="center"/>
          </w:tcPr>
          <w:p w14:paraId="12A131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评标方法</w:t>
            </w:r>
          </w:p>
        </w:tc>
        <w:tc>
          <w:tcPr>
            <w:tcW w:w="7076" w:type="dxa"/>
            <w:shd w:val="clear" w:color="auto" w:fill="auto"/>
          </w:tcPr>
          <w:p w14:paraId="73BA07E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Style w:val="34"/>
                <w:rFonts w:hint="eastAsia" w:ascii="宋体" w:hAnsi="宋体" w:eastAsia="宋体" w:cs="宋体"/>
                <w:sz w:val="21"/>
                <w:szCs w:val="21"/>
                <w:highlight w:val="none"/>
                <w:lang w:eastAsia="zh-CN"/>
              </w:rPr>
              <w:t>综合评分相等时，评标委员会依次按照以下优先顺序推荐中标候选人：</w:t>
            </w:r>
          </w:p>
          <w:p w14:paraId="166420DB">
            <w:pPr>
              <w:keepNext w:val="0"/>
              <w:keepLines w:val="0"/>
              <w:pageBreakBefore w:val="0"/>
              <w:widowControl w:val="0"/>
              <w:tabs>
                <w:tab w:val="left" w:pos="107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Style w:val="34"/>
                <w:rFonts w:hint="eastAsia" w:ascii="宋体" w:hAnsi="宋体" w:eastAsia="宋体" w:cs="宋体"/>
                <w:sz w:val="21"/>
                <w:szCs w:val="21"/>
                <w:highlight w:val="none"/>
                <w:lang w:eastAsia="zh-CN"/>
              </w:rPr>
              <w:t>评标价低的投标人优先；</w:t>
            </w:r>
          </w:p>
          <w:p w14:paraId="79499919">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shd w:val="clear" w:color="auto" w:fill="FFFFFF"/>
                <w:lang w:bidi="en-US"/>
              </w:rPr>
              <w:t>信用评价得分较高的投标人优先</w:t>
            </w:r>
            <w:r>
              <w:rPr>
                <w:rFonts w:hint="eastAsia" w:ascii="宋体" w:hAnsi="宋体" w:eastAsia="宋体" w:cs="宋体"/>
                <w:sz w:val="21"/>
                <w:szCs w:val="21"/>
                <w:highlight w:val="none"/>
              </w:rPr>
              <w:t>；</w:t>
            </w:r>
          </w:p>
          <w:p w14:paraId="1200F040">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Style w:val="34"/>
                <w:rFonts w:hint="eastAsia" w:ascii="宋体" w:hAnsi="宋体" w:eastAsia="宋体" w:cs="宋体"/>
                <w:sz w:val="21"/>
                <w:szCs w:val="21"/>
                <w:highlight w:val="none"/>
                <w:lang w:eastAsia="zh-CN"/>
              </w:rPr>
              <w:t>人员得分较高的投标人优先；</w:t>
            </w:r>
          </w:p>
          <w:p w14:paraId="1EACB8A6">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rPr>
              <w:t>评标委员会</w:t>
            </w:r>
            <w:r>
              <w:rPr>
                <w:rFonts w:hint="eastAsia" w:ascii="宋体" w:hAnsi="宋体" w:eastAsia="宋体" w:cs="宋体"/>
                <w:sz w:val="21"/>
                <w:szCs w:val="21"/>
                <w:highlight w:val="none"/>
              </w:rPr>
              <w:t>投票表决。</w:t>
            </w:r>
          </w:p>
        </w:tc>
      </w:tr>
      <w:tr w14:paraId="08AAD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14:paraId="4DB6FBF6">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Style w:val="34"/>
                <w:rFonts w:hint="eastAsia" w:ascii="宋体" w:hAnsi="宋体" w:eastAsia="宋体" w:cs="宋体"/>
                <w:sz w:val="21"/>
                <w:szCs w:val="21"/>
                <w:highlight w:val="none"/>
                <w:lang w:eastAsia="zh-CN"/>
              </w:rPr>
            </w:pPr>
            <w:r>
              <w:rPr>
                <w:rStyle w:val="34"/>
                <w:rFonts w:hint="eastAsia" w:ascii="宋体" w:hAnsi="宋体" w:eastAsia="宋体" w:cs="宋体"/>
                <w:sz w:val="21"/>
                <w:szCs w:val="21"/>
                <w:highlight w:val="none"/>
              </w:rPr>
              <w:t>2.1.2</w:t>
            </w:r>
          </w:p>
          <w:p w14:paraId="15E28745">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color w:val="000000"/>
                <w:sz w:val="21"/>
                <w:szCs w:val="21"/>
                <w:highlight w:val="none"/>
                <w:shd w:val="clear" w:color="auto" w:fill="FFFFFF"/>
                <w:lang w:bidi="en-US"/>
              </w:rPr>
            </w:pPr>
            <w:r>
              <w:rPr>
                <w:rStyle w:val="34"/>
                <w:rFonts w:hint="eastAsia" w:ascii="宋体" w:hAnsi="宋体" w:eastAsia="宋体" w:cs="宋体"/>
                <w:sz w:val="21"/>
                <w:szCs w:val="21"/>
                <w:highlight w:val="none"/>
              </w:rPr>
              <w:t>2.1.</w:t>
            </w:r>
            <w:r>
              <w:rPr>
                <w:rStyle w:val="34"/>
                <w:rFonts w:hint="eastAsia" w:ascii="宋体" w:hAnsi="宋体" w:eastAsia="宋体" w:cs="宋体"/>
                <w:sz w:val="21"/>
                <w:szCs w:val="21"/>
                <w:highlight w:val="none"/>
                <w:lang w:eastAsia="zh-CN"/>
              </w:rPr>
              <w:t>3</w:t>
            </w:r>
          </w:p>
        </w:tc>
        <w:tc>
          <w:tcPr>
            <w:tcW w:w="1527" w:type="dxa"/>
            <w:shd w:val="clear" w:color="auto" w:fill="auto"/>
            <w:vAlign w:val="center"/>
          </w:tcPr>
          <w:p w14:paraId="2DF580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第一信封</w:t>
            </w:r>
          </w:p>
          <w:p w14:paraId="768101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形式评审与响应性评审标准</w:t>
            </w:r>
          </w:p>
        </w:tc>
        <w:tc>
          <w:tcPr>
            <w:tcW w:w="7076" w:type="dxa"/>
            <w:shd w:val="clear" w:color="auto" w:fill="auto"/>
          </w:tcPr>
          <w:p w14:paraId="42D3C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zh-TW"/>
              </w:rPr>
            </w:pPr>
            <w:r>
              <w:rPr>
                <w:rFonts w:hint="eastAsia" w:ascii="宋体" w:hAnsi="宋体" w:eastAsia="宋体" w:cs="宋体"/>
                <w:b/>
                <w:bCs/>
                <w:sz w:val="21"/>
                <w:szCs w:val="21"/>
                <w:highlight w:val="none"/>
                <w:lang w:bidi="zh-TW"/>
              </w:rPr>
              <w:t>第一个信封（商务及技术文件）评审标准：</w:t>
            </w:r>
          </w:p>
          <w:p w14:paraId="3A09EB26">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（1）</w:t>
            </w:r>
            <w:r>
              <w:rPr>
                <w:rFonts w:hint="eastAsia" w:ascii="宋体" w:hAnsi="宋体" w:eastAsia="宋体" w:cs="宋体"/>
                <w:sz w:val="21"/>
                <w:szCs w:val="21"/>
                <w:highlight w:val="none"/>
                <w:lang w:bidi="zh-TW"/>
              </w:rPr>
              <w:t>投标文件按照招标文件规定的格式、内容填写，字迹清晰可辨：</w:t>
            </w:r>
          </w:p>
          <w:p w14:paraId="5669046B">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a.</w:t>
            </w:r>
            <w:r>
              <w:rPr>
                <w:rFonts w:hint="eastAsia" w:ascii="宋体" w:hAnsi="宋体" w:eastAsia="宋体" w:cs="宋体"/>
                <w:sz w:val="21"/>
                <w:szCs w:val="21"/>
                <w:highlight w:val="none"/>
                <w:lang w:bidi="zh-TW"/>
              </w:rPr>
              <w:t>投标函按招标文件规定填报了项目名称、标段号、补遗书编号（如有)、监理服务期限、工程质量要求及安全目标；</w:t>
            </w:r>
          </w:p>
          <w:p w14:paraId="00E7E23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b.</w:t>
            </w:r>
            <w:r>
              <w:rPr>
                <w:rFonts w:hint="eastAsia" w:ascii="宋体" w:hAnsi="宋体" w:eastAsia="宋体" w:cs="宋体"/>
                <w:sz w:val="21"/>
                <w:szCs w:val="21"/>
                <w:highlight w:val="none"/>
                <w:lang w:bidi="zh-TW"/>
              </w:rPr>
              <w:t>投标文件组成齐全完整，内容均按规定填写。</w:t>
            </w:r>
          </w:p>
          <w:p w14:paraId="75E28F6F">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（2）</w:t>
            </w:r>
            <w:r>
              <w:rPr>
                <w:rFonts w:hint="eastAsia" w:ascii="宋体" w:hAnsi="宋体" w:eastAsia="宋体" w:cs="宋体"/>
                <w:sz w:val="21"/>
                <w:szCs w:val="21"/>
                <w:highlight w:val="none"/>
                <w:lang w:bidi="zh-TW"/>
              </w:rPr>
              <w:t>投标文件上法定代表人或其委托代理人的签字、投标人的单位章盖章齐全，符合招标文件规定。</w:t>
            </w:r>
          </w:p>
          <w:p w14:paraId="3A3B5706">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（3）</w:t>
            </w:r>
            <w:r>
              <w:rPr>
                <w:rFonts w:hint="eastAsia" w:ascii="宋体" w:hAnsi="宋体" w:eastAsia="宋体" w:cs="宋体"/>
                <w:sz w:val="21"/>
                <w:szCs w:val="21"/>
                <w:highlight w:val="none"/>
                <w:lang w:bidi="zh-TW"/>
              </w:rPr>
              <w:t>投标人按照招标文件的规定提供了投标保证金：</w:t>
            </w:r>
          </w:p>
          <w:p w14:paraId="599B08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a</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投标保证金金额符合招标文件规定的金额，且投标保证金有效期不少于投标有效期；</w:t>
            </w:r>
          </w:p>
          <w:p w14:paraId="065146F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b</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若投标保证金采用现金或支票形式提交，投标人应在递交投标文件截止时间之前，将投标保证金由投标人的基本账户转入招标人指定账户；</w:t>
            </w:r>
          </w:p>
          <w:p w14:paraId="0F365A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w:t>
            </w:r>
            <w:r>
              <w:rPr>
                <w:rFonts w:hint="eastAsia" w:ascii="宋体" w:hAnsi="宋体" w:eastAsia="宋体" w:cs="宋体"/>
                <w:bCs/>
                <w:sz w:val="21"/>
                <w:szCs w:val="21"/>
                <w:highlight w:val="none"/>
              </w:rPr>
              <w:t>应满足</w:t>
            </w:r>
            <w:r>
              <w:rPr>
                <w:rFonts w:hint="eastAsia" w:ascii="宋体" w:hAnsi="宋体" w:eastAsia="宋体" w:cs="宋体"/>
                <w:bCs/>
                <w:sz w:val="21"/>
                <w:szCs w:val="21"/>
                <w:highlight w:val="none"/>
                <w:lang w:val="en-US" w:eastAsia="zh-CN"/>
              </w:rPr>
              <w:t>招标文件</w:t>
            </w:r>
            <w:r>
              <w:rPr>
                <w:rFonts w:hint="eastAsia" w:ascii="宋体" w:hAnsi="宋体" w:eastAsia="宋体" w:cs="宋体"/>
                <w:bCs/>
                <w:sz w:val="21"/>
                <w:szCs w:val="21"/>
                <w:highlight w:val="none"/>
              </w:rPr>
              <w:t>相关要求</w:t>
            </w:r>
            <w:r>
              <w:rPr>
                <w:rFonts w:hint="eastAsia" w:ascii="宋体" w:hAnsi="宋体" w:eastAsia="宋体" w:cs="宋体"/>
                <w:bCs/>
                <w:sz w:val="21"/>
                <w:szCs w:val="21"/>
                <w:highlight w:val="none"/>
                <w:lang w:val="zh-CN"/>
              </w:rPr>
              <w:t>。</w:t>
            </w:r>
          </w:p>
          <w:p w14:paraId="3A21D003">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（4）</w:t>
            </w:r>
            <w:r>
              <w:rPr>
                <w:rFonts w:hint="eastAsia" w:ascii="宋体" w:hAnsi="宋体" w:eastAsia="宋体" w:cs="宋体"/>
                <w:sz w:val="21"/>
                <w:szCs w:val="21"/>
                <w:highlight w:val="none"/>
                <w:lang w:bidi="zh-TW"/>
              </w:rPr>
              <w:t>投标人法定代表人授权委托代理人签署投标文件的，须提交授权委托书，且授权人和被授权人均在授权委托书上签名。</w:t>
            </w:r>
          </w:p>
          <w:p w14:paraId="0FA13F9A">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（5）</w:t>
            </w:r>
            <w:r>
              <w:rPr>
                <w:rFonts w:hint="eastAsia" w:ascii="宋体" w:hAnsi="宋体" w:eastAsia="宋体" w:cs="宋体"/>
                <w:sz w:val="21"/>
                <w:szCs w:val="21"/>
                <w:highlight w:val="none"/>
                <w:lang w:bidi="zh-TW"/>
              </w:rPr>
              <w:t>投标人法定代表人亲自签署投标文件的，提供了法定代表人身份证明，且法定代表人在法定代表人身份证明上签名。</w:t>
            </w:r>
          </w:p>
          <w:p w14:paraId="726409DF">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（6）</w:t>
            </w:r>
            <w:r>
              <w:rPr>
                <w:rFonts w:hint="eastAsia" w:ascii="宋体" w:hAnsi="宋体" w:eastAsia="宋体" w:cs="宋体"/>
                <w:sz w:val="21"/>
                <w:szCs w:val="21"/>
                <w:highlight w:val="none"/>
                <w:lang w:bidi="zh-TW"/>
              </w:rPr>
              <w:t>投标人以联合体形式投标</w:t>
            </w:r>
            <w:r>
              <w:rPr>
                <w:rFonts w:hint="eastAsia" w:ascii="宋体" w:hAnsi="宋体" w:eastAsia="宋体" w:cs="宋体"/>
                <w:sz w:val="21"/>
                <w:szCs w:val="21"/>
                <w:highlight w:val="none"/>
                <w:lang w:bidi="zh-TW"/>
              </w:rPr>
              <w:t>时，按照招标文件提供的格式签订了联合体协议书，明确各方承担连带责任，并明确了联合体牵头人。</w:t>
            </w:r>
          </w:p>
          <w:p w14:paraId="08190475">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（7）</w:t>
            </w:r>
            <w:r>
              <w:rPr>
                <w:rFonts w:hint="eastAsia" w:ascii="宋体" w:hAnsi="宋体" w:eastAsia="宋体" w:cs="宋体"/>
                <w:sz w:val="21"/>
                <w:szCs w:val="21"/>
                <w:highlight w:val="none"/>
                <w:lang w:bidi="zh-TW"/>
              </w:rPr>
              <w:t>同一投标人未提交两个以上不同的投标文件，但招标文件要求提交备选投标的除外。</w:t>
            </w:r>
          </w:p>
          <w:p w14:paraId="5B7827FE">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（8）</w:t>
            </w:r>
            <w:r>
              <w:rPr>
                <w:rFonts w:hint="eastAsia" w:ascii="宋体" w:hAnsi="宋体" w:eastAsia="宋体" w:cs="宋体"/>
                <w:sz w:val="21"/>
                <w:szCs w:val="21"/>
                <w:highlight w:val="none"/>
                <w:lang w:bidi="zh-TW"/>
              </w:rPr>
              <w:t>投标文件中未出现有关投标报价的内容。</w:t>
            </w:r>
          </w:p>
          <w:p w14:paraId="31C28DFE">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（9）</w:t>
            </w:r>
            <w:r>
              <w:rPr>
                <w:rFonts w:hint="eastAsia" w:ascii="宋体" w:hAnsi="宋体" w:eastAsia="宋体" w:cs="宋体"/>
                <w:sz w:val="21"/>
                <w:szCs w:val="21"/>
                <w:highlight w:val="none"/>
                <w:lang w:bidi="zh-TW"/>
              </w:rPr>
              <w:t>投标文件载明的招标项目完成期限</w:t>
            </w:r>
            <w:r>
              <w:rPr>
                <w:rFonts w:hint="eastAsia" w:ascii="宋体" w:hAnsi="宋体" w:eastAsia="宋体" w:cs="宋体"/>
                <w:sz w:val="21"/>
                <w:szCs w:val="21"/>
                <w:highlight w:val="none"/>
                <w:lang w:val="en-US" w:eastAsia="zh-CN" w:bidi="zh-TW"/>
              </w:rPr>
              <w:t>符合</w:t>
            </w:r>
            <w:r>
              <w:rPr>
                <w:rFonts w:hint="eastAsia" w:ascii="宋体" w:hAnsi="宋体" w:eastAsia="宋体" w:cs="宋体"/>
                <w:sz w:val="21"/>
                <w:szCs w:val="21"/>
                <w:highlight w:val="none"/>
                <w:lang w:bidi="zh-TW"/>
              </w:rPr>
              <w:t>招标文件规定。</w:t>
            </w:r>
          </w:p>
          <w:p w14:paraId="0DAD8A84">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（10）</w:t>
            </w:r>
            <w:r>
              <w:rPr>
                <w:rFonts w:hint="eastAsia" w:ascii="宋体" w:hAnsi="宋体" w:eastAsia="宋体" w:cs="宋体"/>
                <w:sz w:val="21"/>
                <w:szCs w:val="21"/>
                <w:highlight w:val="none"/>
                <w:lang w:bidi="zh-TW"/>
              </w:rPr>
              <w:t>投标文件对招标文件的实质性要求和条件作出响应。</w:t>
            </w:r>
          </w:p>
          <w:p w14:paraId="015BA8EB">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（11）权</w:t>
            </w:r>
            <w:r>
              <w:rPr>
                <w:rFonts w:hint="eastAsia" w:ascii="宋体" w:hAnsi="宋体" w:eastAsia="宋体" w:cs="宋体"/>
                <w:sz w:val="21"/>
                <w:szCs w:val="21"/>
                <w:highlight w:val="none"/>
              </w:rPr>
              <w:t>利义务符合招标文件规定：</w:t>
            </w:r>
          </w:p>
          <w:p w14:paraId="1775322D">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14:paraId="36C7E8F7">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b.投标人未增加委托人的责任范围，或减少投标人义务；</w:t>
            </w:r>
          </w:p>
          <w:p w14:paraId="79505C5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05049234">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14:paraId="0F38DCA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14:paraId="7AE727E9">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tc>
      </w:tr>
      <w:tr w14:paraId="48EB8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14:paraId="58AB78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527" w:type="dxa"/>
            <w:shd w:val="clear" w:color="auto" w:fill="auto"/>
            <w:vAlign w:val="center"/>
          </w:tcPr>
          <w:p w14:paraId="7B75AE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第二信封</w:t>
            </w:r>
          </w:p>
          <w:p w14:paraId="7D521A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形式评审与响应性评审标准</w:t>
            </w:r>
          </w:p>
        </w:tc>
        <w:tc>
          <w:tcPr>
            <w:tcW w:w="7076" w:type="dxa"/>
            <w:shd w:val="clear" w:color="auto" w:fill="auto"/>
          </w:tcPr>
          <w:p w14:paraId="3C06123A">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bidi="en-US"/>
              </w:rPr>
              <w:t>第二个信封（报价文件）评审标准：</w:t>
            </w:r>
          </w:p>
          <w:p w14:paraId="6DC281C8">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（1）投标文件按照招标文件规定的格式、内容填写，字迹清晰可辨，内容齐全完整：</w:t>
            </w:r>
          </w:p>
          <w:p w14:paraId="70E9E863">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a.投标函按招标文件规定填报了项目名称、标段号、补遗书编号（如有）、投标价（包括大写金额和小写金额）；</w:t>
            </w:r>
          </w:p>
          <w:p w14:paraId="1B2CE8DB">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b.已标价报价清单说明文字与招标文件规定一致，未进行实质性修改和删减；</w:t>
            </w:r>
          </w:p>
          <w:p w14:paraId="74959885">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c.投标文件组成齐全完整，内容均按规定填写。</w:t>
            </w:r>
          </w:p>
          <w:p w14:paraId="49AFBF2A">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47E49DD1">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（3）投标报价未超过招标文件设定的最高投标限价。</w:t>
            </w:r>
          </w:p>
          <w:p w14:paraId="09CDEED3">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（4）投标报价的大写金额能够确定具体数值。</w:t>
            </w:r>
          </w:p>
          <w:p w14:paraId="090B1A6F">
            <w:pPr>
              <w:keepNext w:val="0"/>
              <w:keepLines w:val="0"/>
              <w:pageBreakBefore w:val="0"/>
              <w:widowControl w:val="0"/>
              <w:tabs>
                <w:tab w:val="left" w:pos="756"/>
                <w:tab w:val="left" w:pos="1131"/>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rPr>
              <w:t>（5）同一投标人未提交两个以上不同的投标报价，但招标文件要求提交备选投标的除外。</w:t>
            </w:r>
          </w:p>
        </w:tc>
      </w:tr>
      <w:tr w14:paraId="47E76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4363A2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4"/>
                <w:rFonts w:hint="eastAsia" w:ascii="宋体" w:hAnsi="宋体" w:eastAsia="宋体" w:cs="宋体"/>
                <w:sz w:val="21"/>
                <w:szCs w:val="21"/>
                <w:highlight w:val="none"/>
              </w:rPr>
              <w:t>2.1.2</w:t>
            </w:r>
          </w:p>
        </w:tc>
        <w:tc>
          <w:tcPr>
            <w:tcW w:w="1527" w:type="dxa"/>
            <w:shd w:val="clear" w:color="auto" w:fill="auto"/>
            <w:vAlign w:val="center"/>
          </w:tcPr>
          <w:p w14:paraId="0A2170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w:t>
            </w:r>
          </w:p>
          <w:p w14:paraId="54C8F8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rPr>
              <w:t>评审标准</w:t>
            </w:r>
          </w:p>
        </w:tc>
        <w:tc>
          <w:tcPr>
            <w:tcW w:w="7076" w:type="dxa"/>
            <w:shd w:val="clear" w:color="auto" w:fill="auto"/>
          </w:tcPr>
          <w:p w14:paraId="2AEE36B0">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（1）投标人具备有效的营业执照、资质证书和基本账户开户证明材料。</w:t>
            </w:r>
          </w:p>
          <w:p w14:paraId="28C0E53B">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（2）投标人的资质等级符合招标文件规定。</w:t>
            </w:r>
          </w:p>
          <w:p w14:paraId="71C8726A">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（3）投标人的类似项目业绩符合招标文件规定。</w:t>
            </w:r>
          </w:p>
          <w:p w14:paraId="21810C40">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（4）投标人的信誉符合招标文件规定。</w:t>
            </w:r>
          </w:p>
          <w:p w14:paraId="43FD0E92">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（5）投标人的总监理工程师资格、在岗情况符合招标文件规定。</w:t>
            </w:r>
          </w:p>
          <w:p w14:paraId="4ED4BF15">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（6）投标人不存在第二章“投标人须知”第1.4.3项或第1.4.4项规定的任何一种情形。</w:t>
            </w:r>
          </w:p>
          <w:p w14:paraId="775BC527">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（7）投标人符合第二章“投标人须知”第1.4.5项规定。</w:t>
            </w:r>
            <w:r>
              <w:rPr>
                <w:rFonts w:hint="eastAsia" w:ascii="宋体" w:hAnsi="宋体" w:eastAsia="宋体" w:cs="宋体"/>
                <w:sz w:val="21"/>
                <w:szCs w:val="21"/>
                <w:highlight w:val="none"/>
                <w:vertAlign w:val="superscript"/>
              </w:rPr>
              <w:footnoteReference w:id="3"/>
            </w:r>
          </w:p>
          <w:p w14:paraId="60C37475">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（8）以联合体形式参与投标的，联合体各方均未再以自己名义单独或参加其他联合体在同一标段中投标。</w:t>
            </w:r>
          </w:p>
        </w:tc>
      </w:tr>
      <w:tr w14:paraId="22093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14D0E8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rPr>
              <w:t>2</w:t>
            </w:r>
            <w:r>
              <w:rPr>
                <w:rStyle w:val="35"/>
                <w:rFonts w:hint="eastAsia" w:ascii="宋体" w:hAnsi="宋体" w:eastAsia="宋体" w:cs="宋体"/>
                <w:sz w:val="21"/>
                <w:szCs w:val="21"/>
                <w:highlight w:val="none"/>
              </w:rPr>
              <w:t>.</w:t>
            </w:r>
            <w:r>
              <w:rPr>
                <w:rStyle w:val="33"/>
                <w:rFonts w:hint="eastAsia" w:ascii="宋体" w:hAnsi="宋体" w:eastAsia="宋体" w:cs="宋体"/>
                <w:sz w:val="21"/>
                <w:szCs w:val="21"/>
                <w:highlight w:val="none"/>
              </w:rPr>
              <w:t>2.1</w:t>
            </w:r>
          </w:p>
        </w:tc>
        <w:tc>
          <w:tcPr>
            <w:tcW w:w="1527" w:type="dxa"/>
            <w:shd w:val="clear" w:color="auto" w:fill="auto"/>
            <w:vAlign w:val="center"/>
          </w:tcPr>
          <w:p w14:paraId="33030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分值构成</w:t>
            </w:r>
          </w:p>
          <w:p w14:paraId="0B81B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(总100分）</w:t>
            </w:r>
          </w:p>
        </w:tc>
        <w:tc>
          <w:tcPr>
            <w:tcW w:w="7076" w:type="dxa"/>
            <w:shd w:val="clear" w:color="auto" w:fill="auto"/>
          </w:tcPr>
          <w:p w14:paraId="1CDF35A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bidi="en-US"/>
              </w:rPr>
              <w:t>第一个信封（商务及技术文件）评分分值构成：</w:t>
            </w:r>
          </w:p>
          <w:p w14:paraId="0E34E0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技术建议书：</w:t>
            </w:r>
            <w:r>
              <w:rPr>
                <w:rFonts w:hint="eastAsia" w:ascii="宋体" w:hAnsi="宋体" w:eastAsia="宋体" w:cs="宋体"/>
                <w:sz w:val="21"/>
                <w:szCs w:val="21"/>
                <w:highlight w:val="none"/>
                <w:u w:val="single"/>
                <w:lang w:bidi="en-US"/>
              </w:rPr>
              <w:t xml:space="preserve"> 35 </w:t>
            </w:r>
            <w:r>
              <w:rPr>
                <w:rFonts w:hint="eastAsia" w:ascii="宋体" w:hAnsi="宋体" w:eastAsia="宋体" w:cs="宋体"/>
                <w:sz w:val="21"/>
                <w:szCs w:val="21"/>
                <w:highlight w:val="none"/>
                <w:lang w:bidi="en-US"/>
              </w:rPr>
              <w:t>分</w:t>
            </w:r>
          </w:p>
          <w:p w14:paraId="571E1D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主要人员：</w:t>
            </w:r>
            <w:r>
              <w:rPr>
                <w:rFonts w:hint="eastAsia" w:ascii="宋体" w:hAnsi="宋体" w:eastAsia="宋体" w:cs="宋体"/>
                <w:sz w:val="21"/>
                <w:szCs w:val="21"/>
                <w:highlight w:val="none"/>
                <w:u w:val="single"/>
                <w:lang w:bidi="en-US"/>
              </w:rPr>
              <w:t xml:space="preserve"> 25 </w:t>
            </w:r>
            <w:r>
              <w:rPr>
                <w:rFonts w:hint="eastAsia" w:ascii="宋体" w:hAnsi="宋体" w:eastAsia="宋体" w:cs="宋体"/>
                <w:sz w:val="21"/>
                <w:szCs w:val="21"/>
                <w:highlight w:val="none"/>
                <w:lang w:bidi="en-US"/>
              </w:rPr>
              <w:t>分</w:t>
            </w:r>
          </w:p>
          <w:p w14:paraId="536069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业绩：</w:t>
            </w:r>
            <w:r>
              <w:rPr>
                <w:rFonts w:hint="eastAsia" w:ascii="宋体" w:hAnsi="宋体" w:eastAsia="宋体" w:cs="宋体"/>
                <w:sz w:val="21"/>
                <w:szCs w:val="21"/>
                <w:highlight w:val="none"/>
                <w:u w:val="single"/>
                <w:lang w:bidi="en-US"/>
              </w:rPr>
              <w:t xml:space="preserve"> 20 </w:t>
            </w:r>
            <w:r>
              <w:rPr>
                <w:rFonts w:hint="eastAsia" w:ascii="宋体" w:hAnsi="宋体" w:eastAsia="宋体" w:cs="宋体"/>
                <w:sz w:val="21"/>
                <w:szCs w:val="21"/>
                <w:highlight w:val="none"/>
                <w:lang w:bidi="en-US"/>
              </w:rPr>
              <w:t>分</w:t>
            </w:r>
          </w:p>
          <w:p w14:paraId="4D5F85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履约信誉：</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p w14:paraId="2165C8B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en-US"/>
              </w:rPr>
            </w:pPr>
            <w:r>
              <w:rPr>
                <w:rFonts w:hint="eastAsia" w:ascii="宋体" w:hAnsi="宋体" w:eastAsia="宋体" w:cs="宋体"/>
                <w:b/>
                <w:sz w:val="21"/>
                <w:szCs w:val="21"/>
                <w:highlight w:val="none"/>
                <w:lang w:bidi="en-US"/>
              </w:rPr>
              <w:t>第二个信封（报价文件）评分分值构成：</w:t>
            </w:r>
          </w:p>
          <w:p w14:paraId="2F4A695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评标价：</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tc>
      </w:tr>
      <w:tr w14:paraId="3BA75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200BFB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rPr>
              <w:t>2</w:t>
            </w:r>
            <w:r>
              <w:rPr>
                <w:rStyle w:val="35"/>
                <w:rFonts w:hint="eastAsia" w:ascii="宋体" w:hAnsi="宋体" w:eastAsia="宋体" w:cs="宋体"/>
                <w:sz w:val="21"/>
                <w:szCs w:val="21"/>
                <w:highlight w:val="none"/>
              </w:rPr>
              <w:t>.</w:t>
            </w:r>
            <w:r>
              <w:rPr>
                <w:rStyle w:val="33"/>
                <w:rFonts w:hint="eastAsia" w:ascii="宋体" w:hAnsi="宋体" w:eastAsia="宋体" w:cs="宋体"/>
                <w:sz w:val="21"/>
                <w:szCs w:val="21"/>
                <w:highlight w:val="none"/>
              </w:rPr>
              <w:t>2.2</w:t>
            </w:r>
          </w:p>
        </w:tc>
        <w:tc>
          <w:tcPr>
            <w:tcW w:w="1527" w:type="dxa"/>
            <w:shd w:val="clear" w:color="auto" w:fill="auto"/>
            <w:vAlign w:val="center"/>
          </w:tcPr>
          <w:p w14:paraId="35D303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7076" w:type="dxa"/>
            <w:shd w:val="clear" w:color="auto" w:fill="auto"/>
          </w:tcPr>
          <w:p w14:paraId="16352DDA">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0A88EF27">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1956FE9D">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33A6A0AD">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1744C5D3">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0C99FA3B">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w:t>
            </w:r>
            <w:r>
              <w:rPr>
                <w:rFonts w:hint="eastAsia" w:ascii="宋体" w:hAnsi="宋体" w:eastAsia="宋体" w:cs="宋体"/>
                <w:sz w:val="21"/>
                <w:szCs w:val="21"/>
                <w:highlight w:val="none"/>
              </w:rPr>
              <w:t>4</w:t>
            </w:r>
            <w:r>
              <w:rPr>
                <w:rFonts w:hint="eastAsia" w:ascii="宋体" w:hAnsi="宋体" w:eastAsia="宋体" w:cs="宋体"/>
                <w:sz w:val="21"/>
                <w:szCs w:val="21"/>
                <w:highlight w:val="none"/>
              </w:rPr>
              <w:t>项规定开标现场被宣布为</w:t>
            </w:r>
            <w:r>
              <w:rPr>
                <w:rFonts w:hint="eastAsia" w:ascii="宋体" w:hAnsi="宋体" w:eastAsia="宋体" w:cs="宋体"/>
                <w:sz w:val="21"/>
                <w:szCs w:val="21"/>
                <w:highlight w:val="none"/>
              </w:rPr>
              <w:t>不参与评标基准价计算</w:t>
            </w:r>
            <w:r>
              <w:rPr>
                <w:rFonts w:hint="eastAsia" w:ascii="宋体" w:hAnsi="宋体" w:eastAsia="宋体" w:cs="宋体"/>
                <w:sz w:val="21"/>
                <w:szCs w:val="21"/>
                <w:highlight w:val="none"/>
              </w:rPr>
              <w:t>的投标报价之外，</w:t>
            </w:r>
            <w:r>
              <w:rPr>
                <w:rFonts w:hint="eastAsia" w:ascii="宋体" w:hAnsi="宋体" w:eastAsia="宋体" w:cs="宋体"/>
                <w:sz w:val="21"/>
                <w:szCs w:val="21"/>
                <w:highlight w:val="none"/>
              </w:rPr>
              <w:t>所有投标人的评标价去掉一个最高值和一个最低值后的算术平均值即为评标价平均值</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rPr>
              <w:t>如</w:t>
            </w:r>
            <w:r>
              <w:rPr>
                <w:rFonts w:hint="eastAsia" w:ascii="宋体" w:hAnsi="宋体" w:eastAsia="宋体" w:cs="宋体"/>
                <w:bCs/>
                <w:sz w:val="21"/>
                <w:szCs w:val="21"/>
                <w:highlight w:val="none"/>
              </w:rPr>
              <w:t>果参与评标价平均值计算的有效投标人少于5家时</w:t>
            </w:r>
            <w:r>
              <w:rPr>
                <w:rFonts w:hint="eastAsia" w:ascii="宋体" w:hAnsi="宋体" w:eastAsia="宋体" w:cs="宋体"/>
                <w:bCs/>
                <w:sz w:val="21"/>
                <w:szCs w:val="21"/>
                <w:highlight w:val="none"/>
              </w:rPr>
              <w:t>，则</w:t>
            </w:r>
            <w:r>
              <w:rPr>
                <w:rFonts w:hint="eastAsia" w:ascii="宋体" w:hAnsi="宋体" w:eastAsia="宋体" w:cs="宋体"/>
                <w:bCs/>
                <w:sz w:val="21"/>
                <w:szCs w:val="21"/>
                <w:highlight w:val="none"/>
              </w:rPr>
              <w:t>计算评标价平均值时</w:t>
            </w:r>
            <w:r>
              <w:rPr>
                <w:rFonts w:hint="eastAsia" w:ascii="宋体" w:hAnsi="宋体" w:eastAsia="宋体" w:cs="宋体"/>
                <w:bCs/>
                <w:sz w:val="21"/>
                <w:szCs w:val="21"/>
                <w:highlight w:val="none"/>
              </w:rPr>
              <w:t>不去掉</w:t>
            </w:r>
            <w:r>
              <w:rPr>
                <w:rFonts w:hint="eastAsia" w:ascii="宋体" w:hAnsi="宋体" w:eastAsia="宋体" w:cs="宋体"/>
                <w:bCs/>
                <w:sz w:val="21"/>
                <w:szCs w:val="21"/>
                <w:highlight w:val="none"/>
              </w:rPr>
              <w:t>最高值和最低值），评标价平均值的计算保留整数，小数点后第1位“四舍五入”。</w:t>
            </w:r>
          </w:p>
          <w:p w14:paraId="05D7D9B3">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B06EB4D">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3E9A5799">
            <w:pPr>
              <w:keepNext w:val="0"/>
              <w:keepLines w:val="0"/>
              <w:pageBreakBefore w:val="0"/>
              <w:widowControl w:val="0"/>
              <w:kinsoku/>
              <w:wordWrap/>
              <w:overflowPunct/>
              <w:topLinePunct w:val="0"/>
              <w:autoSpaceDE/>
              <w:autoSpaceDN/>
              <w:bidi w:val="0"/>
              <w:adjustRightInd/>
              <w:snapToGrid/>
              <w:spacing w:line="360" w:lineRule="exact"/>
              <w:ind w:firstLine="455" w:firstLineChars="21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在评标过程中，评标委员会应对计算的评标基准价进行复核，存在计算错误的应予以修正并在评标报告中作出说明。除此之外，评标基准价在整个评标期间保持不变，不随任何因素发生变化。</w:t>
            </w:r>
          </w:p>
        </w:tc>
      </w:tr>
      <w:tr w14:paraId="04058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7D7F5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lang w:eastAsia="zh-CN" w:bidi="ar-SA"/>
              </w:rPr>
              <w:t>2.2.3</w:t>
            </w:r>
          </w:p>
        </w:tc>
        <w:tc>
          <w:tcPr>
            <w:tcW w:w="1527" w:type="dxa"/>
            <w:shd w:val="clear" w:color="auto" w:fill="auto"/>
            <w:vAlign w:val="center"/>
          </w:tcPr>
          <w:p w14:paraId="44392A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7076" w:type="dxa"/>
            <w:shd w:val="clear" w:color="auto" w:fill="auto"/>
          </w:tcPr>
          <w:p w14:paraId="27ABF6EF">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偏差率=100%</w:t>
            </w:r>
            <w:r>
              <w:rPr>
                <w:rFonts w:hint="eastAsia" w:ascii="宋体" w:hAnsi="宋体" w:eastAsia="宋体" w:cs="宋体"/>
                <w:sz w:val="21"/>
                <w:szCs w:val="21"/>
                <w:highlight w:val="none"/>
              </w:rPr>
              <w:t>×</w:t>
            </w:r>
            <w:r>
              <w:rPr>
                <w:rFonts w:hint="eastAsia" w:ascii="宋体" w:hAnsi="宋体" w:eastAsia="宋体" w:cs="宋体"/>
                <w:sz w:val="21"/>
                <w:szCs w:val="21"/>
                <w:highlight w:val="none"/>
              </w:rPr>
              <w:t>(投标人评标价</w:t>
            </w:r>
            <w:r>
              <w:rPr>
                <w:rFonts w:hint="eastAsia" w:ascii="宋体" w:hAnsi="宋体" w:eastAsia="宋体" w:cs="宋体"/>
                <w:sz w:val="21"/>
                <w:szCs w:val="21"/>
                <w:highlight w:val="none"/>
              </w:rPr>
              <w:t>-</w:t>
            </w:r>
            <w:r>
              <w:rPr>
                <w:rFonts w:hint="eastAsia" w:ascii="宋体" w:hAnsi="宋体" w:eastAsia="宋体" w:cs="宋体"/>
                <w:sz w:val="21"/>
                <w:szCs w:val="21"/>
                <w:highlight w:val="none"/>
              </w:rPr>
              <w:t>评标基准价）/评标基准价</w:t>
            </w:r>
          </w:p>
          <w:p w14:paraId="7509CA33">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偏差率保留</w:t>
            </w:r>
            <w:r>
              <w:rPr>
                <w:rFonts w:hint="eastAsia" w:ascii="宋体" w:hAnsi="宋体" w:eastAsia="宋体" w:cs="宋体"/>
                <w:sz w:val="21"/>
                <w:szCs w:val="21"/>
                <w:highlight w:val="none"/>
              </w:rPr>
              <w:t>2</w:t>
            </w:r>
            <w:r>
              <w:rPr>
                <w:rFonts w:hint="eastAsia" w:ascii="宋体" w:hAnsi="宋体" w:eastAsia="宋体" w:cs="宋体"/>
                <w:sz w:val="21"/>
                <w:szCs w:val="21"/>
                <w:highlight w:val="none"/>
              </w:rPr>
              <w:t>位小数</w:t>
            </w:r>
          </w:p>
        </w:tc>
      </w:tr>
    </w:tbl>
    <w:p w14:paraId="038F09EC">
      <w:pPr>
        <w:keepLines w:val="0"/>
        <w:kinsoku/>
        <w:wordWrap/>
        <w:overflowPunct/>
        <w:topLinePunct w:val="0"/>
        <w:bidi w:val="0"/>
        <w:spacing w:line="360" w:lineRule="exact"/>
        <w:jc w:val="right"/>
        <w:textAlignment w:val="auto"/>
        <w:rPr>
          <w:rFonts w:hint="eastAsia" w:ascii="宋体" w:hAnsi="宋体" w:eastAsia="宋体" w:cs="宋体"/>
          <w:sz w:val="21"/>
          <w:szCs w:val="21"/>
          <w:highlight w:val="none"/>
        </w:rPr>
      </w:pPr>
    </w:p>
    <w:p w14:paraId="36ECD696">
      <w:pPr>
        <w:keepLines w:val="0"/>
        <w:kinsoku/>
        <w:wordWrap/>
        <w:overflowPunct/>
        <w:topLinePunct w:val="0"/>
        <w:bidi w:val="0"/>
        <w:spacing w:line="360" w:lineRule="exact"/>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续上表</w:t>
      </w:r>
    </w:p>
    <w:tbl>
      <w:tblPr>
        <w:tblStyle w:val="11"/>
        <w:tblW w:w="96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749"/>
        <w:gridCol w:w="676"/>
        <w:gridCol w:w="1110"/>
        <w:gridCol w:w="1905"/>
        <w:gridCol w:w="945"/>
        <w:gridCol w:w="3152"/>
      </w:tblGrid>
      <w:tr w14:paraId="3FDF1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54" w:type="dxa"/>
            <w:gridSpan w:val="6"/>
            <w:shd w:val="clear" w:color="auto" w:fill="auto"/>
            <w:vAlign w:val="center"/>
          </w:tcPr>
          <w:p w14:paraId="5EFB92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评分因素与权重分值</w:t>
            </w:r>
            <w:r>
              <w:rPr>
                <w:rStyle w:val="13"/>
                <w:rFonts w:hint="eastAsia" w:ascii="宋体" w:hAnsi="宋体" w:eastAsia="宋体" w:cs="宋体"/>
                <w:color w:val="auto"/>
                <w:sz w:val="21"/>
                <w:szCs w:val="21"/>
                <w:highlight w:val="none"/>
              </w:rPr>
              <w:footnoteReference w:id="4"/>
            </w:r>
          </w:p>
        </w:tc>
        <w:tc>
          <w:tcPr>
            <w:tcW w:w="3152" w:type="dxa"/>
            <w:vMerge w:val="restart"/>
            <w:shd w:val="clear" w:color="auto" w:fill="auto"/>
            <w:vAlign w:val="center"/>
          </w:tcPr>
          <w:p w14:paraId="1D4899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3B3FC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69" w:type="dxa"/>
            <w:shd w:val="clear" w:color="auto" w:fill="auto"/>
            <w:vAlign w:val="center"/>
          </w:tcPr>
          <w:p w14:paraId="0A3D39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25" w:type="dxa"/>
            <w:gridSpan w:val="2"/>
            <w:shd w:val="clear" w:color="auto" w:fill="auto"/>
            <w:vAlign w:val="center"/>
          </w:tcPr>
          <w:p w14:paraId="0B28D8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1110" w:type="dxa"/>
            <w:shd w:val="clear" w:color="auto" w:fill="auto"/>
            <w:vAlign w:val="center"/>
          </w:tcPr>
          <w:p w14:paraId="069E7B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评分因素权重分值</w:t>
            </w:r>
          </w:p>
        </w:tc>
        <w:tc>
          <w:tcPr>
            <w:tcW w:w="1905" w:type="dxa"/>
            <w:shd w:val="clear" w:color="auto" w:fill="auto"/>
            <w:vAlign w:val="center"/>
          </w:tcPr>
          <w:p w14:paraId="30C7B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各评分因素细分项</w:t>
            </w:r>
          </w:p>
        </w:tc>
        <w:tc>
          <w:tcPr>
            <w:tcW w:w="945" w:type="dxa"/>
            <w:shd w:val="clear" w:color="auto" w:fill="auto"/>
            <w:vAlign w:val="center"/>
          </w:tcPr>
          <w:p w14:paraId="269B9F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152" w:type="dxa"/>
            <w:vMerge w:val="continue"/>
            <w:shd w:val="clear" w:color="auto" w:fill="auto"/>
          </w:tcPr>
          <w:p w14:paraId="49C11C5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B667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0791E81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1425" w:type="dxa"/>
            <w:gridSpan w:val="2"/>
            <w:vMerge w:val="restart"/>
            <w:shd w:val="clear" w:color="auto" w:fill="auto"/>
            <w:vAlign w:val="center"/>
          </w:tcPr>
          <w:p w14:paraId="1E31CC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技术建议书</w:t>
            </w:r>
          </w:p>
        </w:tc>
        <w:tc>
          <w:tcPr>
            <w:tcW w:w="1110" w:type="dxa"/>
            <w:vMerge w:val="restart"/>
            <w:shd w:val="clear" w:color="auto" w:fill="auto"/>
            <w:vAlign w:val="center"/>
          </w:tcPr>
          <w:p w14:paraId="1F8923D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35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0E73C7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监理大纲（或监理方案）和措施</w:t>
            </w:r>
          </w:p>
        </w:tc>
        <w:tc>
          <w:tcPr>
            <w:tcW w:w="945" w:type="dxa"/>
            <w:vMerge w:val="restart"/>
            <w:shd w:val="clear" w:color="auto" w:fill="auto"/>
            <w:vAlign w:val="center"/>
          </w:tcPr>
          <w:p w14:paraId="72B2109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3152" w:type="dxa"/>
            <w:shd w:val="clear" w:color="auto" w:fill="auto"/>
            <w:vAlign w:val="center"/>
          </w:tcPr>
          <w:p w14:paraId="095BCE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12～15分</w:t>
            </w:r>
          </w:p>
        </w:tc>
      </w:tr>
      <w:tr w14:paraId="6C352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63D5C17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76FD412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6AD0E6F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3E138A0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5945451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543D19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15～20分</w:t>
            </w:r>
          </w:p>
        </w:tc>
      </w:tr>
      <w:tr w14:paraId="15ECD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3BC938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5B800A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3801749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7C0EF79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本工程监理工作的重点与难点</w:t>
            </w:r>
            <w:r>
              <w:rPr>
                <w:rFonts w:hint="eastAsia" w:ascii="宋体" w:hAnsi="宋体" w:eastAsia="宋体" w:cs="宋体"/>
                <w:color w:val="auto"/>
                <w:sz w:val="21"/>
                <w:szCs w:val="21"/>
                <w:highlight w:val="none"/>
                <w:lang w:bidi="en-US"/>
              </w:rPr>
              <w:t>分析</w:t>
            </w:r>
          </w:p>
        </w:tc>
        <w:tc>
          <w:tcPr>
            <w:tcW w:w="945" w:type="dxa"/>
            <w:vMerge w:val="restart"/>
            <w:shd w:val="clear" w:color="auto" w:fill="auto"/>
            <w:vAlign w:val="center"/>
          </w:tcPr>
          <w:p w14:paraId="55A64F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239ECF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6～8分</w:t>
            </w:r>
          </w:p>
        </w:tc>
      </w:tr>
      <w:tr w14:paraId="75FC2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C260E1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3A748C7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343A615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7306B02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7C7166B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110A22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8～10分</w:t>
            </w:r>
          </w:p>
        </w:tc>
      </w:tr>
      <w:tr w14:paraId="6900C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6C434D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172F766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70F58EB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5DF5F9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对本工程的建议</w:t>
            </w:r>
          </w:p>
        </w:tc>
        <w:tc>
          <w:tcPr>
            <w:tcW w:w="945" w:type="dxa"/>
            <w:vMerge w:val="restart"/>
            <w:shd w:val="clear" w:color="auto" w:fill="auto"/>
            <w:vAlign w:val="center"/>
          </w:tcPr>
          <w:p w14:paraId="2C703A3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分</w:t>
            </w:r>
          </w:p>
        </w:tc>
        <w:tc>
          <w:tcPr>
            <w:tcW w:w="3152" w:type="dxa"/>
            <w:shd w:val="clear" w:color="auto" w:fill="auto"/>
            <w:vAlign w:val="center"/>
          </w:tcPr>
          <w:p w14:paraId="04EA60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3～4分</w:t>
            </w:r>
          </w:p>
        </w:tc>
      </w:tr>
      <w:tr w14:paraId="71924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58534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16F4793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5543F1B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4AA092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shd w:val="clear" w:color="auto" w:fill="auto"/>
            <w:vAlign w:val="center"/>
          </w:tcPr>
          <w:p w14:paraId="21B610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152" w:type="dxa"/>
            <w:shd w:val="clear" w:color="auto" w:fill="auto"/>
            <w:vAlign w:val="center"/>
          </w:tcPr>
          <w:p w14:paraId="3D5F91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4～5分</w:t>
            </w:r>
          </w:p>
        </w:tc>
      </w:tr>
      <w:tr w14:paraId="62318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63E2C17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1425" w:type="dxa"/>
            <w:gridSpan w:val="2"/>
            <w:vMerge w:val="restart"/>
            <w:shd w:val="clear" w:color="auto" w:fill="auto"/>
            <w:vAlign w:val="center"/>
          </w:tcPr>
          <w:p w14:paraId="78CE05C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1110" w:type="dxa"/>
            <w:vMerge w:val="restart"/>
            <w:shd w:val="clear" w:color="auto" w:fill="auto"/>
            <w:vAlign w:val="center"/>
          </w:tcPr>
          <w:p w14:paraId="0A7139E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0AB5F34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总监理工程师</w:t>
            </w:r>
            <w:r>
              <w:rPr>
                <w:rFonts w:hint="eastAsia" w:ascii="宋体" w:hAnsi="宋体" w:eastAsia="宋体" w:cs="宋体"/>
                <w:color w:val="auto"/>
                <w:sz w:val="21"/>
                <w:szCs w:val="21"/>
                <w:highlight w:val="none"/>
                <w:lang w:bidi="en-US"/>
              </w:rPr>
              <w:br w:type="textWrapping"/>
            </w:r>
            <w:r>
              <w:rPr>
                <w:rFonts w:hint="eastAsia" w:ascii="宋体" w:hAnsi="宋体" w:eastAsia="宋体" w:cs="宋体"/>
                <w:color w:val="auto"/>
                <w:sz w:val="21"/>
                <w:szCs w:val="21"/>
                <w:highlight w:val="none"/>
                <w:lang w:bidi="en-US"/>
              </w:rPr>
              <w:t>任职资格与业绩</w:t>
            </w:r>
          </w:p>
        </w:tc>
        <w:tc>
          <w:tcPr>
            <w:tcW w:w="945" w:type="dxa"/>
            <w:shd w:val="clear" w:color="auto" w:fill="auto"/>
            <w:vAlign w:val="center"/>
          </w:tcPr>
          <w:p w14:paraId="57DF991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sz w:val="21"/>
                <w:szCs w:val="21"/>
                <w:highlight w:val="none"/>
              </w:rPr>
              <w:t>分</w:t>
            </w:r>
          </w:p>
        </w:tc>
        <w:tc>
          <w:tcPr>
            <w:tcW w:w="3152" w:type="dxa"/>
            <w:shd w:val="clear" w:color="auto" w:fill="auto"/>
            <w:vAlign w:val="center"/>
          </w:tcPr>
          <w:p w14:paraId="5F2E130F">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w:t>
            </w:r>
            <w:r>
              <w:rPr>
                <w:rFonts w:hint="eastAsia" w:ascii="宋体" w:hAnsi="宋体" w:eastAsia="宋体" w:cs="宋体"/>
                <w:color w:val="auto"/>
                <w:sz w:val="21"/>
                <w:szCs w:val="21"/>
                <w:highlight w:val="none"/>
              </w:rPr>
              <w:t>最低要求得</w:t>
            </w:r>
            <w:r>
              <w:rPr>
                <w:rFonts w:hint="eastAsia" w:ascii="宋体" w:hAnsi="宋体" w:eastAsia="宋体" w:cs="宋体"/>
                <w:color w:val="auto"/>
                <w:sz w:val="21"/>
                <w:szCs w:val="21"/>
                <w:highlight w:val="none"/>
              </w:rPr>
              <w:t>15分</w:t>
            </w:r>
          </w:p>
        </w:tc>
      </w:tr>
      <w:tr w14:paraId="7E0D4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1ABABE7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0CFC109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25B9451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tcPr>
          <w:p w14:paraId="1C4524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bidi="en-US"/>
              </w:rPr>
            </w:pPr>
          </w:p>
        </w:tc>
        <w:tc>
          <w:tcPr>
            <w:tcW w:w="945" w:type="dxa"/>
            <w:shd w:val="clear" w:color="auto" w:fill="auto"/>
            <w:vAlign w:val="center"/>
          </w:tcPr>
          <w:p w14:paraId="4986E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2CB5DA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rPr>
              <w:t>1项</w:t>
            </w:r>
            <w:r>
              <w:rPr>
                <w:rFonts w:hint="eastAsia" w:ascii="宋体" w:hAnsi="宋体" w:eastAsia="宋体" w:cs="宋体"/>
                <w:color w:val="auto"/>
                <w:sz w:val="21"/>
                <w:szCs w:val="21"/>
                <w:highlight w:val="none"/>
                <w:lang w:val="en-US" w:eastAsia="zh-CN"/>
              </w:rPr>
              <w:t>二级（含）以上</w:t>
            </w:r>
            <w:r>
              <w:rPr>
                <w:rFonts w:hint="eastAsia" w:ascii="宋体" w:hAnsi="宋体" w:eastAsia="宋体" w:cs="宋体"/>
                <w:color w:val="auto"/>
                <w:sz w:val="21"/>
                <w:szCs w:val="21"/>
                <w:highlight w:val="none"/>
              </w:rPr>
              <w:t>公路</w:t>
            </w:r>
            <w:r>
              <w:rPr>
                <w:rFonts w:hint="eastAsia" w:ascii="宋体" w:hAnsi="宋体" w:eastAsia="宋体" w:cs="宋体"/>
                <w:color w:val="auto"/>
                <w:sz w:val="21"/>
                <w:szCs w:val="21"/>
                <w:highlight w:val="none"/>
              </w:rPr>
              <w:t>工程的总监理工程师或副总监理工程师或驻地监理工程师或专业监理工程师任职经历加</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分，最多加10分。</w:t>
            </w:r>
          </w:p>
        </w:tc>
      </w:tr>
      <w:tr w14:paraId="43518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shd w:val="clear" w:color="auto" w:fill="auto"/>
            <w:vAlign w:val="center"/>
          </w:tcPr>
          <w:p w14:paraId="50993B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1425" w:type="dxa"/>
            <w:gridSpan w:val="2"/>
            <w:shd w:val="clear" w:color="auto" w:fill="auto"/>
            <w:vAlign w:val="center"/>
          </w:tcPr>
          <w:p w14:paraId="5B4CAD8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w:t>
            </w:r>
          </w:p>
        </w:tc>
        <w:tc>
          <w:tcPr>
            <w:tcW w:w="1110" w:type="dxa"/>
            <w:shd w:val="clear" w:color="auto" w:fill="auto"/>
            <w:vAlign w:val="center"/>
          </w:tcPr>
          <w:p w14:paraId="2C79DF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6002" w:type="dxa"/>
            <w:gridSpan w:val="3"/>
            <w:shd w:val="clear" w:color="auto" w:fill="auto"/>
          </w:tcPr>
          <w:p w14:paraId="57592683">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评标价得分计算公式示例：</w:t>
            </w:r>
          </w:p>
          <w:p w14:paraId="2A2E2684">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（1）如果投标人的评标价&gt;评标基准价，则评标价得分＝F－偏差率×100×E1；</w:t>
            </w:r>
          </w:p>
          <w:p w14:paraId="0934E509">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（2）如果投标人的评标价≤评标基准价，则评标价得分＝F＋偏差率×100×E2。</w:t>
            </w:r>
          </w:p>
          <w:p w14:paraId="3E3205F0">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式中：F=10，E1=0.2，E2=0.1。</w:t>
            </w:r>
          </w:p>
          <w:p w14:paraId="770DC8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其中：F是评标价所占的权重分值，E1是评标价每高于评标基准价一个百分点的扣分值，E2是评标价每低于评标基准价一个百分点的扣分值。评标价得分保留两位小数，小数点后第三位“四舍五入”。</w:t>
            </w:r>
          </w:p>
        </w:tc>
      </w:tr>
      <w:tr w14:paraId="64A64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0B5EB2F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2.2.4（4）</w:t>
            </w:r>
          </w:p>
        </w:tc>
        <w:tc>
          <w:tcPr>
            <w:tcW w:w="749" w:type="dxa"/>
            <w:vMerge w:val="restart"/>
            <w:shd w:val="clear" w:color="auto" w:fill="auto"/>
            <w:vAlign w:val="center"/>
          </w:tcPr>
          <w:p w14:paraId="034280E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751DCF2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c>
          <w:tcPr>
            <w:tcW w:w="676" w:type="dxa"/>
            <w:vMerge w:val="restart"/>
            <w:shd w:val="clear" w:color="auto" w:fill="auto"/>
            <w:vAlign w:val="center"/>
          </w:tcPr>
          <w:p w14:paraId="3194949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1110" w:type="dxa"/>
            <w:vMerge w:val="restart"/>
            <w:shd w:val="clear" w:color="auto" w:fill="auto"/>
            <w:vAlign w:val="center"/>
          </w:tcPr>
          <w:p w14:paraId="63F414D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01EF12E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监理过的项目</w:t>
            </w:r>
          </w:p>
        </w:tc>
        <w:tc>
          <w:tcPr>
            <w:tcW w:w="945" w:type="dxa"/>
            <w:shd w:val="clear" w:color="auto" w:fill="auto"/>
            <w:vAlign w:val="center"/>
          </w:tcPr>
          <w:p w14:paraId="340566A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分</w:t>
            </w:r>
          </w:p>
        </w:tc>
        <w:tc>
          <w:tcPr>
            <w:tcW w:w="3152" w:type="dxa"/>
            <w:shd w:val="clear" w:color="auto" w:fill="auto"/>
            <w:vAlign w:val="center"/>
          </w:tcPr>
          <w:p w14:paraId="4874DA8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投标人通过初步评审得12分。</w:t>
            </w:r>
          </w:p>
        </w:tc>
      </w:tr>
      <w:tr w14:paraId="73B88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26874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37DDD30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525CCF8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68C0BBB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tcPr>
          <w:p w14:paraId="5A2153C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5997CA7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8 </w:t>
            </w:r>
            <w:r>
              <w:rPr>
                <w:rFonts w:hint="eastAsia" w:ascii="宋体" w:hAnsi="宋体" w:eastAsia="宋体" w:cs="宋体"/>
                <w:color w:val="auto"/>
                <w:sz w:val="21"/>
                <w:szCs w:val="21"/>
                <w:highlight w:val="none"/>
              </w:rPr>
              <w:t>分</w:t>
            </w:r>
          </w:p>
        </w:tc>
        <w:tc>
          <w:tcPr>
            <w:tcW w:w="3152" w:type="dxa"/>
            <w:shd w:val="clear" w:color="auto" w:fill="auto"/>
            <w:vAlign w:val="center"/>
          </w:tcPr>
          <w:p w14:paraId="654179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sz w:val="21"/>
                <w:szCs w:val="21"/>
                <w:highlight w:val="none"/>
              </w:rPr>
              <w:t>完成过</w:t>
            </w:r>
            <w:r>
              <w:rPr>
                <w:rFonts w:hint="eastAsia" w:ascii="宋体" w:hAnsi="宋体" w:eastAsia="宋体" w:cs="宋体"/>
                <w:color w:val="auto"/>
                <w:sz w:val="21"/>
                <w:szCs w:val="21"/>
                <w:highlight w:val="none"/>
              </w:rPr>
              <w:t>1座二级（含）以上公路桥梁新、改扩建工程或危桥改造工程施工监理</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加</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分，最多加8分。</w:t>
            </w:r>
          </w:p>
          <w:p w14:paraId="5768B1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以联合体形式投标的，只计算联合体牵头人业绩。</w:t>
            </w:r>
          </w:p>
        </w:tc>
      </w:tr>
      <w:tr w14:paraId="44C25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6B45785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3A32354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restart"/>
            <w:shd w:val="clear" w:color="auto" w:fill="auto"/>
            <w:vAlign w:val="center"/>
          </w:tcPr>
          <w:p w14:paraId="1098C0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履约信誉</w:t>
            </w:r>
          </w:p>
        </w:tc>
        <w:tc>
          <w:tcPr>
            <w:tcW w:w="1110" w:type="dxa"/>
            <w:vMerge w:val="restart"/>
            <w:shd w:val="clear" w:color="auto" w:fill="auto"/>
            <w:vAlign w:val="center"/>
          </w:tcPr>
          <w:p w14:paraId="23317C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1B17A6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p>
        </w:tc>
        <w:tc>
          <w:tcPr>
            <w:tcW w:w="945" w:type="dxa"/>
            <w:shd w:val="clear" w:color="auto" w:fill="auto"/>
            <w:vAlign w:val="center"/>
          </w:tcPr>
          <w:p w14:paraId="08FAFA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56135D39">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AA</w:t>
            </w:r>
          </w:p>
        </w:tc>
      </w:tr>
      <w:tr w14:paraId="29DE6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BC33EA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1172353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0293B04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2DFF0F0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7FBC971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1CF9331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4CB5E5EE">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A</w:t>
            </w:r>
          </w:p>
        </w:tc>
      </w:tr>
      <w:tr w14:paraId="56E8D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35413D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6CD07F8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6CBC5B2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15AD007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4A6E4DF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24462D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48222DE7">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B</w:t>
            </w:r>
          </w:p>
        </w:tc>
      </w:tr>
      <w:tr w14:paraId="378A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43D4BE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694B3C5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4CCB381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A8DAB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6836FE1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70E0450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02C31ACE">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C</w:t>
            </w:r>
          </w:p>
        </w:tc>
      </w:tr>
      <w:tr w14:paraId="24C7C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5D414E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533BF23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2E598A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C2328D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61EDD78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4696FF5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25D7FAA6">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val="en-US" w:eastAsia="zh-CN"/>
              </w:rPr>
              <w:t>D</w:t>
            </w:r>
          </w:p>
        </w:tc>
      </w:tr>
      <w:tr w14:paraId="4F97A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209E6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12C329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0AD8F2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112" w:type="dxa"/>
            <w:gridSpan w:val="4"/>
            <w:shd w:val="clear" w:color="auto" w:fill="auto"/>
            <w:vAlign w:val="center"/>
          </w:tcPr>
          <w:p w14:paraId="0F8FACF2">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信用评价等级</w:t>
            </w:r>
            <w:r>
              <w:rPr>
                <w:rFonts w:hint="eastAsia" w:ascii="宋体" w:hAnsi="宋体" w:eastAsia="宋体" w:cs="宋体"/>
                <w:color w:val="auto"/>
                <w:sz w:val="21"/>
                <w:szCs w:val="21"/>
                <w:highlight w:val="none"/>
              </w:rPr>
              <w:t>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03D0FF8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（1）吉林省交通运输厅发布的“吉林省2024年度公路建设市场省级信用评价结果的通告</w:t>
            </w:r>
            <w:r>
              <w:rPr>
                <w:rFonts w:hint="eastAsia" w:ascii="宋体" w:hAnsi="宋体" w:eastAsia="宋体" w:cs="宋体"/>
                <w:color w:val="auto"/>
                <w:kern w:val="0"/>
                <w:sz w:val="21"/>
                <w:szCs w:val="21"/>
                <w:highlight w:val="none"/>
              </w:rPr>
              <w:t>”中投标人的信用等级；</w:t>
            </w:r>
          </w:p>
          <w:p w14:paraId="6F1090E2">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（2）交通运输部“全国公路建设市场监督管理系统”中“全国公路从业单位信用评价结果”投标人的202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度监理企业</w:t>
            </w:r>
            <w:r>
              <w:rPr>
                <w:rFonts w:hint="eastAsia" w:ascii="宋体" w:hAnsi="宋体" w:eastAsia="宋体" w:cs="宋体"/>
                <w:color w:val="auto"/>
                <w:sz w:val="21"/>
                <w:szCs w:val="21"/>
                <w:highlight w:val="none"/>
              </w:rPr>
              <w:t>信用等级；</w:t>
            </w:r>
          </w:p>
          <w:p w14:paraId="3BD1ED21">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（3）企业无上述信用评价的，若未列入交通运输部“全国公路建设市场监督管理系统”中“不良信用记录”的，按A级对待，</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p>
        </w:tc>
      </w:tr>
      <w:tr w14:paraId="0517A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6" w:type="dxa"/>
            <w:gridSpan w:val="7"/>
            <w:shd w:val="clear" w:color="auto" w:fill="auto"/>
            <w:vAlign w:val="center"/>
          </w:tcPr>
          <w:p w14:paraId="3567E28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4360F9F3">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3FEFEB41">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招 标 人：长春市公路管理处</w:t>
      </w:r>
    </w:p>
    <w:p w14:paraId="74B741F3">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地    址：长春市南关区民康路1242号</w:t>
      </w:r>
    </w:p>
    <w:p w14:paraId="4150FE8D">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联 系 人：李佰钊</w:t>
      </w:r>
    </w:p>
    <w:p w14:paraId="2336F57A">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zh-CN" w:bidi="zh-CN"/>
        </w:rPr>
        <w:t>电    话：0431-8869253</w:t>
      </w: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David">
    <w:altName w:val="Segoe Print"/>
    <w:panose1 w:val="00000000000000000000"/>
    <w:charset w:val="B1"/>
    <w:family w:val="swiss"/>
    <w:pitch w:val="default"/>
    <w:sig w:usb0="00000000" w:usb1="00000000" w:usb2="00000000" w:usb3="00000000" w:csb0="0000002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B921A17">
      <w:pPr>
        <w:pStyle w:val="10"/>
        <w:rPr>
          <w:rFonts w:ascii="楷体" w:hAnsi="楷体" w:eastAsia="楷体"/>
        </w:rPr>
      </w:pPr>
      <w:r>
        <w:rPr>
          <w:rStyle w:val="13"/>
          <w:rFonts w:ascii="楷体" w:hAnsi="楷体" w:eastAsia="楷体"/>
        </w:rPr>
        <w:footnoteRef/>
      </w:r>
      <w:r>
        <w:rPr>
          <w:rFonts w:ascii="楷体" w:hAnsi="楷体" w:eastAsia="楷体"/>
        </w:rPr>
        <w:t xml:space="preserve"> </w:t>
      </w:r>
      <w:r>
        <w:rPr>
          <w:rFonts w:hint="eastAsia" w:ascii="楷体" w:hAnsi="楷体" w:eastAsia="楷体"/>
        </w:rPr>
        <w:t>本项规定仅适用于根据《关于发布公路工程从业企业资质名录的通知》（厅公路字[2011]114号）要求，招标人应通过名录对投标人资质条件进行审核的公路施工监理企业。</w:t>
      </w:r>
    </w:p>
  </w:footnote>
  <w:footnote w:id="1">
    <w:p w14:paraId="1620C48F">
      <w:pPr>
        <w:pStyle w:val="10"/>
      </w:pPr>
      <w:r>
        <w:rPr>
          <w:rStyle w:val="13"/>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如果投标人属事业法人单位，则应提供拟委任的总监理工程师是投标人单位职工的有效书面证明材料。</w:t>
      </w:r>
    </w:p>
  </w:footnote>
  <w:footnote w:id="2">
    <w:p w14:paraId="25607D08">
      <w:pPr>
        <w:pStyle w:val="10"/>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081038E1">
      <w:pPr>
        <w:pStyle w:val="10"/>
      </w:pPr>
      <w:r>
        <w:rPr>
          <w:rStyle w:val="13"/>
          <w:rFonts w:hint="eastAsia" w:ascii="宋体" w:hAnsi="宋体" w:cs="宋体"/>
        </w:rPr>
        <w:footnoteRef/>
      </w:r>
      <w:r>
        <w:rPr>
          <w:rFonts w:hint="eastAsia" w:ascii="宋体" w:hAnsi="宋体" w:cs="宋体"/>
        </w:rPr>
        <w:t>本款规定仅适用于根据《关于发布公路工程从业企业资质名录的通知》（厅公路字[2011]114号）要求，招标人应通过名录</w:t>
      </w:r>
      <w:r>
        <w:rPr>
          <w:rFonts w:hint="eastAsia"/>
        </w:rPr>
        <w:t>对投标人资质条件进行审核的公路施工监理企业。</w:t>
      </w:r>
    </w:p>
  </w:footnote>
  <w:footnote w:id="4">
    <w:p w14:paraId="2E2D9EFD">
      <w:pPr>
        <w:pStyle w:val="10"/>
      </w:pPr>
      <w:r>
        <w:rPr>
          <w:rStyle w:val="13"/>
        </w:rPr>
        <w:footnoteRef/>
      </w:r>
      <w:r>
        <w:t>各评分因素（评标价和履约信誉评分项除外）得分一般不得低于其权重分值的60%，且各评分因素得分应以评标委员会各成员的打分平均值确定，分数保留两位小数</w:t>
      </w:r>
      <w:r>
        <w:rPr>
          <w:rFonts w:hint="eastAsia"/>
        </w:rPr>
        <w:t>。</w:t>
      </w:r>
      <w:r>
        <w:t>评标委员会成员总数为7人以上时，该平均值以去掉一个最高分和一个最低分后计算。评标委员会成员对某一项评分因素的评分低于权重分值60%的，应在评标报告中作出说明。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55983"/>
    <w:rsid w:val="000C7FFE"/>
    <w:rsid w:val="000D45D8"/>
    <w:rsid w:val="00150308"/>
    <w:rsid w:val="0016649D"/>
    <w:rsid w:val="001C5264"/>
    <w:rsid w:val="001D5135"/>
    <w:rsid w:val="001D61F8"/>
    <w:rsid w:val="001F4B00"/>
    <w:rsid w:val="001F767C"/>
    <w:rsid w:val="00250688"/>
    <w:rsid w:val="002B6B2C"/>
    <w:rsid w:val="00316C16"/>
    <w:rsid w:val="003171A3"/>
    <w:rsid w:val="0037455E"/>
    <w:rsid w:val="003C3184"/>
    <w:rsid w:val="003E1571"/>
    <w:rsid w:val="00530DB1"/>
    <w:rsid w:val="00562C9D"/>
    <w:rsid w:val="005C0428"/>
    <w:rsid w:val="00613EFF"/>
    <w:rsid w:val="00643E44"/>
    <w:rsid w:val="00694415"/>
    <w:rsid w:val="006A39C9"/>
    <w:rsid w:val="006C28DA"/>
    <w:rsid w:val="0072686E"/>
    <w:rsid w:val="00786838"/>
    <w:rsid w:val="008715DB"/>
    <w:rsid w:val="00873F02"/>
    <w:rsid w:val="00893B6D"/>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242F5"/>
    <w:rsid w:val="00F641C5"/>
    <w:rsid w:val="00F76FA4"/>
    <w:rsid w:val="00FC5FAE"/>
    <w:rsid w:val="00FD038E"/>
    <w:rsid w:val="00FF554C"/>
    <w:rsid w:val="5D4C2DFB"/>
    <w:rsid w:val="66233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Calibri" w:hAnsi="Calibri"/>
    </w:rPr>
  </w:style>
  <w:style w:type="paragraph" w:styleId="3">
    <w:name w:val="Body Text"/>
    <w:basedOn w:val="1"/>
    <w:qFormat/>
    <w:uiPriority w:val="99"/>
    <w:rPr>
      <w:sz w:val="28"/>
      <w:szCs w:val="24"/>
    </w:rPr>
  </w:style>
  <w:style w:type="paragraph" w:styleId="5">
    <w:name w:val="Body Text Indent"/>
    <w:basedOn w:val="1"/>
    <w:next w:val="6"/>
    <w:link w:val="28"/>
    <w:qFormat/>
    <w:uiPriority w:val="99"/>
    <w:pPr>
      <w:ind w:firstLine="1120" w:firstLineChars="400"/>
    </w:pPr>
    <w:rPr>
      <w:rFonts w:ascii="Times New Roman" w:hAnsi="Times New Roman" w:eastAsia="宋体" w:cs="Times New Roman"/>
      <w:sz w:val="28"/>
      <w:szCs w:val="24"/>
    </w:rPr>
  </w:style>
  <w:style w:type="paragraph" w:styleId="6">
    <w:name w:val="Body Text Indent 2"/>
    <w:basedOn w:val="1"/>
    <w:link w:val="29"/>
    <w:semiHidden/>
    <w:unhideWhenUsed/>
    <w:uiPriority w:val="99"/>
    <w:pPr>
      <w:spacing w:after="120" w:line="480" w:lineRule="auto"/>
      <w:ind w:left="420" w:leftChars="200"/>
    </w:pPr>
  </w:style>
  <w:style w:type="paragraph" w:styleId="7">
    <w:name w:val="Plain Text"/>
    <w:basedOn w:val="1"/>
    <w:link w:val="30"/>
    <w:qFormat/>
    <w:uiPriority w:val="99"/>
    <w:rPr>
      <w:rFonts w:ascii="宋体" w:hAnsi="Courier New" w:eastAsia="宋体" w:cs="Times New Roman"/>
      <w:szCs w:val="21"/>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10"/>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9"/>
    <w:qFormat/>
    <w:uiPriority w:val="99"/>
    <w:rPr>
      <w:sz w:val="18"/>
      <w:szCs w:val="18"/>
    </w:rPr>
  </w:style>
  <w:style w:type="character" w:customStyle="1" w:styleId="24">
    <w:name w:val="页脚 字符"/>
    <w:basedOn w:val="12"/>
    <w:link w:val="8"/>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5"/>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6"/>
    <w:semiHidden/>
    <w:qFormat/>
    <w:uiPriority w:val="99"/>
    <w:rPr>
      <w:kern w:val="2"/>
      <w:sz w:val="21"/>
      <w:szCs w:val="22"/>
    </w:rPr>
  </w:style>
  <w:style w:type="character" w:customStyle="1" w:styleId="30">
    <w:name w:val="纯文本 字符"/>
    <w:basedOn w:val="12"/>
    <w:link w:val="7"/>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 w:type="character" w:customStyle="1" w:styleId="33">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34">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character" w:customStyle="1" w:styleId="35">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3712</Words>
  <Characters>3935</Characters>
  <Lines>37</Lines>
  <Paragraphs>10</Paragraphs>
  <TotalTime>2</TotalTime>
  <ScaleCrop>false</ScaleCrop>
  <LinksUpToDate>false</LinksUpToDate>
  <CharactersWithSpaces>3958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2026-03-24T03:57:30Z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