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白山</w:t>
      </w:r>
      <w:r>
        <w:rPr>
          <w:rFonts w:hint="eastAsia" w:ascii="宋体" w:hAnsi="宋体" w:eastAsia="宋体" w:cs="宋体"/>
          <w:b/>
          <w:sz w:val="21"/>
          <w:szCs w:val="21"/>
        </w:rPr>
        <w:t>市2026年普通国省干线公路养护工程</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第一批</w:t>
      </w:r>
      <w:r>
        <w:rPr>
          <w:rFonts w:hint="eastAsia" w:ascii="宋体" w:hAnsi="宋体" w:eastAsia="宋体" w:cs="宋体"/>
          <w:b/>
          <w:sz w:val="21"/>
          <w:szCs w:val="21"/>
          <w:lang w:eastAsia="zh-CN"/>
        </w:rPr>
        <w:t>）</w:t>
      </w:r>
      <w:r>
        <w:rPr>
          <w:rFonts w:hint="eastAsia" w:ascii="宋体" w:hAnsi="宋体" w:eastAsia="宋体" w:cs="宋体"/>
          <w:b/>
          <w:sz w:val="21"/>
          <w:szCs w:val="21"/>
        </w:rPr>
        <w:t>勘察设计招标</w:t>
      </w:r>
      <w:r>
        <w:rPr>
          <w:rFonts w:hint="eastAsia" w:ascii="宋体" w:hAnsi="宋体" w:eastAsia="宋体" w:cs="宋体"/>
          <w:b/>
          <w:sz w:val="21"/>
          <w:szCs w:val="21"/>
          <w:lang w:val="en-US" w:eastAsia="zh-CN"/>
        </w:rPr>
        <w:t>文件</w:t>
      </w:r>
      <w:r>
        <w:rPr>
          <w:rFonts w:hint="eastAsia" w:ascii="宋体" w:hAnsi="宋体" w:eastAsia="宋体" w:cs="宋体"/>
          <w:b/>
          <w:sz w:val="21"/>
          <w:szCs w:val="21"/>
        </w:rPr>
        <w:t>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资质条件：见附录1</w:t>
            </w:r>
          </w:p>
          <w:p w14:paraId="27CF7B37">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06A4158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autoSpaceDE/>
              <w:autoSpaceDN/>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79632551"/>
      <w:bookmarkStart w:id="1" w:name="_Toc152045534"/>
      <w:bookmarkStart w:id="2" w:name="_Toc144974502"/>
      <w:bookmarkStart w:id="3" w:name="_Toc502741808"/>
      <w:bookmarkStart w:id="4" w:name="_Toc152042310"/>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23FB0D9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（1）资质要求：见投标人须知前附表；</w:t>
      </w:r>
    </w:p>
    <w:p w14:paraId="75F4779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（2）业绩要求：见投标人须知前附表；</w:t>
      </w:r>
    </w:p>
    <w:p w14:paraId="361E0B5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（3）信誉要求：见投标人须知前附表；</w:t>
      </w:r>
    </w:p>
    <w:p w14:paraId="0FA3A9E5">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（4）项目负责人资格：见投标人须知前附表；</w:t>
      </w:r>
    </w:p>
    <w:p w14:paraId="56A1E0B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（5）其他要求：见投标人须知前附表。</w:t>
      </w:r>
    </w:p>
    <w:p w14:paraId="24EA66FB">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（2）由同一专业的单位组成的联合体，按照资质等级较低的单位确定资质等级；</w:t>
      </w:r>
    </w:p>
    <w:p w14:paraId="2CF55F5B">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（3）联合体各方不得再以自已名义单独或参加其他联合体在同一标段中投标；</w:t>
      </w:r>
    </w:p>
    <w:p w14:paraId="3925FCE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885DA34">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（5）尽管委任了联合体牵头人，但联合体各成员在投标、签订合同与履行合同过程中，仍负有连带的和各自的法律责任。</w:t>
      </w:r>
    </w:p>
    <w:p w14:paraId="5ECF6C5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6E42C8B3">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（1）为招标人不具有独立法人资格的附属机构（单位）；</w:t>
      </w:r>
    </w:p>
    <w:p w14:paraId="4086863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（2）与招标人存在利害关系且可能影响招标公正性；</w:t>
      </w:r>
    </w:p>
    <w:p w14:paraId="25039325">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（3）与本标段的其他投标人同为一个单位负责人；</w:t>
      </w:r>
    </w:p>
    <w:p w14:paraId="06441C1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（4）与本标段的其他投标人存在控股、管理关系；</w:t>
      </w:r>
    </w:p>
    <w:p w14:paraId="71AEA012">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（5）为本标段的代建人；</w:t>
      </w:r>
    </w:p>
    <w:p w14:paraId="22292308">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（6）为本标段的招标代理机构；</w:t>
      </w:r>
    </w:p>
    <w:p w14:paraId="4F7C64B6">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（7）与本标段的代建人或招标代理机构同为一个法定代表人；</w:t>
      </w:r>
    </w:p>
    <w:p w14:paraId="13DDAAA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（8）与本标段的代建人或招标代理机构存在控股或参股关系；</w:t>
      </w:r>
    </w:p>
    <w:p w14:paraId="10778F7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（9）法律法规或投标人须知前附表规定的其他情形。</w:t>
      </w:r>
    </w:p>
    <w:p w14:paraId="3324C8F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（1）被省级及以上交通运输主管部门取消招标项目所在地的投标资格且处于有效期内；</w:t>
      </w:r>
    </w:p>
    <w:p w14:paraId="1DDC994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（2）被责令停业，暂扣或吊销执照，或吊销资质证书；</w:t>
      </w:r>
    </w:p>
    <w:p w14:paraId="25B0AF18">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（3）进入清算程序，或被宣告破产，或其他丧失履约能力的情形；</w:t>
      </w:r>
    </w:p>
    <w:p w14:paraId="4377AD6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（4）在国家企业信用信息公示系统（http://www.gsxt.gov.cn/)中被列入严重违法失信企业名单；</w:t>
      </w:r>
    </w:p>
    <w:p w14:paraId="6CF4A397">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（5）在“信用中国”网站（http://www.creditchina.gov.cn/)中被列入失信被执行人名单；</w:t>
      </w:r>
    </w:p>
    <w:p w14:paraId="0B75F86C">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（6）投标人或其法定代表人、拟委任的项目负责人在近三年内有行贿犯罪行为的；</w:t>
      </w:r>
    </w:p>
    <w:p w14:paraId="5BEC6EC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（7）法律法规或投标人须知前附表规定的其他情形。</w:t>
      </w:r>
    </w:p>
    <w:p w14:paraId="448F05AA">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24C71A4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6" w:name="_Toc31685"/>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5E86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0" w:type="dxa"/>
            <w:tcBorders>
              <w:top w:val="single" w:color="auto" w:sz="12" w:space="0"/>
              <w:left w:val="single" w:color="auto" w:sz="12" w:space="0"/>
              <w:right w:val="single" w:color="auto" w:sz="4" w:space="0"/>
            </w:tcBorders>
            <w:vAlign w:val="center"/>
          </w:tcPr>
          <w:p w14:paraId="59BF034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1" w:type="dxa"/>
            <w:tcBorders>
              <w:top w:val="single" w:color="auto" w:sz="12" w:space="0"/>
              <w:left w:val="single" w:color="auto" w:sz="4" w:space="0"/>
              <w:right w:val="single" w:color="auto" w:sz="12" w:space="0"/>
            </w:tcBorders>
            <w:vAlign w:val="center"/>
          </w:tcPr>
          <w:p w14:paraId="04CF4A7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0D84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vAlign w:val="center"/>
          </w:tcPr>
          <w:p w14:paraId="351B9DB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B</w:t>
            </w:r>
            <w:r>
              <w:rPr>
                <w:rFonts w:hint="eastAsia" w:ascii="宋体" w:hAnsi="宋体" w:eastAsia="宋体" w:cs="宋体"/>
                <w:sz w:val="21"/>
                <w:szCs w:val="21"/>
                <w:highlight w:val="none"/>
                <w:lang w:val="en-US" w:eastAsia="zh-CN"/>
              </w:rPr>
              <w:t>S26</w:t>
            </w:r>
            <w:r>
              <w:rPr>
                <w:rFonts w:hint="eastAsia" w:ascii="宋体" w:hAnsi="宋体" w:eastAsia="宋体" w:cs="宋体"/>
                <w:sz w:val="21"/>
                <w:szCs w:val="21"/>
                <w:highlight w:val="none"/>
              </w:rPr>
              <w:t>SJ0</w:t>
            </w:r>
            <w:r>
              <w:rPr>
                <w:rFonts w:hint="eastAsia" w:ascii="宋体" w:hAnsi="宋体" w:eastAsia="宋体" w:cs="宋体"/>
                <w:sz w:val="21"/>
                <w:szCs w:val="21"/>
                <w:highlight w:val="none"/>
                <w:lang w:val="en-US" w:eastAsia="zh-CN"/>
              </w:rPr>
              <w:t>1</w:t>
            </w:r>
          </w:p>
          <w:p w14:paraId="2681C7F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S26</w:t>
            </w:r>
            <w:r>
              <w:rPr>
                <w:rFonts w:hint="eastAsia" w:ascii="宋体" w:hAnsi="宋体" w:eastAsia="宋体" w:cs="宋体"/>
                <w:b w:val="0"/>
                <w:bCs w:val="0"/>
                <w:sz w:val="21"/>
                <w:szCs w:val="21"/>
                <w:highlight w:val="none"/>
              </w:rPr>
              <w:t>SJ0</w:t>
            </w:r>
            <w:r>
              <w:rPr>
                <w:rFonts w:hint="eastAsia" w:ascii="宋体" w:hAnsi="宋体" w:eastAsia="宋体" w:cs="宋体"/>
                <w:b w:val="0"/>
                <w:bCs w:val="0"/>
                <w:sz w:val="21"/>
                <w:szCs w:val="21"/>
                <w:highlight w:val="none"/>
                <w:lang w:val="en-US" w:eastAsia="zh-CN"/>
              </w:rPr>
              <w:t>2</w:t>
            </w:r>
          </w:p>
        </w:tc>
        <w:tc>
          <w:tcPr>
            <w:tcW w:w="8356" w:type="dxa"/>
            <w:tcBorders>
              <w:left w:val="single" w:color="auto" w:sz="4" w:space="0"/>
              <w:bottom w:val="single" w:color="auto" w:sz="12" w:space="0"/>
              <w:right w:val="single" w:color="auto" w:sz="12" w:space="0"/>
            </w:tcBorders>
            <w:vAlign w:val="center"/>
          </w:tcPr>
          <w:p w14:paraId="429ABE99">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51B81991">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019F86C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tc>
      </w:tr>
    </w:tbl>
    <w:p w14:paraId="69F879E1">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8" w:name="_Toc16544"/>
      <w:bookmarkStart w:id="9" w:name="_Toc51622568"/>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21FF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61" w:type="dxa"/>
            <w:tcBorders>
              <w:top w:val="single" w:color="auto" w:sz="12" w:space="0"/>
              <w:left w:val="single" w:color="auto" w:sz="12" w:space="0"/>
              <w:right w:val="single" w:color="auto" w:sz="4" w:space="0"/>
            </w:tcBorders>
            <w:vAlign w:val="center"/>
          </w:tcPr>
          <w:p w14:paraId="7AA7885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3D38A573">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65C4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vAlign w:val="center"/>
          </w:tcPr>
          <w:p w14:paraId="2906D62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B</w:t>
            </w:r>
            <w:r>
              <w:rPr>
                <w:rFonts w:hint="eastAsia" w:ascii="宋体" w:hAnsi="宋体" w:eastAsia="宋体" w:cs="宋体"/>
                <w:sz w:val="21"/>
                <w:szCs w:val="21"/>
                <w:highlight w:val="none"/>
                <w:lang w:val="en-US" w:eastAsia="zh-CN"/>
              </w:rPr>
              <w:t>S26</w:t>
            </w:r>
            <w:r>
              <w:rPr>
                <w:rFonts w:hint="eastAsia" w:ascii="宋体" w:hAnsi="宋体" w:eastAsia="宋体" w:cs="宋体"/>
                <w:sz w:val="21"/>
                <w:szCs w:val="21"/>
                <w:highlight w:val="none"/>
              </w:rPr>
              <w:t>SJ0</w:t>
            </w:r>
            <w:r>
              <w:rPr>
                <w:rFonts w:hint="eastAsia" w:ascii="宋体" w:hAnsi="宋体" w:eastAsia="宋体" w:cs="宋体"/>
                <w:sz w:val="21"/>
                <w:szCs w:val="21"/>
                <w:highlight w:val="none"/>
                <w:lang w:val="en-US" w:eastAsia="zh-CN"/>
              </w:rPr>
              <w:t>1</w:t>
            </w:r>
          </w:p>
          <w:p w14:paraId="676C73E8">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B</w:t>
            </w:r>
            <w:r>
              <w:rPr>
                <w:rFonts w:hint="eastAsia" w:ascii="宋体" w:hAnsi="宋体" w:eastAsia="宋体" w:cs="宋体"/>
                <w:b w:val="0"/>
                <w:bCs w:val="0"/>
                <w:sz w:val="21"/>
                <w:szCs w:val="21"/>
                <w:highlight w:val="none"/>
                <w:lang w:val="en-US" w:eastAsia="zh-CN"/>
              </w:rPr>
              <w:t>S26</w:t>
            </w:r>
            <w:r>
              <w:rPr>
                <w:rFonts w:hint="eastAsia" w:ascii="宋体" w:hAnsi="宋体" w:eastAsia="宋体" w:cs="宋体"/>
                <w:b w:val="0"/>
                <w:bCs w:val="0"/>
                <w:sz w:val="21"/>
                <w:szCs w:val="21"/>
                <w:highlight w:val="none"/>
              </w:rPr>
              <w:t>SJ0</w:t>
            </w:r>
            <w:r>
              <w:rPr>
                <w:rFonts w:hint="eastAsia" w:ascii="宋体" w:hAnsi="宋体" w:eastAsia="宋体" w:cs="宋体"/>
                <w:b w:val="0"/>
                <w:bCs w:val="0"/>
                <w:sz w:val="21"/>
                <w:szCs w:val="21"/>
                <w:highlight w:val="none"/>
                <w:lang w:val="en-US" w:eastAsia="zh-CN"/>
              </w:rPr>
              <w:t>2</w:t>
            </w:r>
          </w:p>
        </w:tc>
        <w:tc>
          <w:tcPr>
            <w:tcW w:w="8364" w:type="dxa"/>
            <w:tcBorders>
              <w:left w:val="single" w:color="auto" w:sz="4" w:space="0"/>
              <w:bottom w:val="single" w:color="auto" w:sz="12" w:space="0"/>
              <w:right w:val="single" w:color="auto" w:sz="12" w:space="0"/>
            </w:tcBorders>
            <w:vAlign w:val="center"/>
          </w:tcPr>
          <w:p w14:paraId="00C78BB9">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近五年内（</w:t>
            </w:r>
            <w:r>
              <w:rPr>
                <w:rFonts w:hint="eastAsia" w:ascii="宋体" w:hAnsi="宋体" w:eastAsia="宋体" w:cs="宋体"/>
                <w:sz w:val="21"/>
                <w:szCs w:val="21"/>
                <w:highlight w:val="none"/>
              </w:rPr>
              <w:t>指</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完成过二级以上（含二级）</w:t>
            </w:r>
            <w:r>
              <w:rPr>
                <w:rFonts w:hint="eastAsia" w:ascii="宋体" w:hAnsi="宋体" w:eastAsia="宋体" w:cs="宋体"/>
                <w:sz w:val="21"/>
                <w:szCs w:val="21"/>
                <w:highlight w:val="none"/>
              </w:rPr>
              <w:t>公路修复养护工程（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公里（</w:t>
            </w:r>
            <w:r>
              <w:rPr>
                <w:rFonts w:hint="eastAsia" w:ascii="宋体" w:hAnsi="宋体" w:eastAsia="宋体" w:cs="宋体"/>
                <w:sz w:val="21"/>
                <w:szCs w:val="21"/>
                <w:highlight w:val="none"/>
              </w:rPr>
              <w:t>一级公路和高速公路业绩全幅按2倍长度计算，半幅按1倍长度计算</w:t>
            </w:r>
            <w:r>
              <w:rPr>
                <w:rFonts w:hint="eastAsia" w:ascii="宋体" w:hAnsi="宋体" w:eastAsia="宋体" w:cs="宋体"/>
                <w:sz w:val="21"/>
                <w:szCs w:val="21"/>
                <w:highlight w:val="none"/>
              </w:rPr>
              <w:t>）。</w:t>
            </w:r>
          </w:p>
          <w:p w14:paraId="43D56F11">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tc>
      </w:tr>
    </w:tbl>
    <w:p w14:paraId="5CEF4F6B">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0" w:name="_Toc51622569"/>
      <w:bookmarkStart w:id="11" w:name="_Toc10265"/>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35A8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5EE6182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53C1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611B4630">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262FEFCD">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2" w:name="_Toc7872"/>
      <w:bookmarkStart w:id="13" w:name="_Toc51622570"/>
      <w:bookmarkStart w:id="14" w:name="_Toc411418983"/>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56"/>
        <w:gridCol w:w="1092"/>
        <w:gridCol w:w="6078"/>
      </w:tblGrid>
      <w:tr w14:paraId="2F4F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20" w:type="dxa"/>
            <w:vMerge w:val="restart"/>
            <w:tcBorders>
              <w:top w:val="single" w:color="auto" w:sz="12" w:space="0"/>
              <w:left w:val="single" w:color="auto" w:sz="12" w:space="0"/>
              <w:right w:val="single" w:color="auto" w:sz="4" w:space="0"/>
            </w:tcBorders>
            <w:vAlign w:val="center"/>
          </w:tcPr>
          <w:p w14:paraId="09C7047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2148" w:type="dxa"/>
            <w:gridSpan w:val="2"/>
            <w:tcBorders>
              <w:top w:val="single" w:color="auto" w:sz="12" w:space="0"/>
              <w:left w:val="single" w:color="auto" w:sz="4" w:space="0"/>
              <w:bottom w:val="single" w:color="auto" w:sz="4" w:space="0"/>
              <w:right w:val="single" w:color="auto" w:sz="4" w:space="0"/>
            </w:tcBorders>
            <w:vAlign w:val="center"/>
          </w:tcPr>
          <w:p w14:paraId="3C45AF0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078" w:type="dxa"/>
            <w:vMerge w:val="restart"/>
            <w:tcBorders>
              <w:top w:val="single" w:color="auto" w:sz="12" w:space="0"/>
              <w:left w:val="single" w:color="auto" w:sz="4" w:space="0"/>
              <w:right w:val="single" w:color="auto" w:sz="12" w:space="0"/>
            </w:tcBorders>
            <w:vAlign w:val="center"/>
          </w:tcPr>
          <w:p w14:paraId="4DDC796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2C12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20" w:type="dxa"/>
            <w:vMerge w:val="continue"/>
            <w:tcBorders>
              <w:left w:val="single" w:color="auto" w:sz="12" w:space="0"/>
              <w:right w:val="single" w:color="auto" w:sz="4" w:space="0"/>
            </w:tcBorders>
            <w:vAlign w:val="center"/>
          </w:tcPr>
          <w:p w14:paraId="69E523A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14:paraId="7C5C14A3">
            <w:pPr>
              <w:keepLines w:val="0"/>
              <w:pageBreakBefore w:val="0"/>
              <w:kinsoku/>
              <w:wordWrap/>
              <w:overflowPunct/>
              <w:topLinePunct w:val="0"/>
              <w:autoSpaceDE/>
              <w:autoSpaceDN/>
              <w:bidi w:val="0"/>
              <w:spacing w:line="360" w:lineRule="exact"/>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BS26SJ01</w:t>
            </w:r>
          </w:p>
        </w:tc>
        <w:tc>
          <w:tcPr>
            <w:tcW w:w="1092" w:type="dxa"/>
            <w:tcBorders>
              <w:top w:val="single" w:color="auto" w:sz="4" w:space="0"/>
              <w:left w:val="single" w:color="auto" w:sz="4" w:space="0"/>
              <w:bottom w:val="single" w:color="auto" w:sz="4" w:space="0"/>
              <w:right w:val="single" w:color="auto" w:sz="4" w:space="0"/>
            </w:tcBorders>
            <w:vAlign w:val="center"/>
          </w:tcPr>
          <w:p w14:paraId="20860E2C">
            <w:pPr>
              <w:keepLines w:val="0"/>
              <w:pageBreakBefore w:val="0"/>
              <w:kinsoku/>
              <w:wordWrap/>
              <w:overflowPunct/>
              <w:topLinePunct w:val="0"/>
              <w:autoSpaceDE/>
              <w:autoSpaceDN/>
              <w:bidi w:val="0"/>
              <w:spacing w:line="360" w:lineRule="exact"/>
              <w:jc w:val="both"/>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BS26SJ02</w:t>
            </w:r>
          </w:p>
        </w:tc>
        <w:tc>
          <w:tcPr>
            <w:tcW w:w="6078" w:type="dxa"/>
            <w:vMerge w:val="continue"/>
            <w:tcBorders>
              <w:left w:val="single" w:color="auto" w:sz="4" w:space="0"/>
              <w:bottom w:val="single" w:color="auto" w:sz="4" w:space="0"/>
              <w:right w:val="single" w:color="auto" w:sz="12" w:space="0"/>
            </w:tcBorders>
            <w:vAlign w:val="center"/>
          </w:tcPr>
          <w:p w14:paraId="4662BB6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r>
      <w:tr w14:paraId="6BB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20" w:type="dxa"/>
            <w:tcBorders>
              <w:left w:val="single" w:color="auto" w:sz="12" w:space="0"/>
              <w:bottom w:val="single" w:color="auto" w:sz="12" w:space="0"/>
              <w:right w:val="single" w:color="auto" w:sz="4" w:space="0"/>
            </w:tcBorders>
            <w:vAlign w:val="center"/>
          </w:tcPr>
          <w:p w14:paraId="4D8C51AB">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056" w:type="dxa"/>
            <w:tcBorders>
              <w:top w:val="single" w:color="auto" w:sz="4" w:space="0"/>
              <w:left w:val="single" w:color="auto" w:sz="4" w:space="0"/>
              <w:bottom w:val="single" w:color="auto" w:sz="12" w:space="0"/>
              <w:right w:val="single" w:color="auto" w:sz="4" w:space="0"/>
            </w:tcBorders>
            <w:vAlign w:val="center"/>
          </w:tcPr>
          <w:p w14:paraId="5319748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92" w:type="dxa"/>
            <w:tcBorders>
              <w:top w:val="single" w:color="auto" w:sz="4" w:space="0"/>
              <w:left w:val="single" w:color="auto" w:sz="4" w:space="0"/>
              <w:bottom w:val="single" w:color="auto" w:sz="12" w:space="0"/>
              <w:right w:val="single" w:color="auto" w:sz="4" w:space="0"/>
            </w:tcBorders>
            <w:vAlign w:val="center"/>
          </w:tcPr>
          <w:p w14:paraId="5088D00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078" w:type="dxa"/>
            <w:tcBorders>
              <w:top w:val="single" w:color="auto" w:sz="4" w:space="0"/>
              <w:left w:val="single" w:color="auto" w:sz="4" w:space="0"/>
              <w:bottom w:val="single" w:color="auto" w:sz="12" w:space="0"/>
              <w:right w:val="single" w:color="auto" w:sz="12" w:space="0"/>
            </w:tcBorders>
            <w:vAlign w:val="center"/>
          </w:tcPr>
          <w:p w14:paraId="7F492CD3">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Style w:val="8"/>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51B44A09">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具有公路工程相关专业</w:t>
            </w:r>
            <w:r>
              <w:rPr>
                <w:rStyle w:val="8"/>
                <w:rFonts w:hint="eastAsia" w:ascii="宋体" w:hAnsi="宋体" w:eastAsia="宋体" w:cs="宋体"/>
                <w:sz w:val="21"/>
                <w:szCs w:val="21"/>
                <w:highlight w:val="none"/>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562DFBCF">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（3）担任过</w:t>
            </w:r>
            <w:r>
              <w:rPr>
                <w:rFonts w:hint="eastAsia" w:ascii="宋体" w:hAnsi="宋体" w:eastAsia="宋体" w:cs="宋体"/>
                <w:sz w:val="21"/>
                <w:szCs w:val="21"/>
                <w:highlight w:val="none"/>
                <w:lang w:val="en-US" w:eastAsia="zh-CN"/>
              </w:rPr>
              <w:t>二级以上（含二级）公路</w:t>
            </w:r>
            <w:r>
              <w:rPr>
                <w:rFonts w:hint="eastAsia" w:ascii="宋体" w:hAnsi="宋体" w:eastAsia="宋体" w:cs="宋体"/>
                <w:sz w:val="21"/>
                <w:szCs w:val="21"/>
                <w:highlight w:val="none"/>
              </w:rPr>
              <w:t>养护工程勘察设计的项目负责人或技术负责人。</w:t>
            </w:r>
          </w:p>
          <w:p w14:paraId="3BF7A64E">
            <w:pPr>
              <w:keepLines w:val="0"/>
              <w:pageBreakBefore w:val="0"/>
              <w:kinsoku/>
              <w:wordWrap/>
              <w:overflowPunct/>
              <w:topLinePunct w:val="0"/>
              <w:autoSpaceDE/>
              <w:autoSpaceDN/>
              <w:bidi w:val="0"/>
              <w:spacing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175C371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5" w:name="_Toc505091277"/>
      <w:bookmarkStart w:id="16" w:name="_Toc520285006"/>
      <w:bookmarkStart w:id="17" w:name="_Toc80536764"/>
      <w:r>
        <w:rPr>
          <w:rFonts w:hint="eastAsia" w:ascii="宋体" w:hAnsi="宋体" w:eastAsia="宋体" w:cs="宋体"/>
          <w:b/>
          <w:sz w:val="21"/>
          <w:szCs w:val="21"/>
        </w:rPr>
        <w:t>评标办法（综合评估法）</w:t>
      </w:r>
    </w:p>
    <w:bookmarkEnd w:id="15"/>
    <w:bookmarkEnd w:id="16"/>
    <w:bookmarkEnd w:id="17"/>
    <w:p w14:paraId="0399A77A">
      <w:pPr>
        <w:keepLines w:val="0"/>
        <w:pageBreakBefore w:val="0"/>
        <w:kinsoku/>
        <w:wordWrap/>
        <w:overflowPunct/>
        <w:topLinePunct w:val="0"/>
        <w:autoSpaceDE/>
        <w:autoSpaceDN/>
        <w:bidi w:val="0"/>
        <w:spacing w:line="360" w:lineRule="exact"/>
        <w:rPr>
          <w:rFonts w:hint="eastAsia" w:ascii="宋体" w:hAnsi="宋体" w:eastAsia="宋体" w:cs="宋体"/>
          <w:w w:val="105"/>
          <w:sz w:val="21"/>
          <w:szCs w:val="21"/>
        </w:rPr>
      </w:pPr>
      <w:r>
        <w:rPr>
          <w:rFonts w:hint="eastAsia" w:ascii="宋体" w:hAnsi="宋体" w:eastAsia="宋体" w:cs="宋体"/>
          <w:w w:val="105"/>
          <w:sz w:val="21"/>
          <w:szCs w:val="21"/>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3A5E5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41D0DA8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393C7D4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0DEB0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6D0C80B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112B4862">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68A4C3BF">
            <w:pPr>
              <w:pStyle w:val="13"/>
              <w:keepLines w:val="0"/>
              <w:pageBreakBefore w:val="0"/>
              <w:shd w:val="clear" w:color="auto" w:fill="auto"/>
              <w:tabs>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52DEE935">
            <w:pPr>
              <w:pStyle w:val="13"/>
              <w:keepLines w:val="0"/>
              <w:pageBreakBefore w:val="0"/>
              <w:shd w:val="clear" w:color="auto" w:fill="auto"/>
              <w:tabs>
                <w:tab w:val="left" w:pos="735"/>
                <w:tab w:val="left" w:pos="107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评标价低的投标人优先；</w:t>
            </w:r>
          </w:p>
          <w:p w14:paraId="4E147AF7">
            <w:pPr>
              <w:pStyle w:val="13"/>
              <w:keepLines w:val="0"/>
              <w:pageBreakBefore w:val="0"/>
              <w:shd w:val="clear" w:color="auto" w:fill="auto"/>
              <w:tabs>
                <w:tab w:val="left" w:pos="735"/>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7E403D3F">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（3）人员</w:t>
            </w:r>
            <w:r>
              <w:rPr>
                <w:rFonts w:hint="eastAsia" w:ascii="宋体" w:hAnsi="宋体" w:eastAsia="宋体" w:cs="宋体"/>
                <w:sz w:val="21"/>
                <w:szCs w:val="21"/>
                <w:highlight w:val="none"/>
              </w:rPr>
              <w:t>得分较高的投标人优先；</w:t>
            </w:r>
          </w:p>
          <w:p w14:paraId="08A77B4A">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03F90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48591A7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7CFB65A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2E184FCB">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3B3E989E">
            <w:pPr>
              <w:pStyle w:val="13"/>
              <w:keepLines w:val="0"/>
              <w:pageBreakBefore w:val="0"/>
              <w:shd w:val="clear" w:color="auto" w:fill="auto"/>
              <w:tabs>
                <w:tab w:val="left" w:pos="735"/>
              </w:tabs>
              <w:kinsoku/>
              <w:wordWrap/>
              <w:overflowPunct/>
              <w:topLinePunct w:val="0"/>
              <w:autoSpaceDE/>
              <w:autoSpaceDN/>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7537AD4D">
            <w:pPr>
              <w:pStyle w:val="13"/>
              <w:keepLines w:val="0"/>
              <w:pageBreakBefore w:val="0"/>
              <w:shd w:val="clear" w:color="auto" w:fill="auto"/>
              <w:tabs>
                <w:tab w:val="left" w:pos="735"/>
                <w:tab w:val="left" w:pos="94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投标文件按照招标文件规定的格式</w:t>
            </w:r>
            <w:r>
              <w:rPr>
                <w:rFonts w:hint="eastAsia" w:ascii="宋体" w:hAnsi="宋体" w:eastAsia="宋体" w:cs="宋体"/>
                <w:sz w:val="21"/>
                <w:szCs w:val="21"/>
                <w:highlight w:val="none"/>
              </w:rPr>
              <w:t>、</w:t>
            </w:r>
            <w:r>
              <w:rPr>
                <w:rFonts w:hint="eastAsia" w:ascii="宋体" w:hAnsi="宋体" w:eastAsia="宋体" w:cs="宋体"/>
                <w:sz w:val="21"/>
                <w:szCs w:val="21"/>
                <w:highlight w:val="none"/>
              </w:rPr>
              <w:t>内容填写，字迹清晰</w:t>
            </w:r>
            <w:r>
              <w:rPr>
                <w:rFonts w:hint="eastAsia" w:ascii="宋体" w:hAnsi="宋体" w:eastAsia="宋体" w:cs="宋体"/>
                <w:sz w:val="21"/>
                <w:szCs w:val="21"/>
                <w:highlight w:val="none"/>
              </w:rPr>
              <w:t>可</w:t>
            </w:r>
            <w:r>
              <w:rPr>
                <w:rFonts w:hint="eastAsia" w:ascii="宋体" w:hAnsi="宋体" w:eastAsia="宋体" w:cs="宋体"/>
                <w:sz w:val="21"/>
                <w:szCs w:val="21"/>
                <w:highlight w:val="none"/>
              </w:rPr>
              <w:t>辨：</w:t>
            </w:r>
          </w:p>
          <w:p w14:paraId="77BBA08D">
            <w:pPr>
              <w:pStyle w:val="13"/>
              <w:keepLines w:val="0"/>
              <w:pageBreakBefore w:val="0"/>
              <w:shd w:val="clear" w:color="auto" w:fill="auto"/>
              <w:tabs>
                <w:tab w:val="left" w:pos="566"/>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z w:val="21"/>
                <w:szCs w:val="21"/>
                <w:highlight w:val="none"/>
              </w:rPr>
              <w:t>投标函按招标文件规定填报了项目名称、标段号、补遗书编号（如有)、勘察设计服务期限、工程质量要求及安全目标；</w:t>
            </w:r>
          </w:p>
          <w:p w14:paraId="1776B17E">
            <w:pPr>
              <w:pStyle w:val="13"/>
              <w:keepLines w:val="0"/>
              <w:pageBreakBefore w:val="0"/>
              <w:shd w:val="clear" w:color="auto" w:fill="auto"/>
              <w:tabs>
                <w:tab w:val="left" w:pos="168"/>
                <w:tab w:val="left" w:pos="73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rPr>
              <w:t>投标文件组成齐全完整，内容均按规定填写。</w:t>
            </w:r>
          </w:p>
          <w:p w14:paraId="64CB0D0B">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投标文件上法定代表人或其委托代理人的签字、投标人的单位章盖章齐全，符合招标文件规定。</w:t>
            </w:r>
          </w:p>
          <w:p w14:paraId="0E963EDA">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投标人按照招标文件的规定提供了投标保证金：</w:t>
            </w:r>
          </w:p>
          <w:p w14:paraId="12DA7CE9">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33F584C7">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78E22144">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sz w:val="21"/>
                <w:szCs w:val="21"/>
                <w:highlight w:val="none"/>
                <w:lang w:bidi="zh-TW"/>
              </w:rPr>
              <w:t>保函的实质性内容</w:t>
            </w:r>
            <w:r>
              <w:rPr>
                <w:rFonts w:hint="eastAsia" w:ascii="宋体" w:hAnsi="宋体" w:eastAsia="宋体" w:cs="宋体"/>
                <w:bCs/>
                <w:sz w:val="21"/>
                <w:szCs w:val="21"/>
                <w:highlight w:val="none"/>
              </w:rPr>
              <w:t>应满足招标文件要求</w:t>
            </w:r>
            <w:r>
              <w:rPr>
                <w:rFonts w:hint="eastAsia" w:ascii="宋体" w:hAnsi="宋体" w:eastAsia="宋体" w:cs="宋体"/>
                <w:bCs/>
                <w:sz w:val="21"/>
                <w:szCs w:val="21"/>
                <w:highlight w:val="none"/>
                <w:lang w:val="zh-CN"/>
              </w:rPr>
              <w:t>。</w:t>
            </w:r>
          </w:p>
          <w:p w14:paraId="67717013">
            <w:pPr>
              <w:pStyle w:val="13"/>
              <w:keepLines w:val="0"/>
              <w:pageBreakBefore w:val="0"/>
              <w:shd w:val="clear" w:color="auto" w:fill="auto"/>
              <w:tabs>
                <w:tab w:val="left" w:pos="95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02AA4436">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5E17F2A8">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03012871">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r>
              <w:rPr>
                <w:rStyle w:val="15"/>
                <w:rFonts w:hint="eastAsia" w:ascii="宋体" w:hAnsi="宋体" w:eastAsia="宋体" w:cs="宋体"/>
                <w:color w:val="auto"/>
                <w:sz w:val="21"/>
                <w:szCs w:val="21"/>
                <w:highlight w:val="none"/>
                <w:shd w:val="clear" w:color="auto" w:fill="auto"/>
                <w:lang w:eastAsia="zh-CN"/>
              </w:rPr>
              <w:t>。</w:t>
            </w:r>
          </w:p>
          <w:p w14:paraId="188E9F35">
            <w:pPr>
              <w:pStyle w:val="13"/>
              <w:keepLines w:val="0"/>
              <w:pageBreakBefore w:val="0"/>
              <w:shd w:val="clear" w:color="auto" w:fill="auto"/>
              <w:tabs>
                <w:tab w:val="left" w:pos="962"/>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03822A43">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投标文件中未出现有关投标报价的内容。</w:t>
            </w:r>
          </w:p>
          <w:p w14:paraId="059FE872">
            <w:pPr>
              <w:pStyle w:val="13"/>
              <w:keepLines w:val="0"/>
              <w:pageBreakBefore w:val="0"/>
              <w:shd w:val="clear" w:color="auto" w:fill="auto"/>
              <w:tabs>
                <w:tab w:val="left" w:pos="93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61AA2A50">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420996FD">
            <w:pPr>
              <w:pStyle w:val="13"/>
              <w:keepLines w:val="0"/>
              <w:pageBreakBefore w:val="0"/>
              <w:shd w:val="clear" w:color="auto" w:fill="auto"/>
              <w:tabs>
                <w:tab w:val="left" w:pos="117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426A9128">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投标人应接受招标文件规定的风险划分原则，未提出新的风险划分办法；</w:t>
            </w:r>
          </w:p>
          <w:p w14:paraId="1610257F">
            <w:pPr>
              <w:pStyle w:val="13"/>
              <w:keepLines w:val="0"/>
              <w:pageBreakBefore w:val="0"/>
              <w:shd w:val="clear" w:color="auto" w:fill="auto"/>
              <w:tabs>
                <w:tab w:val="left" w:pos="71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投标人未增加发包人的责任范围，或减少投标人义务；</w:t>
            </w:r>
          </w:p>
          <w:p w14:paraId="734B717D">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1F45A79E">
            <w:pPr>
              <w:pStyle w:val="13"/>
              <w:keepLines w:val="0"/>
              <w:pageBreakBefore w:val="0"/>
              <w:shd w:val="clear" w:color="auto" w:fill="auto"/>
              <w:tabs>
                <w:tab w:val="left" w:pos="703"/>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w:t>
            </w:r>
            <w:r>
              <w:rPr>
                <w:rStyle w:val="15"/>
                <w:rFonts w:hint="eastAsia" w:ascii="宋体" w:hAnsi="宋体" w:eastAsia="宋体" w:cs="宋体"/>
                <w:color w:val="auto"/>
                <w:sz w:val="21"/>
                <w:szCs w:val="21"/>
                <w:highlight w:val="none"/>
                <w:shd w:val="clear" w:color="auto" w:fill="auto"/>
              </w:rPr>
              <w:t>投标人对合同纠纷、事故处理办法未提出异议；</w:t>
            </w:r>
          </w:p>
          <w:p w14:paraId="236ED2A7">
            <w:pPr>
              <w:pStyle w:val="13"/>
              <w:keepLines w:val="0"/>
              <w:pageBreakBefore w:val="0"/>
              <w:shd w:val="clear" w:color="auto" w:fill="auto"/>
              <w:tabs>
                <w:tab w:val="left" w:pos="68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w:t>
            </w:r>
            <w:r>
              <w:rPr>
                <w:rStyle w:val="15"/>
                <w:rFonts w:hint="eastAsia" w:ascii="宋体" w:hAnsi="宋体" w:eastAsia="宋体" w:cs="宋体"/>
                <w:color w:val="auto"/>
                <w:sz w:val="21"/>
                <w:szCs w:val="21"/>
                <w:highlight w:val="none"/>
                <w:shd w:val="clear" w:color="auto" w:fill="auto"/>
              </w:rPr>
              <w:t>投标人在投标活动中无欺诈行为；</w:t>
            </w:r>
          </w:p>
          <w:p w14:paraId="4D6D8168">
            <w:pPr>
              <w:pStyle w:val="13"/>
              <w:keepLines w:val="0"/>
              <w:pageBreakBefore w:val="0"/>
              <w:shd w:val="clear" w:color="auto" w:fill="auto"/>
              <w:tabs>
                <w:tab w:val="left" w:pos="67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投标人未对合同条款有重要保留。</w:t>
            </w:r>
          </w:p>
          <w:p w14:paraId="1D8A9095">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p>
          <w:p w14:paraId="524C8AE1">
            <w:pPr>
              <w:pStyle w:val="13"/>
              <w:keepLines w:val="0"/>
              <w:pageBreakBefore w:val="0"/>
              <w:shd w:val="clear" w:color="auto" w:fill="auto"/>
              <w:kinsoku/>
              <w:wordWrap/>
              <w:overflowPunct/>
              <w:topLinePunct w:val="0"/>
              <w:autoSpaceDE/>
              <w:autoSpaceDN/>
              <w:bidi w:val="0"/>
              <w:spacing w:before="0" w:line="360" w:lineRule="exact"/>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65E013A3">
            <w:pPr>
              <w:keepLines w:val="0"/>
              <w:pageBreakBefore w:val="0"/>
              <w:tabs>
                <w:tab w:val="left" w:pos="735"/>
              </w:tabs>
              <w:kinsoku/>
              <w:wordWrap/>
              <w:overflowPunct/>
              <w:topLinePunct w:val="0"/>
              <w:autoSpaceDE/>
              <w:autoSpaceDN/>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投标文件按照招标文件规定的格式、内容填写，字迹清晰可辨，内容齐全完整：</w:t>
            </w:r>
          </w:p>
          <w:p w14:paraId="18A9F8BB">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64FE5A5C">
            <w:pPr>
              <w:pStyle w:val="13"/>
              <w:keepLines w:val="0"/>
              <w:pageBreakBefore w:val="0"/>
              <w:shd w:val="clear" w:color="auto" w:fill="auto"/>
              <w:tabs>
                <w:tab w:val="left" w:pos="593"/>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已标价报价清单说明文字与招标文件规定一致，未进行实质性修改和删减；</w:t>
            </w:r>
          </w:p>
          <w:p w14:paraId="2D040482">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1EEC190C">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投标文件上法定代表人或其委托代理人的签字、投标人的单位章盖章齐全，符合招标文件规定。</w:t>
            </w:r>
          </w:p>
          <w:p w14:paraId="5E31A2E6">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投标报价未超过招标文件设定的最高投标限价。</w:t>
            </w:r>
          </w:p>
          <w:p w14:paraId="37760EF9">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投标报价的大写金额能够确定具体数值。</w:t>
            </w:r>
          </w:p>
          <w:p w14:paraId="6001FF06">
            <w:pPr>
              <w:pStyle w:val="13"/>
              <w:keepLines w:val="0"/>
              <w:pageBreakBefore w:val="0"/>
              <w:shd w:val="clear" w:color="auto" w:fill="auto"/>
              <w:tabs>
                <w:tab w:val="left" w:pos="96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同一投标人未提交两个以上不同的投标报价，但招标文件要求提交备选投标的除外。</w:t>
            </w:r>
          </w:p>
        </w:tc>
      </w:tr>
      <w:tr w14:paraId="3905E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65FCCF0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6512852F">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6CC2F30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45287D49">
            <w:pPr>
              <w:pStyle w:val="13"/>
              <w:keepLines w:val="0"/>
              <w:pageBreakBefore w:val="0"/>
              <w:shd w:val="clear" w:color="auto" w:fill="auto"/>
              <w:tabs>
                <w:tab w:val="left" w:pos="946"/>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投标人具备有效的营业执照、勘察资质证书、设计资质证书和基本账户开户许可证明材料。</w:t>
            </w:r>
          </w:p>
          <w:p w14:paraId="1D38B33F">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投标人的资质等级符合招标文件规定。</w:t>
            </w:r>
          </w:p>
          <w:p w14:paraId="5B8FCE22">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投标人的类似项目业绩符合招标文件规定。</w:t>
            </w:r>
          </w:p>
          <w:p w14:paraId="1729B2F9">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投标人的信誉符合招标文件规定。</w:t>
            </w:r>
          </w:p>
          <w:p w14:paraId="01CD3D8B">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投标人的项目负责人资格符合招标文件规定。</w:t>
            </w:r>
          </w:p>
          <w:p w14:paraId="3DA2FE10">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78AC281A">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20A4337D">
            <w:pPr>
              <w:keepLines w:val="0"/>
              <w:pageBreakBefore w:val="0"/>
              <w:kinsoku/>
              <w:wordWrap/>
              <w:overflowPunct/>
              <w:topLinePunct w:val="0"/>
              <w:autoSpaceDE/>
              <w:autoSpaceDN/>
              <w:bidi w:val="0"/>
              <w:spacing w:line="360" w:lineRule="exact"/>
              <w:ind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53AB2F8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3EF0E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03EB940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76E76653">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36B3DF2C">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376AA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378891E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5AFCB2C0">
            <w:pPr>
              <w:keepLines w:val="0"/>
              <w:pageBreakBefore w:val="0"/>
              <w:kinsoku/>
              <w:wordWrap/>
              <w:overflowPunct/>
              <w:topLinePunct w:val="0"/>
              <w:autoSpaceDE/>
              <w:autoSpaceDN/>
              <w:bidi w:val="0"/>
              <w:spacing w:line="360" w:lineRule="exact"/>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7365F18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35DB5898">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31853873">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173D42B3">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11832803">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51F862F4">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79569289">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4530AE80">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rPr>
              <w:t>：</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18E1C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3E25095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5FD512A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19A31742">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4219F709">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22D7203D">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C4E4844">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0700DAAA">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82A6425">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bCs/>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w:t>
            </w:r>
            <w:r>
              <w:rPr>
                <w:rFonts w:hint="eastAsia" w:ascii="宋体" w:hAnsi="宋体" w:eastAsia="宋体" w:cs="宋体"/>
                <w:sz w:val="21"/>
                <w:szCs w:val="21"/>
                <w:highlight w:val="none"/>
              </w:rPr>
              <w:t>评标价平均值计算保留至二位小数，小数点后第三位“四舍五入”）。</w:t>
            </w:r>
          </w:p>
          <w:p w14:paraId="462414D0">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01D34B49">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399E2F30">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A33C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6982A35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7D53B7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0B51486F">
            <w:pPr>
              <w:keepLines w:val="0"/>
              <w:pageBreakBefore w:val="0"/>
              <w:kinsoku/>
              <w:wordWrap/>
              <w:overflowPunct/>
              <w:topLinePunct w:val="0"/>
              <w:autoSpaceDE/>
              <w:autoSpaceDN/>
              <w:bidi w:val="0"/>
              <w:spacing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062A632D">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3DEB6F78">
      <w:pPr>
        <w:keepLines w:val="0"/>
        <w:pageBreakBefore w:val="0"/>
        <w:kinsoku/>
        <w:wordWrap/>
        <w:overflowPunct/>
        <w:topLinePunct w:val="0"/>
        <w:autoSpaceDE/>
        <w:autoSpaceDN/>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6A2B0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3930A8B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063497A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0D166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501B2EB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22433B3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0FA107A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40EC085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4BDCE8F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76CB4A88">
            <w:pPr>
              <w:keepLines w:val="0"/>
              <w:pageBreakBefore w:val="0"/>
              <w:kinsoku/>
              <w:wordWrap/>
              <w:overflowPunct/>
              <w:topLinePunct w:val="0"/>
              <w:autoSpaceDE/>
              <w:autoSpaceDN/>
              <w:bidi w:val="0"/>
              <w:spacing w:line="360" w:lineRule="exact"/>
              <w:rPr>
                <w:rFonts w:hint="eastAsia" w:ascii="宋体" w:hAnsi="宋体" w:eastAsia="宋体" w:cs="宋体"/>
                <w:kern w:val="20"/>
                <w:sz w:val="21"/>
                <w:szCs w:val="21"/>
                <w:highlight w:val="none"/>
              </w:rPr>
            </w:pPr>
          </w:p>
        </w:tc>
      </w:tr>
      <w:tr w14:paraId="3C42F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1119E6F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49403B2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4E0BB8F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5385CA3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6294ADE5">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A7FAE91">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B392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12B24810">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220B087D">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4460D9C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5BF16E4D">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2AD2104B">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192DD06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6648A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082075A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78AF61F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974F41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535D4402">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186682A1">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0644A8E9">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工作量和计划安排与招标文件相符得6分，设计完成时间每提前一天加0.5分，最多加4分。</w:t>
            </w:r>
          </w:p>
          <w:p w14:paraId="784262EE">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注：①提前天数以外业验收申请、提交施工图设计文件送审稿和提交施工图设计文件报批稿累计提前的天数计算。</w:t>
            </w:r>
          </w:p>
          <w:p w14:paraId="01671ACC">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②如投标函与技术建议书的时间安排不一致时，以投标函中时间安排为准。</w:t>
            </w:r>
          </w:p>
        </w:tc>
      </w:tr>
      <w:tr w14:paraId="7E958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1B6C105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6DC1668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2223457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7C9CFED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7746DAF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50B7B480">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F1A8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3F2AD64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61C1CAC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7B3EC3C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72748B3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5AC5E6F8">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41E99DCB">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A2D8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5695419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77C4C15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5DA2A45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48B3A66E">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B491F8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2AAD2B7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63B50D0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06838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77" w:type="dxa"/>
            <w:shd w:val="clear" w:color="auto" w:fill="auto"/>
            <w:vAlign w:val="center"/>
          </w:tcPr>
          <w:p w14:paraId="62CD61F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3996E63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0A9457C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52BE638B">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4A9DC18D">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77E443C1">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2D775663">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2160F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090CCD92">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2886382B">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1EB07BE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10A06DE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6DBCEDC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7BA88BF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4E4BEEC8">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w:t>
            </w:r>
          </w:p>
          <w:p w14:paraId="574CECA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b/>
                <w:sz w:val="21"/>
                <w:szCs w:val="21"/>
                <w:highlight w:val="none"/>
                <w:lang w:val="en-US" w:eastAsia="zh-CN"/>
              </w:rPr>
              <w:t>5</w:t>
            </w:r>
            <w:r>
              <w:rPr>
                <w:rFonts w:hint="eastAsia" w:ascii="宋体" w:hAnsi="宋体" w:eastAsia="宋体" w:cs="宋体"/>
                <w:sz w:val="21"/>
                <w:szCs w:val="21"/>
                <w:highlight w:val="none"/>
              </w:rPr>
              <w:t>公里最低资格条件要求的业绩（一级公路和高速公路业绩全幅按2倍长度计算、半幅按1倍长度计算）加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分，最多加10分，</w:t>
            </w:r>
            <w:r>
              <w:rPr>
                <w:rFonts w:hint="eastAsia" w:ascii="宋体" w:hAnsi="宋体" w:eastAsia="宋体" w:cs="宋体"/>
                <w:sz w:val="21"/>
                <w:szCs w:val="21"/>
                <w:highlight w:val="none"/>
                <w:lang w:val="en-US" w:eastAsia="zh-CN"/>
              </w:rPr>
              <w:t>中间值按比例内插计算。</w:t>
            </w:r>
          </w:p>
          <w:p w14:paraId="4E98EAD6">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3B8D1AC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②以联合体形式投标的，只计算联合体牵头人业绩。</w:t>
            </w:r>
          </w:p>
          <w:p w14:paraId="5F5E4D0A">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720C7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6CEC57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CC8FDAE">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2E5A46D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316D788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7A16F53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30DCC43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6E9DFEAA">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2552CD3E">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20E79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2B6969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77EB3136">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F690E1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4EAC3E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27C9B5F5">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131A5326">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rPr>
              <w:t>分</w:t>
            </w:r>
          </w:p>
        </w:tc>
        <w:tc>
          <w:tcPr>
            <w:tcW w:w="3822" w:type="dxa"/>
            <w:shd w:val="clear" w:color="auto" w:fill="auto"/>
            <w:vAlign w:val="center"/>
          </w:tcPr>
          <w:p w14:paraId="75EABBF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7FF59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A08EC9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25F2D0E9">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4F8405F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AD4958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38B1E96">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2C82BCC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w:t>
            </w:r>
            <w:r>
              <w:rPr>
                <w:rFonts w:hint="eastAsia" w:ascii="宋体" w:hAnsi="宋体" w:eastAsia="宋体" w:cs="宋体"/>
                <w:sz w:val="21"/>
                <w:szCs w:val="21"/>
                <w:highlight w:val="none"/>
              </w:rPr>
              <w:t>分</w:t>
            </w:r>
          </w:p>
        </w:tc>
        <w:tc>
          <w:tcPr>
            <w:tcW w:w="3822" w:type="dxa"/>
            <w:shd w:val="clear" w:color="auto" w:fill="auto"/>
            <w:vAlign w:val="center"/>
          </w:tcPr>
          <w:p w14:paraId="47EDF838">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05E45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BF6020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70AF628B">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64A52A1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982A38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1EA79AF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7BA93D5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rPr>
              <w:t>分</w:t>
            </w:r>
          </w:p>
        </w:tc>
        <w:tc>
          <w:tcPr>
            <w:tcW w:w="3822" w:type="dxa"/>
            <w:shd w:val="clear" w:color="auto" w:fill="auto"/>
            <w:vAlign w:val="center"/>
          </w:tcPr>
          <w:p w14:paraId="46DC8AE0">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60AFE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23C00E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504669C">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71EE7D9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28CA73B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4417EF9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045BB19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7EF0A02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7464F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BB1B46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67553426">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7DEC4D5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20F061D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0C3738EF">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1D7C93E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用其《吉林省公路管理局2024年普通国省干线公路养护工程设计企业信用评价结果公告》（下称“2024年吉林省评价”）中的信用等级，如未列入2024年吉林省评价的，采用其《吉林省公路管理局2023年普通国省干线公路养护工程设计企业信用评价结果公告》中的信用等级；</w:t>
            </w:r>
          </w:p>
          <w:p w14:paraId="4AEEF33D">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用其《交通运输部关于公布2023年度公路建设市场全国综合信用评价结果的公告》（下称“2023年度全国评价”）中的设计企业评价等级，如未列入2023年度全国评价的，采用其《交通运输部关于公布2022年度公路建设市场全国综合信用评价结果的公告》中的</w:t>
            </w:r>
            <w:r>
              <w:rPr>
                <w:rFonts w:hint="eastAsia" w:ascii="宋体" w:hAnsi="宋体" w:eastAsia="宋体" w:cs="宋体"/>
                <w:sz w:val="21"/>
                <w:szCs w:val="21"/>
                <w:highlight w:val="none"/>
                <w:lang w:val="en-US" w:eastAsia="zh-CN"/>
              </w:rPr>
              <w:t>设计企业</w:t>
            </w:r>
            <w:r>
              <w:rPr>
                <w:rFonts w:hint="eastAsia" w:ascii="宋体" w:hAnsi="宋体" w:eastAsia="宋体" w:cs="宋体"/>
                <w:sz w:val="21"/>
                <w:szCs w:val="21"/>
                <w:highlight w:val="none"/>
              </w:rPr>
              <w:t>评价等级；</w:t>
            </w:r>
          </w:p>
          <w:p w14:paraId="7BC26BD9">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（3）投标人无以上的信用评价时，若未列入交通运输部“全国公路建设市场监督管理系统”中“不良信用记录”的，按A级对待，否则视其严重程度按B级或以下等级对待。</w:t>
            </w:r>
          </w:p>
          <w:p w14:paraId="1076F0FA">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2F78F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532451EA">
            <w:pPr>
              <w:pStyle w:val="14"/>
              <w:keepLines w:val="0"/>
              <w:pageBreakBefore w:val="0"/>
              <w:kinsoku/>
              <w:wordWrap/>
              <w:overflowPunct/>
              <w:topLinePunct w:val="0"/>
              <w:autoSpaceDE/>
              <w:autoSpaceDN/>
              <w:bidi w:val="0"/>
              <w:adjustRightInd w:val="0"/>
              <w:snapToGrid w:val="0"/>
              <w:spacing w:line="360" w:lineRule="exact"/>
              <w:ind w:left="420" w:firstLine="0" w:firstLineChars="0"/>
              <w:textAlignment w:val="baseline"/>
              <w:rPr>
                <w:rFonts w:hint="eastAsia" w:ascii="宋体" w:hAnsi="宋体" w:eastAsia="宋体" w:cs="宋体"/>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1C2F37E9">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w:t>
            </w:r>
            <w:r>
              <w:rPr>
                <w:rFonts w:hint="eastAsia" w:ascii="宋体" w:hAnsi="宋体" w:eastAsia="宋体" w:cs="宋体"/>
                <w:color w:val="auto"/>
                <w:sz w:val="21"/>
                <w:szCs w:val="21"/>
                <w:highlight w:val="none"/>
              </w:rPr>
              <w:t>白山市公路管理处</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地    址：白山市浑江区浑江大街40号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w:t>
            </w:r>
            <w:r>
              <w:rPr>
                <w:rFonts w:hint="eastAsia" w:ascii="宋体" w:hAnsi="宋体" w:eastAsia="宋体" w:cs="宋体"/>
                <w:color w:val="auto"/>
                <w:sz w:val="21"/>
                <w:szCs w:val="21"/>
                <w:highlight w:val="none"/>
              </w:rPr>
              <w:t>穆翠玲</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rPr>
              <w:t>0439-3350511</w:t>
            </w:r>
            <w:bookmarkStart w:id="21" w:name="_GoBack"/>
            <w:bookmarkEnd w:id="21"/>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5C667C7D">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7E6703DB">
      <w:pPr>
        <w:pStyle w:val="5"/>
        <w:snapToGrid w:val="0"/>
      </w:pPr>
      <w:r>
        <w:rPr>
          <w:rStyle w:val="8"/>
        </w:rPr>
        <w:footnoteRef/>
      </w:r>
      <w:bookmarkStart w:id="18" w:name="OLE_LINK75"/>
      <w:bookmarkStart w:id="19" w:name="OLE_LINK74"/>
      <w:r>
        <w:rPr>
          <w:rFonts w:hint="eastAsia" w:ascii="BatangChe" w:hAnsi="BatangChe"/>
          <w:b/>
        </w:rPr>
        <w:t>“</w:t>
      </w:r>
      <w:r>
        <w:rPr>
          <w:rFonts w:hint="eastAsia" w:ascii="BatangChe" w:hAnsi="BatangChe"/>
          <w:b/>
          <w:spacing w:val="-6"/>
        </w:rPr>
        <w:t>投标人自有人员”</w:t>
      </w:r>
      <w:bookmarkEnd w:id="18"/>
      <w:bookmarkEnd w:id="19"/>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2E509FB6">
      <w:pPr>
        <w:pStyle w:val="5"/>
        <w:snapToGrid w:val="0"/>
      </w:pPr>
      <w:r>
        <w:rPr>
          <w:rStyle w:val="8"/>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75CB304F">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38404012"/>
    <w:rsid w:val="3DB2627F"/>
    <w:rsid w:val="58F2172B"/>
    <w:rsid w:val="5AD5267A"/>
    <w:rsid w:val="5F2137CD"/>
    <w:rsid w:val="77141486"/>
    <w:rsid w:val="7D6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5154</Words>
  <Characters>5473</Characters>
  <Lines>42</Lines>
  <Paragraphs>12</Paragraphs>
  <TotalTime>1</TotalTime>
  <ScaleCrop>false</ScaleCrop>
  <LinksUpToDate>false</LinksUpToDate>
  <CharactersWithSpaces>5501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2026-01-06T02:55:53Z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2052-12.1.0.24034</vt:lpwstr>
  </property>
  <property fmtid="{D5CDD505-2E9C-101B-9397-08002B2CF9AE}" pid="4" name="ICV">
    <vt:lpwstr>D3FFF19BAB014F3AB6904F72D2573AD4_12</vt:lpwstr>
  </property>
</Properties>
</file>