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1249">
      <w:pPr>
        <w:keepNext w:val="0"/>
        <w:keepLines w:val="0"/>
        <w:pageBreakBefore w:val="0"/>
        <w:kinsoku/>
        <w:wordWrap/>
        <w:overflowPunct/>
        <w:topLinePunct w:val="0"/>
        <w:autoSpaceDE/>
        <w:autoSpaceDN/>
        <w:bidi w:val="0"/>
        <w:adjustRightInd w:val="0"/>
        <w:snapToGrid w:val="0"/>
        <w:spacing w:line="360" w:lineRule="exact"/>
        <w:ind w:firstLine="560" w:firstLineChars="200"/>
        <w:jc w:val="center"/>
        <w:textAlignment w:val="auto"/>
        <w:rPr>
          <w:rFonts w:hint="eastAsia" w:ascii="宋体" w:hAnsi="宋体" w:eastAsia="宋体"/>
          <w:sz w:val="28"/>
          <w:szCs w:val="28"/>
          <w:lang w:val="en-US" w:eastAsia="zh-CN"/>
        </w:rPr>
      </w:pPr>
      <w:bookmarkStart w:id="36" w:name="_GoBack"/>
      <w:bookmarkEnd w:id="36"/>
      <w:r>
        <w:rPr>
          <w:rFonts w:hint="eastAsia" w:ascii="宋体" w:hAnsi="宋体"/>
          <w:sz w:val="28"/>
          <w:szCs w:val="28"/>
        </w:rPr>
        <w:t>长春市省道环长春经济圈公路双阳南出口至山湾子段路面改造工程施工招标</w:t>
      </w:r>
      <w:r>
        <w:rPr>
          <w:rFonts w:hint="eastAsia" w:ascii="宋体" w:hAnsi="宋体"/>
          <w:sz w:val="28"/>
          <w:szCs w:val="28"/>
          <w:lang w:eastAsia="zh-CN"/>
        </w:rPr>
        <w:t>关键内容</w:t>
      </w:r>
    </w:p>
    <w:p w14:paraId="74B221BB">
      <w:pPr>
        <w:pageBreakBefore w:val="0"/>
        <w:kinsoku/>
        <w:wordWrap/>
        <w:overflowPunct/>
        <w:topLinePunct w:val="0"/>
        <w:bidi w:val="0"/>
        <w:adjustRightInd w:val="0"/>
        <w:snapToGrid w:val="0"/>
        <w:spacing w:line="360" w:lineRule="exact"/>
        <w:ind w:firstLine="211" w:firstLineChars="100"/>
        <w:jc w:val="left"/>
        <w:textAlignment w:val="auto"/>
        <w:rPr>
          <w:rFonts w:ascii="Times New Roman" w:hAnsi="Times New Roman" w:eastAsia="黑体"/>
          <w:b/>
          <w:bCs/>
          <w:sz w:val="21"/>
          <w:szCs w:val="21"/>
        </w:rPr>
      </w:pPr>
    </w:p>
    <w:p w14:paraId="49B8D0A4">
      <w:pPr>
        <w:pStyle w:val="2"/>
        <w:keepNext w:val="0"/>
        <w:keepLines w:val="0"/>
        <w:pageBreakBefore w:val="0"/>
        <w:kinsoku/>
        <w:wordWrap/>
        <w:overflowPunct/>
        <w:topLinePunct w:val="0"/>
        <w:bidi w:val="0"/>
        <w:spacing w:before="0" w:after="0" w:line="360" w:lineRule="exact"/>
        <w:ind w:firstLine="210" w:firstLineChars="100"/>
        <w:jc w:val="center"/>
        <w:textAlignment w:val="auto"/>
        <w:rPr>
          <w:rFonts w:ascii="黑体" w:hAnsi="黑体" w:eastAsia="黑体"/>
          <w:b w:val="0"/>
          <w:sz w:val="21"/>
          <w:szCs w:val="21"/>
        </w:rPr>
      </w:pPr>
      <w:bookmarkStart w:id="0" w:name="_Toc185946244"/>
      <w:bookmarkStart w:id="1" w:name="_Toc513907882"/>
      <w:r>
        <w:rPr>
          <w:rFonts w:ascii="黑体" w:hAnsi="黑体" w:eastAsia="黑体"/>
          <w:b w:val="0"/>
          <w:sz w:val="21"/>
          <w:szCs w:val="21"/>
        </w:rPr>
        <w:t>第二章　投标人须知</w:t>
      </w:r>
      <w:bookmarkEnd w:id="0"/>
      <w:bookmarkEnd w:id="1"/>
    </w:p>
    <w:p w14:paraId="52290CC7">
      <w:pPr>
        <w:pStyle w:val="3"/>
        <w:pageBreakBefore w:val="0"/>
        <w:kinsoku/>
        <w:wordWrap/>
        <w:overflowPunct/>
        <w:topLinePunct w:val="0"/>
        <w:bidi w:val="0"/>
        <w:adjustRightInd w:val="0"/>
        <w:snapToGrid w:val="0"/>
        <w:spacing w:before="0" w:after="0" w:line="360" w:lineRule="exact"/>
        <w:textAlignment w:val="auto"/>
        <w:rPr>
          <w:rFonts w:ascii="宋体" w:hAnsi="宋体"/>
          <w:b w:val="0"/>
          <w:sz w:val="21"/>
          <w:szCs w:val="21"/>
        </w:rPr>
      </w:pPr>
      <w:bookmarkStart w:id="2" w:name="_Toc197950682"/>
      <w:bookmarkStart w:id="3" w:name="_Toc197960493"/>
      <w:bookmarkStart w:id="4" w:name="_Toc197960545"/>
      <w:bookmarkStart w:id="5" w:name="_Toc197951588"/>
      <w:bookmarkStart w:id="6" w:name="_Toc197965597"/>
      <w:bookmarkStart w:id="7" w:name="_Toc197967266"/>
      <w:bookmarkStart w:id="8" w:name="_Toc197950803"/>
      <w:bookmarkStart w:id="9" w:name="_Toc197967118"/>
      <w:bookmarkStart w:id="10" w:name="_Toc185946245"/>
      <w:bookmarkStart w:id="11" w:name="_Toc513907883"/>
      <w:r>
        <w:rPr>
          <w:rFonts w:ascii="黑体" w:hAnsi="黑体" w:eastAsia="黑体"/>
          <w:b w:val="0"/>
          <w:sz w:val="21"/>
          <w:szCs w:val="21"/>
        </w:rPr>
        <w:t>投标人须知前附表</w:t>
      </w:r>
      <w:bookmarkEnd w:id="2"/>
      <w:bookmarkEnd w:id="3"/>
      <w:bookmarkEnd w:id="4"/>
      <w:bookmarkEnd w:id="5"/>
      <w:bookmarkEnd w:id="6"/>
      <w:bookmarkEnd w:id="7"/>
      <w:bookmarkEnd w:id="8"/>
      <w:bookmarkEnd w:id="9"/>
      <w:r>
        <w:rPr>
          <w:rStyle w:val="16"/>
          <w:rFonts w:ascii="宋体" w:hAnsi="宋体"/>
          <w:b w:val="0"/>
          <w:sz w:val="21"/>
          <w:szCs w:val="21"/>
        </w:rPr>
        <w:footnoteReference w:id="0"/>
      </w:r>
      <w:bookmarkEnd w:id="10"/>
      <w:bookmarkEnd w:id="11"/>
    </w:p>
    <w:tbl>
      <w:tblPr>
        <w:tblStyle w:val="13"/>
        <w:tblW w:w="9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59"/>
        <w:gridCol w:w="1591"/>
        <w:gridCol w:w="7019"/>
      </w:tblGrid>
      <w:tr w14:paraId="6B6D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blHeader/>
          <w:jc w:val="center"/>
        </w:trPr>
        <w:tc>
          <w:tcPr>
            <w:tcW w:w="959" w:type="dxa"/>
            <w:vAlign w:val="center"/>
          </w:tcPr>
          <w:p w14:paraId="0BDC0909">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条款号</w:t>
            </w:r>
          </w:p>
        </w:tc>
        <w:tc>
          <w:tcPr>
            <w:tcW w:w="1591" w:type="dxa"/>
            <w:vAlign w:val="center"/>
          </w:tcPr>
          <w:p w14:paraId="13535079">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条款名称</w:t>
            </w:r>
          </w:p>
        </w:tc>
        <w:tc>
          <w:tcPr>
            <w:tcW w:w="7019" w:type="dxa"/>
            <w:vAlign w:val="center"/>
          </w:tcPr>
          <w:p w14:paraId="7E430041">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Times New Roman" w:hAnsi="宋体"/>
                <w:sz w:val="21"/>
                <w:szCs w:val="21"/>
              </w:rPr>
              <w:t>编列内容</w:t>
            </w:r>
          </w:p>
        </w:tc>
      </w:tr>
      <w:tr w14:paraId="2F84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6B06B8E2">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1.1.2</w:t>
            </w:r>
          </w:p>
        </w:tc>
        <w:tc>
          <w:tcPr>
            <w:tcW w:w="1591" w:type="dxa"/>
            <w:vAlign w:val="center"/>
          </w:tcPr>
          <w:p w14:paraId="7BEF976E">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招标人</w:t>
            </w:r>
          </w:p>
        </w:tc>
        <w:tc>
          <w:tcPr>
            <w:tcW w:w="7019" w:type="dxa"/>
            <w:vAlign w:val="center"/>
          </w:tcPr>
          <w:p w14:paraId="3191555E">
            <w:pPr>
              <w:pageBreakBefore w:val="0"/>
              <w:kinsoku/>
              <w:wordWrap/>
              <w:overflowPunct/>
              <w:topLinePunct w:val="0"/>
              <w:bidi w:val="0"/>
              <w:adjustRightInd w:val="0"/>
              <w:snapToGrid w:val="0"/>
              <w:spacing w:line="360" w:lineRule="exact"/>
              <w:textAlignment w:val="auto"/>
              <w:rPr>
                <w:rFonts w:ascii="宋体" w:hAnsi="宋体"/>
                <w:color w:val="000000"/>
                <w:sz w:val="21"/>
                <w:szCs w:val="21"/>
              </w:rPr>
            </w:pPr>
            <w:r>
              <w:rPr>
                <w:rFonts w:hint="eastAsia" w:ascii="宋体" w:hAnsi="宋体"/>
                <w:sz w:val="21"/>
                <w:szCs w:val="21"/>
              </w:rPr>
              <w:t>见第一章招标公告</w:t>
            </w:r>
          </w:p>
        </w:tc>
      </w:tr>
      <w:tr w14:paraId="191C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120AF159">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1.1.3</w:t>
            </w:r>
          </w:p>
        </w:tc>
        <w:tc>
          <w:tcPr>
            <w:tcW w:w="1591" w:type="dxa"/>
            <w:vAlign w:val="center"/>
          </w:tcPr>
          <w:p w14:paraId="48D9A472">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招标</w:t>
            </w:r>
          </w:p>
          <w:p w14:paraId="60867D55">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代理机构</w:t>
            </w:r>
          </w:p>
        </w:tc>
        <w:tc>
          <w:tcPr>
            <w:tcW w:w="7019" w:type="dxa"/>
            <w:vAlign w:val="center"/>
          </w:tcPr>
          <w:p w14:paraId="22831081">
            <w:pPr>
              <w:pageBreakBefore w:val="0"/>
              <w:kinsoku/>
              <w:wordWrap/>
              <w:overflowPunct/>
              <w:topLinePunct w:val="0"/>
              <w:bidi w:val="0"/>
              <w:adjustRightInd w:val="0"/>
              <w:snapToGrid w:val="0"/>
              <w:spacing w:line="360" w:lineRule="exact"/>
              <w:textAlignment w:val="auto"/>
              <w:rPr>
                <w:sz w:val="21"/>
                <w:szCs w:val="21"/>
              </w:rPr>
            </w:pPr>
            <w:r>
              <w:rPr>
                <w:rFonts w:hint="eastAsia" w:ascii="宋体" w:hAnsi="宋体"/>
                <w:sz w:val="21"/>
                <w:szCs w:val="21"/>
              </w:rPr>
              <w:t>见第一章招标公告</w:t>
            </w:r>
          </w:p>
        </w:tc>
      </w:tr>
      <w:tr w14:paraId="64F8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055ED3DB">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1.1.4</w:t>
            </w:r>
          </w:p>
        </w:tc>
        <w:tc>
          <w:tcPr>
            <w:tcW w:w="1591" w:type="dxa"/>
            <w:vAlign w:val="center"/>
          </w:tcPr>
          <w:p w14:paraId="21F2279E">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hint="eastAsia" w:ascii="宋体" w:hAnsi="宋体"/>
                <w:sz w:val="21"/>
                <w:szCs w:val="21"/>
              </w:rPr>
              <w:t>招标</w:t>
            </w:r>
            <w:r>
              <w:rPr>
                <w:rFonts w:ascii="宋体" w:hAnsi="宋体"/>
                <w:sz w:val="21"/>
                <w:szCs w:val="21"/>
              </w:rPr>
              <w:t>项目名称</w:t>
            </w:r>
          </w:p>
        </w:tc>
        <w:tc>
          <w:tcPr>
            <w:tcW w:w="7019" w:type="dxa"/>
            <w:vAlign w:val="center"/>
          </w:tcPr>
          <w:p w14:paraId="61E68E92">
            <w:pPr>
              <w:pageBreakBefore w:val="0"/>
              <w:kinsoku/>
              <w:wordWrap/>
              <w:overflowPunct/>
              <w:topLinePunct w:val="0"/>
              <w:bidi w:val="0"/>
              <w:adjustRightInd w:val="0"/>
              <w:snapToGrid w:val="0"/>
              <w:spacing w:line="360" w:lineRule="exact"/>
              <w:textAlignment w:val="auto"/>
              <w:rPr>
                <w:rFonts w:ascii="宋体" w:hAnsi="宋体"/>
                <w:kern w:val="0"/>
                <w:sz w:val="21"/>
                <w:szCs w:val="21"/>
                <w:lang w:val="zh-CN"/>
              </w:rPr>
            </w:pPr>
            <w:r>
              <w:rPr>
                <w:rFonts w:hint="eastAsia" w:ascii="宋体" w:hAnsi="宋体"/>
                <w:kern w:val="0"/>
                <w:sz w:val="21"/>
                <w:szCs w:val="21"/>
                <w:lang w:val="zh-CN"/>
              </w:rPr>
              <w:t>长春市省道环长春经济圈公路双阳南出口至山湾子段路面改造工程</w:t>
            </w:r>
          </w:p>
        </w:tc>
      </w:tr>
      <w:tr w14:paraId="6F25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2723A3D1">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1.1.5</w:t>
            </w:r>
          </w:p>
        </w:tc>
        <w:tc>
          <w:tcPr>
            <w:tcW w:w="1591" w:type="dxa"/>
            <w:vAlign w:val="center"/>
          </w:tcPr>
          <w:p w14:paraId="1D503E47">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hint="eastAsia" w:ascii="宋体" w:hAnsi="宋体"/>
                <w:sz w:val="21"/>
                <w:szCs w:val="21"/>
              </w:rPr>
              <w:t>标段</w:t>
            </w:r>
            <w:r>
              <w:rPr>
                <w:rFonts w:ascii="宋体" w:hAnsi="宋体"/>
                <w:sz w:val="21"/>
                <w:szCs w:val="21"/>
              </w:rPr>
              <w:t>建设地点</w:t>
            </w:r>
          </w:p>
        </w:tc>
        <w:tc>
          <w:tcPr>
            <w:tcW w:w="7019" w:type="dxa"/>
            <w:vAlign w:val="center"/>
          </w:tcPr>
          <w:p w14:paraId="2A71E9DC">
            <w:pPr>
              <w:pageBreakBefore w:val="0"/>
              <w:kinsoku/>
              <w:wordWrap/>
              <w:overflowPunct/>
              <w:topLinePunct w:val="0"/>
              <w:autoSpaceDE w:val="0"/>
              <w:autoSpaceDN w:val="0"/>
              <w:bidi w:val="0"/>
              <w:adjustRightInd w:val="0"/>
              <w:snapToGrid w:val="0"/>
              <w:spacing w:line="360" w:lineRule="exact"/>
              <w:textAlignment w:val="auto"/>
              <w:rPr>
                <w:rFonts w:ascii="宋体" w:hAnsi="宋体"/>
                <w:kern w:val="0"/>
                <w:sz w:val="21"/>
                <w:szCs w:val="21"/>
              </w:rPr>
            </w:pPr>
            <w:r>
              <w:rPr>
                <w:rFonts w:hint="eastAsia" w:ascii="宋体" w:hAnsi="宋体"/>
                <w:sz w:val="21"/>
                <w:szCs w:val="21"/>
              </w:rPr>
              <w:t>见招标文件第一章“招标公告”</w:t>
            </w:r>
          </w:p>
        </w:tc>
      </w:tr>
      <w:tr w14:paraId="0E7D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0747B6AF">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1.2.1</w:t>
            </w:r>
          </w:p>
        </w:tc>
        <w:tc>
          <w:tcPr>
            <w:tcW w:w="1591" w:type="dxa"/>
            <w:vAlign w:val="center"/>
          </w:tcPr>
          <w:p w14:paraId="65381816">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资金来源</w:t>
            </w:r>
          </w:p>
          <w:p w14:paraId="3400ECE5">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hint="eastAsia" w:ascii="宋体" w:hAnsi="宋体"/>
                <w:sz w:val="21"/>
                <w:szCs w:val="21"/>
              </w:rPr>
              <w:t>及比例</w:t>
            </w:r>
          </w:p>
        </w:tc>
        <w:tc>
          <w:tcPr>
            <w:tcW w:w="7019" w:type="dxa"/>
            <w:vAlign w:val="center"/>
          </w:tcPr>
          <w:p w14:paraId="228CCC0F">
            <w:pPr>
              <w:pageBreakBefore w:val="0"/>
              <w:kinsoku/>
              <w:wordWrap/>
              <w:overflowPunct/>
              <w:topLinePunct w:val="0"/>
              <w:autoSpaceDE w:val="0"/>
              <w:autoSpaceDN w:val="0"/>
              <w:bidi w:val="0"/>
              <w:adjustRightInd w:val="0"/>
              <w:snapToGrid w:val="0"/>
              <w:spacing w:line="360" w:lineRule="exact"/>
              <w:textAlignment w:val="auto"/>
              <w:rPr>
                <w:rFonts w:ascii="宋体" w:hAnsi="宋体"/>
                <w:sz w:val="21"/>
                <w:szCs w:val="21"/>
              </w:rPr>
            </w:pPr>
            <w:r>
              <w:rPr>
                <w:rFonts w:hint="eastAsia" w:ascii="宋体" w:hAnsi="宋体"/>
                <w:sz w:val="21"/>
                <w:szCs w:val="21"/>
              </w:rPr>
              <w:t>见招标文件第一章“招标公告”</w:t>
            </w:r>
          </w:p>
        </w:tc>
      </w:tr>
      <w:tr w14:paraId="5945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70F9F184">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1.2.3</w:t>
            </w:r>
          </w:p>
        </w:tc>
        <w:tc>
          <w:tcPr>
            <w:tcW w:w="1591" w:type="dxa"/>
            <w:vAlign w:val="center"/>
          </w:tcPr>
          <w:p w14:paraId="3FB335C3">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资金</w:t>
            </w:r>
          </w:p>
          <w:p w14:paraId="59224764">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落实情况</w:t>
            </w:r>
          </w:p>
        </w:tc>
        <w:tc>
          <w:tcPr>
            <w:tcW w:w="7019" w:type="dxa"/>
            <w:vAlign w:val="center"/>
          </w:tcPr>
          <w:p w14:paraId="1319A118">
            <w:pPr>
              <w:pStyle w:val="11"/>
              <w:pageBreakBefore w:val="0"/>
              <w:pBdr>
                <w:bottom w:val="none" w:color="auto" w:sz="0" w:space="0"/>
              </w:pBdr>
              <w:tabs>
                <w:tab w:val="clear" w:pos="4153"/>
                <w:tab w:val="clear" w:pos="8306"/>
              </w:tabs>
              <w:kinsoku/>
              <w:wordWrap/>
              <w:overflowPunct/>
              <w:topLinePunct w:val="0"/>
              <w:autoSpaceDE w:val="0"/>
              <w:autoSpaceDN w:val="0"/>
              <w:bidi w:val="0"/>
              <w:adjustRightInd w:val="0"/>
              <w:spacing w:line="360" w:lineRule="exact"/>
              <w:jc w:val="both"/>
              <w:textAlignment w:val="auto"/>
              <w:rPr>
                <w:rFonts w:ascii="宋体" w:hAnsi="宋体"/>
                <w:kern w:val="2"/>
                <w:sz w:val="21"/>
                <w:szCs w:val="21"/>
              </w:rPr>
            </w:pPr>
            <w:r>
              <w:rPr>
                <w:rFonts w:ascii="宋体" w:hAnsi="宋体"/>
                <w:kern w:val="2"/>
                <w:sz w:val="21"/>
                <w:szCs w:val="21"/>
              </w:rPr>
              <w:t>已落实</w:t>
            </w:r>
          </w:p>
        </w:tc>
      </w:tr>
      <w:tr w14:paraId="0C45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68BF6CBE">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1.3.1</w:t>
            </w:r>
          </w:p>
        </w:tc>
        <w:tc>
          <w:tcPr>
            <w:tcW w:w="1591" w:type="dxa"/>
            <w:vAlign w:val="center"/>
          </w:tcPr>
          <w:p w14:paraId="12BBA93E">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招标范围</w:t>
            </w:r>
          </w:p>
        </w:tc>
        <w:tc>
          <w:tcPr>
            <w:tcW w:w="7019" w:type="dxa"/>
            <w:vAlign w:val="center"/>
          </w:tcPr>
          <w:p w14:paraId="4458586F">
            <w:pPr>
              <w:pStyle w:val="11"/>
              <w:pageBreakBefore w:val="0"/>
              <w:pBdr>
                <w:bottom w:val="none" w:color="auto" w:sz="0" w:space="0"/>
              </w:pBdr>
              <w:tabs>
                <w:tab w:val="clear" w:pos="4153"/>
                <w:tab w:val="clear" w:pos="8306"/>
              </w:tabs>
              <w:kinsoku/>
              <w:wordWrap/>
              <w:overflowPunct/>
              <w:topLinePunct w:val="0"/>
              <w:autoSpaceDE w:val="0"/>
              <w:autoSpaceDN w:val="0"/>
              <w:bidi w:val="0"/>
              <w:adjustRightInd w:val="0"/>
              <w:spacing w:line="360" w:lineRule="exact"/>
              <w:jc w:val="both"/>
              <w:textAlignment w:val="auto"/>
              <w:rPr>
                <w:rFonts w:ascii="黑体" w:hAnsi="黑体" w:eastAsia="黑体"/>
                <w:sz w:val="21"/>
                <w:szCs w:val="21"/>
              </w:rPr>
            </w:pPr>
            <w:r>
              <w:rPr>
                <w:rFonts w:hint="eastAsia" w:ascii="宋体" w:hAnsi="宋体"/>
                <w:kern w:val="2"/>
                <w:sz w:val="21"/>
                <w:szCs w:val="21"/>
              </w:rPr>
              <w:t>见招标文件第一章“招标公告”</w:t>
            </w:r>
          </w:p>
        </w:tc>
      </w:tr>
      <w:tr w14:paraId="7590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6088F54A">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1.3.2</w:t>
            </w:r>
          </w:p>
        </w:tc>
        <w:tc>
          <w:tcPr>
            <w:tcW w:w="1591" w:type="dxa"/>
            <w:vAlign w:val="center"/>
          </w:tcPr>
          <w:p w14:paraId="0136FE04">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计划工期</w:t>
            </w:r>
          </w:p>
        </w:tc>
        <w:tc>
          <w:tcPr>
            <w:tcW w:w="7019" w:type="dxa"/>
            <w:vAlign w:val="center"/>
          </w:tcPr>
          <w:p w14:paraId="35BB82AC">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见第一章招标公告</w:t>
            </w:r>
          </w:p>
        </w:tc>
      </w:tr>
      <w:tr w14:paraId="2FE1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4D76E8EE">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1.3.3</w:t>
            </w:r>
          </w:p>
        </w:tc>
        <w:tc>
          <w:tcPr>
            <w:tcW w:w="1591" w:type="dxa"/>
            <w:vAlign w:val="center"/>
          </w:tcPr>
          <w:p w14:paraId="65D2DA89">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质量要求</w:t>
            </w:r>
          </w:p>
        </w:tc>
        <w:tc>
          <w:tcPr>
            <w:tcW w:w="7019" w:type="dxa"/>
            <w:vAlign w:val="center"/>
          </w:tcPr>
          <w:p w14:paraId="65169F12">
            <w:pPr>
              <w:pageBreakBefore w:val="0"/>
              <w:kinsoku/>
              <w:wordWrap/>
              <w:overflowPunct/>
              <w:topLinePunct w:val="0"/>
              <w:autoSpaceDE w:val="0"/>
              <w:autoSpaceDN w:val="0"/>
              <w:bidi w:val="0"/>
              <w:adjustRightInd w:val="0"/>
              <w:snapToGrid w:val="0"/>
              <w:spacing w:line="360" w:lineRule="exact"/>
              <w:textAlignment w:val="auto"/>
              <w:rPr>
                <w:rFonts w:ascii="宋体" w:hAnsi="宋体"/>
                <w:b/>
                <w:kern w:val="0"/>
                <w:sz w:val="21"/>
                <w:szCs w:val="21"/>
                <w:lang w:val="zh-CN"/>
              </w:rPr>
            </w:pPr>
            <w:r>
              <w:rPr>
                <w:rFonts w:hint="eastAsia" w:ascii="宋体" w:hAnsi="宋体"/>
                <w:sz w:val="21"/>
                <w:szCs w:val="21"/>
              </w:rPr>
              <w:t>竣工验收的质量评定：</w:t>
            </w:r>
            <w:r>
              <w:rPr>
                <w:rFonts w:hint="eastAsia" w:ascii="黑体" w:hAnsi="黑体" w:eastAsia="黑体"/>
                <w:b/>
                <w:sz w:val="21"/>
                <w:szCs w:val="21"/>
                <w:u w:val="single"/>
              </w:rPr>
              <w:t xml:space="preserve"> </w:t>
            </w:r>
            <w:r>
              <w:rPr>
                <w:rFonts w:hint="eastAsia" w:ascii="宋体" w:hAnsi="宋体" w:eastAsia="黑体" w:cs="宋体"/>
                <w:b/>
                <w:sz w:val="21"/>
                <w:szCs w:val="21"/>
                <w:u w:val="single"/>
              </w:rPr>
              <w:t>优良</w:t>
            </w:r>
            <w:r>
              <w:rPr>
                <w:rFonts w:hint="eastAsia" w:ascii="宋体" w:hAnsi="宋体"/>
                <w:sz w:val="21"/>
                <w:szCs w:val="21"/>
                <w:u w:val="single"/>
              </w:rPr>
              <w:t xml:space="preserve"> </w:t>
            </w:r>
          </w:p>
        </w:tc>
      </w:tr>
      <w:tr w14:paraId="3CD2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7501E7A0">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1.3.</w:t>
            </w:r>
            <w:r>
              <w:rPr>
                <w:rFonts w:hint="eastAsia" w:ascii="宋体" w:hAnsi="宋体"/>
                <w:sz w:val="21"/>
                <w:szCs w:val="21"/>
              </w:rPr>
              <w:t>4</w:t>
            </w:r>
          </w:p>
        </w:tc>
        <w:tc>
          <w:tcPr>
            <w:tcW w:w="1591" w:type="dxa"/>
            <w:vAlign w:val="center"/>
          </w:tcPr>
          <w:p w14:paraId="651FECAB">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hint="eastAsia" w:ascii="Times New Roman" w:hAnsi="宋体"/>
                <w:sz w:val="21"/>
                <w:szCs w:val="21"/>
              </w:rPr>
              <w:t>安全目标</w:t>
            </w:r>
          </w:p>
        </w:tc>
        <w:tc>
          <w:tcPr>
            <w:tcW w:w="7019" w:type="dxa"/>
            <w:vAlign w:val="center"/>
          </w:tcPr>
          <w:p w14:paraId="14C74C97">
            <w:pPr>
              <w:pageBreakBefore w:val="0"/>
              <w:kinsoku/>
              <w:wordWrap/>
              <w:overflowPunct/>
              <w:topLinePunct w:val="0"/>
              <w:autoSpaceDE w:val="0"/>
              <w:autoSpaceDN w:val="0"/>
              <w:bidi w:val="0"/>
              <w:adjustRightInd w:val="0"/>
              <w:snapToGrid w:val="0"/>
              <w:spacing w:line="360" w:lineRule="exact"/>
              <w:textAlignment w:val="auto"/>
              <w:rPr>
                <w:rFonts w:ascii="宋体" w:hAnsi="宋体"/>
                <w:b/>
                <w:kern w:val="0"/>
                <w:sz w:val="21"/>
                <w:szCs w:val="21"/>
                <w:lang w:val="zh-CN"/>
              </w:rPr>
            </w:pPr>
            <w:bookmarkStart w:id="12" w:name="OLE_LINK2"/>
            <w:bookmarkStart w:id="13" w:name="OLE_LINK1"/>
            <w:r>
              <w:rPr>
                <w:rFonts w:hint="eastAsia" w:ascii="宋体" w:hAnsi="宋体"/>
                <w:kern w:val="0"/>
                <w:sz w:val="21"/>
                <w:szCs w:val="21"/>
              </w:rPr>
              <w:t>禁止发生一般及以上等级生产安全事故</w:t>
            </w:r>
            <w:bookmarkEnd w:id="12"/>
            <w:bookmarkEnd w:id="13"/>
          </w:p>
        </w:tc>
      </w:tr>
      <w:tr w14:paraId="2085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60AF7400">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1.4.1</w:t>
            </w:r>
          </w:p>
        </w:tc>
        <w:tc>
          <w:tcPr>
            <w:tcW w:w="1591" w:type="dxa"/>
            <w:vAlign w:val="center"/>
          </w:tcPr>
          <w:p w14:paraId="460216A4">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投标人资质条件、能力和信誉</w:t>
            </w:r>
          </w:p>
        </w:tc>
        <w:tc>
          <w:tcPr>
            <w:tcW w:w="7019" w:type="dxa"/>
            <w:vAlign w:val="center"/>
          </w:tcPr>
          <w:p w14:paraId="592B67F8">
            <w:pPr>
              <w:pageBreakBefore w:val="0"/>
              <w:kinsoku/>
              <w:wordWrap/>
              <w:overflowPunct/>
              <w:topLinePunct w:val="0"/>
              <w:bidi w:val="0"/>
              <w:adjustRightInd w:val="0"/>
              <w:snapToGrid w:val="0"/>
              <w:spacing w:line="360" w:lineRule="exact"/>
              <w:textAlignment w:val="auto"/>
              <w:rPr>
                <w:rFonts w:ascii="宋体" w:hAnsi="宋体"/>
                <w:kern w:val="0"/>
                <w:sz w:val="21"/>
                <w:szCs w:val="21"/>
                <w:lang w:val="zh-CN"/>
              </w:rPr>
            </w:pPr>
            <w:r>
              <w:rPr>
                <w:rFonts w:hint="eastAsia" w:ascii="宋体" w:hAnsi="宋体"/>
                <w:kern w:val="0"/>
                <w:sz w:val="21"/>
                <w:szCs w:val="21"/>
                <w:lang w:val="zh-CN"/>
              </w:rPr>
              <w:t>资质要求：见附录1</w:t>
            </w:r>
          </w:p>
          <w:p w14:paraId="71407F7D">
            <w:pPr>
              <w:pageBreakBefore w:val="0"/>
              <w:kinsoku/>
              <w:wordWrap/>
              <w:overflowPunct/>
              <w:topLinePunct w:val="0"/>
              <w:bidi w:val="0"/>
              <w:adjustRightInd w:val="0"/>
              <w:snapToGrid w:val="0"/>
              <w:spacing w:line="360" w:lineRule="exact"/>
              <w:textAlignment w:val="auto"/>
              <w:rPr>
                <w:rFonts w:ascii="宋体" w:hAnsi="宋体"/>
                <w:kern w:val="0"/>
                <w:sz w:val="21"/>
                <w:szCs w:val="21"/>
                <w:lang w:val="zh-CN"/>
              </w:rPr>
            </w:pPr>
            <w:r>
              <w:rPr>
                <w:rFonts w:hint="eastAsia" w:ascii="宋体" w:hAnsi="宋体"/>
                <w:kern w:val="0"/>
                <w:sz w:val="21"/>
                <w:szCs w:val="21"/>
                <w:lang w:val="zh-CN"/>
              </w:rPr>
              <w:t>财务要求：见附录2</w:t>
            </w:r>
          </w:p>
          <w:p w14:paraId="5267DBEA">
            <w:pPr>
              <w:pageBreakBefore w:val="0"/>
              <w:kinsoku/>
              <w:wordWrap/>
              <w:overflowPunct/>
              <w:topLinePunct w:val="0"/>
              <w:bidi w:val="0"/>
              <w:adjustRightInd w:val="0"/>
              <w:snapToGrid w:val="0"/>
              <w:spacing w:line="360" w:lineRule="exact"/>
              <w:textAlignment w:val="auto"/>
              <w:rPr>
                <w:rFonts w:ascii="宋体" w:hAnsi="宋体"/>
                <w:kern w:val="0"/>
                <w:sz w:val="21"/>
                <w:szCs w:val="21"/>
                <w:lang w:val="zh-CN"/>
              </w:rPr>
            </w:pPr>
            <w:r>
              <w:rPr>
                <w:rFonts w:hint="eastAsia" w:ascii="宋体" w:hAnsi="宋体"/>
                <w:kern w:val="0"/>
                <w:sz w:val="21"/>
                <w:szCs w:val="21"/>
                <w:lang w:val="zh-CN"/>
              </w:rPr>
              <w:t>业绩要求：见附录3</w:t>
            </w:r>
          </w:p>
          <w:p w14:paraId="756C836F">
            <w:pPr>
              <w:pageBreakBefore w:val="0"/>
              <w:kinsoku/>
              <w:wordWrap/>
              <w:overflowPunct/>
              <w:topLinePunct w:val="0"/>
              <w:bidi w:val="0"/>
              <w:adjustRightInd w:val="0"/>
              <w:snapToGrid w:val="0"/>
              <w:spacing w:line="360" w:lineRule="exact"/>
              <w:textAlignment w:val="auto"/>
              <w:rPr>
                <w:rFonts w:ascii="宋体" w:hAnsi="宋体"/>
                <w:kern w:val="0"/>
                <w:sz w:val="21"/>
                <w:szCs w:val="21"/>
                <w:lang w:val="zh-CN"/>
              </w:rPr>
            </w:pPr>
            <w:r>
              <w:rPr>
                <w:rFonts w:hint="eastAsia" w:ascii="宋体" w:hAnsi="宋体"/>
                <w:kern w:val="0"/>
                <w:sz w:val="21"/>
                <w:szCs w:val="21"/>
                <w:lang w:val="zh-CN"/>
              </w:rPr>
              <w:t>信誉要求：见附录4</w:t>
            </w:r>
          </w:p>
          <w:p w14:paraId="5EFB3AF3">
            <w:pPr>
              <w:pageBreakBefore w:val="0"/>
              <w:kinsoku/>
              <w:wordWrap/>
              <w:overflowPunct/>
              <w:topLinePunct w:val="0"/>
              <w:bidi w:val="0"/>
              <w:adjustRightInd w:val="0"/>
              <w:snapToGrid w:val="0"/>
              <w:spacing w:line="360" w:lineRule="exact"/>
              <w:textAlignment w:val="auto"/>
              <w:rPr>
                <w:rFonts w:ascii="宋体" w:hAnsi="宋体"/>
                <w:kern w:val="0"/>
                <w:sz w:val="21"/>
                <w:szCs w:val="21"/>
                <w:lang w:val="zh-CN"/>
              </w:rPr>
            </w:pPr>
            <w:r>
              <w:rPr>
                <w:rFonts w:hint="eastAsia" w:ascii="宋体" w:hAnsi="宋体"/>
                <w:kern w:val="0"/>
                <w:sz w:val="21"/>
                <w:szCs w:val="21"/>
                <w:lang w:val="zh-CN"/>
              </w:rPr>
              <w:t>项目经理和项目总工资格要求：见附录5</w:t>
            </w:r>
          </w:p>
          <w:p w14:paraId="67115F68">
            <w:pPr>
              <w:pageBreakBefore w:val="0"/>
              <w:kinsoku/>
              <w:wordWrap/>
              <w:overflowPunct/>
              <w:topLinePunct w:val="0"/>
              <w:bidi w:val="0"/>
              <w:adjustRightInd w:val="0"/>
              <w:snapToGrid w:val="0"/>
              <w:spacing w:line="360" w:lineRule="exact"/>
              <w:textAlignment w:val="auto"/>
              <w:rPr>
                <w:rFonts w:ascii="宋体" w:hAnsi="宋体"/>
                <w:kern w:val="0"/>
                <w:sz w:val="21"/>
                <w:szCs w:val="21"/>
                <w:lang w:val="zh-CN"/>
              </w:rPr>
            </w:pPr>
            <w:r>
              <w:rPr>
                <w:rFonts w:hint="eastAsia" w:ascii="宋体" w:hAnsi="宋体"/>
                <w:kern w:val="0"/>
                <w:sz w:val="21"/>
                <w:szCs w:val="21"/>
                <w:lang w:val="zh-CN"/>
              </w:rPr>
              <w:t>其他要求：无</w:t>
            </w:r>
          </w:p>
        </w:tc>
      </w:tr>
      <w:tr w14:paraId="3B93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4F829ADF">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1.4.2</w:t>
            </w:r>
          </w:p>
        </w:tc>
        <w:tc>
          <w:tcPr>
            <w:tcW w:w="1591" w:type="dxa"/>
            <w:vAlign w:val="center"/>
          </w:tcPr>
          <w:p w14:paraId="607C3354">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是否接受</w:t>
            </w:r>
            <w:r>
              <w:rPr>
                <w:rFonts w:hint="eastAsia" w:ascii="Times New Roman" w:hAnsi="宋体"/>
                <w:sz w:val="21"/>
                <w:szCs w:val="21"/>
              </w:rPr>
              <w:br w:type="textWrapping"/>
            </w:r>
            <w:r>
              <w:rPr>
                <w:rFonts w:ascii="Times New Roman" w:hAnsi="宋体"/>
                <w:sz w:val="21"/>
                <w:szCs w:val="21"/>
              </w:rPr>
              <w:t>联合体投标</w:t>
            </w:r>
          </w:p>
        </w:tc>
        <w:tc>
          <w:tcPr>
            <w:tcW w:w="7019" w:type="dxa"/>
            <w:vAlign w:val="center"/>
          </w:tcPr>
          <w:p w14:paraId="17CA00F3">
            <w:pPr>
              <w:pageBreakBefore w:val="0"/>
              <w:kinsoku/>
              <w:wordWrap/>
              <w:overflowPunct/>
              <w:topLinePunct w:val="0"/>
              <w:bidi w:val="0"/>
              <w:adjustRightInd w:val="0"/>
              <w:snapToGrid w:val="0"/>
              <w:spacing w:line="360" w:lineRule="exact"/>
              <w:textAlignment w:val="auto"/>
              <w:rPr>
                <w:rFonts w:ascii="宋体" w:hAnsi="宋体"/>
                <w:sz w:val="21"/>
                <w:szCs w:val="21"/>
                <w:lang w:val="zh-CN"/>
              </w:rPr>
            </w:pPr>
            <w:r>
              <w:rPr>
                <w:rFonts w:hint="eastAsia"/>
                <w:sz w:val="21"/>
                <w:szCs w:val="21"/>
              </w:rPr>
              <w:t>接受，应满足下列要求：见第一章招标公告</w:t>
            </w:r>
          </w:p>
        </w:tc>
      </w:tr>
      <w:tr w14:paraId="692D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161FE455">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1.4.3</w:t>
            </w:r>
          </w:p>
        </w:tc>
        <w:tc>
          <w:tcPr>
            <w:tcW w:w="1591" w:type="dxa"/>
            <w:vAlign w:val="center"/>
          </w:tcPr>
          <w:p w14:paraId="60874254">
            <w:pPr>
              <w:pageBreakBefore w:val="0"/>
              <w:kinsoku/>
              <w:wordWrap/>
              <w:overflowPunct/>
              <w:topLinePunct w:val="0"/>
              <w:bidi w:val="0"/>
              <w:adjustRightInd w:val="0"/>
              <w:snapToGrid w:val="0"/>
              <w:spacing w:line="360" w:lineRule="exact"/>
              <w:jc w:val="center"/>
              <w:textAlignment w:val="auto"/>
              <w:rPr>
                <w:rFonts w:ascii="Times New Roman" w:hAnsi="宋体"/>
                <w:kern w:val="0"/>
                <w:sz w:val="21"/>
                <w:szCs w:val="21"/>
                <w:lang w:val="zh-CN"/>
              </w:rPr>
            </w:pPr>
            <w:r>
              <w:rPr>
                <w:rFonts w:ascii="Times New Roman" w:hAnsi="宋体"/>
                <w:kern w:val="0"/>
                <w:sz w:val="21"/>
                <w:szCs w:val="21"/>
                <w:lang w:val="zh-CN"/>
              </w:rPr>
              <w:t>投标人不得</w:t>
            </w:r>
          </w:p>
          <w:p w14:paraId="40088C39">
            <w:pPr>
              <w:pageBreakBefore w:val="0"/>
              <w:kinsoku/>
              <w:wordWrap/>
              <w:overflowPunct/>
              <w:topLinePunct w:val="0"/>
              <w:bidi w:val="0"/>
              <w:adjustRightInd w:val="0"/>
              <w:snapToGrid w:val="0"/>
              <w:spacing w:line="360" w:lineRule="exact"/>
              <w:jc w:val="center"/>
              <w:textAlignment w:val="auto"/>
              <w:rPr>
                <w:rFonts w:ascii="Times New Roman" w:hAnsi="宋体"/>
                <w:kern w:val="0"/>
                <w:sz w:val="21"/>
                <w:szCs w:val="21"/>
                <w:lang w:val="zh-CN"/>
              </w:rPr>
            </w:pPr>
            <w:r>
              <w:rPr>
                <w:rFonts w:ascii="Times New Roman" w:hAnsi="宋体"/>
                <w:kern w:val="0"/>
                <w:sz w:val="21"/>
                <w:szCs w:val="21"/>
                <w:lang w:val="zh-CN"/>
              </w:rPr>
              <w:t>存在的</w:t>
            </w:r>
            <w:r>
              <w:rPr>
                <w:rFonts w:hint="eastAsia" w:ascii="Times New Roman" w:hAnsi="宋体"/>
                <w:kern w:val="0"/>
                <w:sz w:val="21"/>
                <w:szCs w:val="21"/>
                <w:lang w:val="zh-CN"/>
              </w:rPr>
              <w:t>其他</w:t>
            </w:r>
          </w:p>
          <w:p w14:paraId="22F83C47">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hint="eastAsia" w:ascii="Times New Roman" w:hAnsi="宋体"/>
                <w:kern w:val="0"/>
                <w:sz w:val="21"/>
                <w:szCs w:val="21"/>
                <w:lang w:val="zh-CN"/>
              </w:rPr>
              <w:t>关联情况</w:t>
            </w:r>
          </w:p>
        </w:tc>
        <w:tc>
          <w:tcPr>
            <w:tcW w:w="7019" w:type="dxa"/>
            <w:vAlign w:val="center"/>
          </w:tcPr>
          <w:p w14:paraId="282D33E8">
            <w:pPr>
              <w:pageBreakBefore w:val="0"/>
              <w:kinsoku/>
              <w:wordWrap/>
              <w:overflowPunct/>
              <w:topLinePunct w:val="0"/>
              <w:bidi w:val="0"/>
              <w:adjustRightInd w:val="0"/>
              <w:snapToGrid w:val="0"/>
              <w:spacing w:line="360" w:lineRule="exact"/>
              <w:ind w:firstLine="210" w:firstLineChars="100"/>
              <w:textAlignment w:val="auto"/>
              <w:rPr>
                <w:rFonts w:ascii="宋体" w:hAnsi="宋体"/>
                <w:kern w:val="0"/>
                <w:sz w:val="21"/>
                <w:szCs w:val="21"/>
                <w:lang w:val="zh-CN"/>
              </w:rPr>
            </w:pPr>
            <w:r>
              <w:rPr>
                <w:rFonts w:hint="eastAsia" w:ascii="宋体" w:hAnsi="宋体"/>
                <w:kern w:val="0"/>
                <w:sz w:val="21"/>
                <w:szCs w:val="21"/>
                <w:lang w:val="zh-CN"/>
              </w:rPr>
              <w:t>/</w:t>
            </w:r>
          </w:p>
        </w:tc>
      </w:tr>
      <w:tr w14:paraId="2C48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7EDA02C6">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1.4.4</w:t>
            </w:r>
          </w:p>
        </w:tc>
        <w:tc>
          <w:tcPr>
            <w:tcW w:w="1591" w:type="dxa"/>
            <w:vAlign w:val="center"/>
          </w:tcPr>
          <w:p w14:paraId="0CA960F7">
            <w:pPr>
              <w:pageBreakBefore w:val="0"/>
              <w:kinsoku/>
              <w:wordWrap/>
              <w:overflowPunct/>
              <w:topLinePunct w:val="0"/>
              <w:bidi w:val="0"/>
              <w:adjustRightInd w:val="0"/>
              <w:snapToGrid w:val="0"/>
              <w:spacing w:line="360" w:lineRule="exact"/>
              <w:jc w:val="center"/>
              <w:textAlignment w:val="auto"/>
              <w:rPr>
                <w:sz w:val="21"/>
                <w:szCs w:val="21"/>
              </w:rPr>
            </w:pPr>
            <w:r>
              <w:rPr>
                <w:rFonts w:hint="eastAsia"/>
                <w:sz w:val="21"/>
                <w:szCs w:val="21"/>
              </w:rPr>
              <w:t>投标人不得存在的其他不良状况或不良信用</w:t>
            </w:r>
          </w:p>
        </w:tc>
        <w:tc>
          <w:tcPr>
            <w:tcW w:w="7019" w:type="dxa"/>
            <w:vAlign w:val="center"/>
          </w:tcPr>
          <w:p w14:paraId="58F9A118">
            <w:pPr>
              <w:pageBreakBefore w:val="0"/>
              <w:kinsoku/>
              <w:wordWrap/>
              <w:overflowPunct/>
              <w:topLinePunct w:val="0"/>
              <w:bidi w:val="0"/>
              <w:spacing w:line="360" w:lineRule="exact"/>
              <w:ind w:firstLine="105" w:firstLineChars="50"/>
              <w:textAlignment w:val="auto"/>
              <w:rPr>
                <w:rFonts w:ascii="宋体" w:hAnsi="宋体"/>
                <w:sz w:val="21"/>
                <w:szCs w:val="21"/>
              </w:rPr>
            </w:pPr>
            <w:r>
              <w:rPr>
                <w:rFonts w:hint="eastAsia" w:ascii="宋体" w:hAnsi="宋体"/>
                <w:color w:val="000000"/>
                <w:sz w:val="21"/>
                <w:szCs w:val="21"/>
              </w:rPr>
              <w:t>本</w:t>
            </w:r>
            <w:r>
              <w:rPr>
                <w:rFonts w:hint="eastAsia" w:ascii="宋体" w:hAnsi="宋体"/>
                <w:sz w:val="21"/>
                <w:szCs w:val="21"/>
              </w:rPr>
              <w:t>款内容第（6）条修改为：</w:t>
            </w:r>
          </w:p>
          <w:p w14:paraId="7BA60CDA">
            <w:pPr>
              <w:pageBreakBefore w:val="0"/>
              <w:kinsoku/>
              <w:wordWrap/>
              <w:overflowPunct/>
              <w:topLinePunct w:val="0"/>
              <w:bidi w:val="0"/>
              <w:adjustRightInd w:val="0"/>
              <w:snapToGrid w:val="0"/>
              <w:spacing w:line="360" w:lineRule="exact"/>
              <w:ind w:firstLine="210" w:firstLineChars="100"/>
              <w:textAlignment w:val="auto"/>
              <w:rPr>
                <w:rFonts w:ascii="宋体" w:hAnsi="宋体"/>
                <w:kern w:val="0"/>
                <w:sz w:val="21"/>
                <w:szCs w:val="21"/>
              </w:rPr>
            </w:pPr>
            <w:r>
              <w:rPr>
                <w:rFonts w:hint="eastAsia" w:ascii="宋体" w:hAnsi="宋体"/>
                <w:sz w:val="21"/>
                <w:szCs w:val="21"/>
              </w:rPr>
              <w:t>（6）投标人或其法定代表人、拟委任的项目经理在近三年内有行贿犯罪行为的。</w:t>
            </w:r>
          </w:p>
        </w:tc>
      </w:tr>
      <w:tr w14:paraId="6B96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6136F279">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1.4.5</w:t>
            </w:r>
          </w:p>
        </w:tc>
        <w:tc>
          <w:tcPr>
            <w:tcW w:w="1591" w:type="dxa"/>
            <w:vAlign w:val="center"/>
          </w:tcPr>
          <w:p w14:paraId="1401008C">
            <w:pPr>
              <w:pageBreakBefore w:val="0"/>
              <w:kinsoku/>
              <w:wordWrap/>
              <w:overflowPunct/>
              <w:topLinePunct w:val="0"/>
              <w:bidi w:val="0"/>
              <w:adjustRightInd w:val="0"/>
              <w:snapToGrid w:val="0"/>
              <w:spacing w:line="360" w:lineRule="exact"/>
              <w:jc w:val="center"/>
              <w:textAlignment w:val="auto"/>
              <w:rPr>
                <w:sz w:val="21"/>
                <w:szCs w:val="21"/>
              </w:rPr>
            </w:pPr>
            <w:r>
              <w:rPr>
                <w:rFonts w:ascii="宋体" w:hAnsi="宋体"/>
                <w:sz w:val="21"/>
                <w:szCs w:val="21"/>
              </w:rPr>
              <w:t>施工资质企业名录</w:t>
            </w:r>
          </w:p>
        </w:tc>
        <w:tc>
          <w:tcPr>
            <w:tcW w:w="7019" w:type="dxa"/>
            <w:vAlign w:val="center"/>
          </w:tcPr>
          <w:p w14:paraId="057EC69E">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不适用</w:t>
            </w:r>
          </w:p>
        </w:tc>
      </w:tr>
      <w:tr w14:paraId="5FD4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Merge w:val="restart"/>
            <w:vAlign w:val="center"/>
          </w:tcPr>
          <w:p w14:paraId="7E48F0F8">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1.10.2</w:t>
            </w:r>
          </w:p>
        </w:tc>
        <w:tc>
          <w:tcPr>
            <w:tcW w:w="1591" w:type="dxa"/>
            <w:vMerge w:val="restart"/>
            <w:vAlign w:val="center"/>
          </w:tcPr>
          <w:p w14:paraId="4F51550D">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投标人</w:t>
            </w:r>
            <w:r>
              <w:rPr>
                <w:rFonts w:hint="eastAsia" w:ascii="宋体" w:hAnsi="宋体"/>
                <w:sz w:val="21"/>
                <w:szCs w:val="21"/>
              </w:rPr>
              <w:t>在投标预备会提出问题</w:t>
            </w:r>
          </w:p>
        </w:tc>
        <w:tc>
          <w:tcPr>
            <w:tcW w:w="7019" w:type="dxa"/>
            <w:vAlign w:val="center"/>
          </w:tcPr>
          <w:p w14:paraId="7E38B068">
            <w:pPr>
              <w:pageBreakBefore w:val="0"/>
              <w:kinsoku/>
              <w:wordWrap/>
              <w:overflowPunct/>
              <w:topLinePunct w:val="0"/>
              <w:bidi w:val="0"/>
              <w:adjustRightInd w:val="0"/>
              <w:snapToGrid w:val="0"/>
              <w:spacing w:line="360" w:lineRule="exact"/>
              <w:ind w:firstLine="105" w:firstLineChars="50"/>
              <w:textAlignment w:val="auto"/>
              <w:rPr>
                <w:rFonts w:ascii="宋体" w:hAnsi="宋体"/>
                <w:sz w:val="21"/>
                <w:szCs w:val="21"/>
              </w:rPr>
            </w:pPr>
            <w:r>
              <w:rPr>
                <w:rFonts w:hint="eastAsia" w:ascii="宋体" w:hAnsi="宋体"/>
                <w:sz w:val="21"/>
                <w:szCs w:val="21"/>
              </w:rPr>
              <w:t>时间：/</w:t>
            </w:r>
          </w:p>
        </w:tc>
      </w:tr>
      <w:tr w14:paraId="1E5E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Merge w:val="continue"/>
            <w:vAlign w:val="center"/>
          </w:tcPr>
          <w:p w14:paraId="755BDAC7">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p>
        </w:tc>
        <w:tc>
          <w:tcPr>
            <w:tcW w:w="1591" w:type="dxa"/>
            <w:vMerge w:val="continue"/>
            <w:vAlign w:val="center"/>
          </w:tcPr>
          <w:p w14:paraId="5FE5071E">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p>
        </w:tc>
        <w:tc>
          <w:tcPr>
            <w:tcW w:w="7019" w:type="dxa"/>
            <w:vAlign w:val="center"/>
          </w:tcPr>
          <w:p w14:paraId="704EE96E">
            <w:pPr>
              <w:pageBreakBefore w:val="0"/>
              <w:kinsoku/>
              <w:wordWrap/>
              <w:overflowPunct/>
              <w:topLinePunct w:val="0"/>
              <w:bidi w:val="0"/>
              <w:adjustRightInd w:val="0"/>
              <w:snapToGrid w:val="0"/>
              <w:spacing w:line="360" w:lineRule="exact"/>
              <w:ind w:firstLine="105" w:firstLineChars="50"/>
              <w:textAlignment w:val="auto"/>
              <w:rPr>
                <w:rFonts w:ascii="宋体" w:hAnsi="宋体"/>
                <w:sz w:val="21"/>
                <w:szCs w:val="21"/>
              </w:rPr>
            </w:pPr>
            <w:r>
              <w:rPr>
                <w:rFonts w:hint="eastAsia" w:ascii="宋体" w:hAnsi="宋体"/>
                <w:sz w:val="21"/>
                <w:szCs w:val="21"/>
              </w:rPr>
              <w:t>形式：</w:t>
            </w:r>
            <w:r>
              <w:rPr>
                <w:rFonts w:hint="eastAsia"/>
                <w:color w:val="000000"/>
                <w:sz w:val="21"/>
                <w:szCs w:val="21"/>
              </w:rPr>
              <w:t>使用 CA 数字证书登录“电子交易平台”，在“投标答疑”菜单以书面形式将提出的问题送达招标人</w:t>
            </w:r>
          </w:p>
        </w:tc>
      </w:tr>
      <w:tr w14:paraId="120E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19D2551C">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1</w:t>
            </w:r>
            <w:r>
              <w:rPr>
                <w:rFonts w:hint="eastAsia" w:ascii="宋体" w:hAnsi="宋体"/>
                <w:sz w:val="21"/>
                <w:szCs w:val="21"/>
              </w:rPr>
              <w:t>.</w:t>
            </w:r>
            <w:r>
              <w:rPr>
                <w:rFonts w:ascii="宋体" w:hAnsi="宋体"/>
                <w:sz w:val="21"/>
                <w:szCs w:val="21"/>
              </w:rPr>
              <w:t>11</w:t>
            </w:r>
            <w:r>
              <w:rPr>
                <w:rFonts w:hint="eastAsia" w:ascii="宋体" w:hAnsi="宋体"/>
                <w:sz w:val="21"/>
                <w:szCs w:val="21"/>
              </w:rPr>
              <w:t>.1</w:t>
            </w:r>
          </w:p>
        </w:tc>
        <w:tc>
          <w:tcPr>
            <w:tcW w:w="1591" w:type="dxa"/>
            <w:vAlign w:val="center"/>
          </w:tcPr>
          <w:p w14:paraId="3517E572">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cs="宋体"/>
                <w:sz w:val="21"/>
                <w:szCs w:val="21"/>
              </w:rPr>
              <w:t>分包</w:t>
            </w:r>
          </w:p>
        </w:tc>
        <w:tc>
          <w:tcPr>
            <w:tcW w:w="7019" w:type="dxa"/>
            <w:vAlign w:val="center"/>
          </w:tcPr>
          <w:p w14:paraId="70CA0AD2">
            <w:pPr>
              <w:pageBreakBefore w:val="0"/>
              <w:kinsoku/>
              <w:wordWrap/>
              <w:overflowPunct/>
              <w:topLinePunct w:val="0"/>
              <w:autoSpaceDE w:val="0"/>
              <w:autoSpaceDN w:val="0"/>
              <w:bidi w:val="0"/>
              <w:adjustRightInd w:val="0"/>
              <w:spacing w:line="360" w:lineRule="exact"/>
              <w:textAlignment w:val="auto"/>
              <w:rPr>
                <w:rFonts w:ascii="宋体" w:hAnsi="宋体"/>
                <w:kern w:val="0"/>
                <w:sz w:val="21"/>
                <w:szCs w:val="21"/>
              </w:rPr>
            </w:pPr>
            <w:r>
              <w:rPr>
                <w:rFonts w:hint="eastAsia" w:hAnsi="宋体"/>
                <w:kern w:val="0"/>
                <w:sz w:val="21"/>
                <w:szCs w:val="21"/>
                <w:lang w:val="zh-CN"/>
              </w:rPr>
              <w:t>不允许</w:t>
            </w:r>
          </w:p>
        </w:tc>
      </w:tr>
      <w:tr w14:paraId="431A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412C902E">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2.1</w:t>
            </w:r>
          </w:p>
        </w:tc>
        <w:tc>
          <w:tcPr>
            <w:tcW w:w="1591" w:type="dxa"/>
            <w:vAlign w:val="center"/>
          </w:tcPr>
          <w:p w14:paraId="65A40AE0">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构成招标文件的其他材料</w:t>
            </w:r>
          </w:p>
        </w:tc>
        <w:tc>
          <w:tcPr>
            <w:tcW w:w="7019" w:type="dxa"/>
            <w:vAlign w:val="center"/>
          </w:tcPr>
          <w:p w14:paraId="61422F3B">
            <w:pPr>
              <w:pageBreakBefore w:val="0"/>
              <w:kinsoku/>
              <w:wordWrap/>
              <w:overflowPunct/>
              <w:topLinePunct w:val="0"/>
              <w:bidi w:val="0"/>
              <w:adjustRightInd w:val="0"/>
              <w:snapToGrid w:val="0"/>
              <w:spacing w:line="360" w:lineRule="exact"/>
              <w:textAlignment w:val="auto"/>
              <w:rPr>
                <w:rFonts w:ascii="宋体" w:hAnsi="宋体" w:eastAsia="黑体"/>
                <w:sz w:val="21"/>
                <w:szCs w:val="21"/>
              </w:rPr>
            </w:pPr>
            <w:r>
              <w:rPr>
                <w:rFonts w:hint="eastAsia"/>
                <w:sz w:val="21"/>
                <w:szCs w:val="21"/>
              </w:rPr>
              <w:t>投标文件关</w:t>
            </w:r>
            <w:r>
              <w:rPr>
                <w:rFonts w:hint="eastAsia"/>
                <w:sz w:val="21"/>
                <w:szCs w:val="21"/>
                <w:highlight w:val="none"/>
              </w:rPr>
              <w:t>键内容摘录表、图纸扫描件由招标人提供。百度网盘</w:t>
            </w:r>
            <w:r>
              <w:rPr>
                <w:rFonts w:hint="eastAsia"/>
                <w:sz w:val="21"/>
                <w:szCs w:val="21"/>
                <w:highlight w:val="none"/>
                <w:lang w:val="zh-CN"/>
              </w:rPr>
              <w:t>链接: https://pan.baidu.com/s/1to6ygHMFbeYzSd9VrBuU6g   提取码: sf9g</w:t>
            </w:r>
            <w:r>
              <w:rPr>
                <w:rFonts w:hint="eastAsia"/>
                <w:sz w:val="21"/>
                <w:szCs w:val="21"/>
                <w:highlight w:val="none"/>
              </w:rPr>
              <w:t xml:space="preserve"> ，由投标人自行下载。</w:t>
            </w:r>
          </w:p>
        </w:tc>
      </w:tr>
      <w:tr w14:paraId="40F8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Merge w:val="restart"/>
            <w:vAlign w:val="center"/>
          </w:tcPr>
          <w:p w14:paraId="765B526A">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2.2.1</w:t>
            </w:r>
          </w:p>
        </w:tc>
        <w:tc>
          <w:tcPr>
            <w:tcW w:w="1591" w:type="dxa"/>
            <w:vMerge w:val="restart"/>
            <w:vAlign w:val="center"/>
          </w:tcPr>
          <w:p w14:paraId="2875B1BB">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投标人要求澄清招标文件</w:t>
            </w:r>
          </w:p>
        </w:tc>
        <w:tc>
          <w:tcPr>
            <w:tcW w:w="7019" w:type="dxa"/>
            <w:vAlign w:val="center"/>
          </w:tcPr>
          <w:p w14:paraId="46302B46">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时间：递交投标文件截止之日10天前</w:t>
            </w:r>
          </w:p>
        </w:tc>
      </w:tr>
      <w:tr w14:paraId="456D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Merge w:val="continue"/>
            <w:vAlign w:val="center"/>
          </w:tcPr>
          <w:p w14:paraId="2AEF9C86">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p>
        </w:tc>
        <w:tc>
          <w:tcPr>
            <w:tcW w:w="1591" w:type="dxa"/>
            <w:vMerge w:val="continue"/>
            <w:vAlign w:val="center"/>
          </w:tcPr>
          <w:p w14:paraId="45548769">
            <w:pPr>
              <w:pageBreakBefore w:val="0"/>
              <w:kinsoku/>
              <w:wordWrap/>
              <w:overflowPunct/>
              <w:topLinePunct w:val="0"/>
              <w:bidi w:val="0"/>
              <w:adjustRightInd w:val="0"/>
              <w:snapToGrid w:val="0"/>
              <w:spacing w:line="360" w:lineRule="exact"/>
              <w:jc w:val="center"/>
              <w:textAlignment w:val="auto"/>
              <w:rPr>
                <w:rFonts w:ascii="Times New Roman" w:hAnsi="宋体"/>
                <w:sz w:val="21"/>
                <w:szCs w:val="21"/>
              </w:rPr>
            </w:pPr>
          </w:p>
        </w:tc>
        <w:tc>
          <w:tcPr>
            <w:tcW w:w="7019" w:type="dxa"/>
            <w:vAlign w:val="center"/>
          </w:tcPr>
          <w:p w14:paraId="56DBB2F7">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形式：</w:t>
            </w:r>
            <w:r>
              <w:rPr>
                <w:rFonts w:hint="eastAsia"/>
                <w:sz w:val="21"/>
                <w:szCs w:val="21"/>
              </w:rPr>
              <w:t>使用 CA 数字证书登录“电子交易平台”，在“投标答疑”菜单以书面形式要求招标人对招标文件予以澄清</w:t>
            </w:r>
          </w:p>
        </w:tc>
      </w:tr>
      <w:tr w14:paraId="580F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1827447F">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2.2.2</w:t>
            </w:r>
          </w:p>
        </w:tc>
        <w:tc>
          <w:tcPr>
            <w:tcW w:w="1591" w:type="dxa"/>
            <w:vAlign w:val="center"/>
          </w:tcPr>
          <w:p w14:paraId="357B7130">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招标文件澄清发出的形式</w:t>
            </w:r>
          </w:p>
        </w:tc>
        <w:tc>
          <w:tcPr>
            <w:tcW w:w="7019" w:type="dxa"/>
            <w:vAlign w:val="center"/>
          </w:tcPr>
          <w:p w14:paraId="5BB208FD">
            <w:pPr>
              <w:pageBreakBefore w:val="0"/>
              <w:kinsoku/>
              <w:wordWrap/>
              <w:overflowPunct/>
              <w:topLinePunct w:val="0"/>
              <w:bidi w:val="0"/>
              <w:adjustRightInd w:val="0"/>
              <w:snapToGrid w:val="0"/>
              <w:spacing w:line="360" w:lineRule="exact"/>
              <w:jc w:val="left"/>
              <w:textAlignment w:val="auto"/>
              <w:rPr>
                <w:rFonts w:ascii="宋体" w:hAnsi="宋体" w:cs="Consolas"/>
                <w:iCs/>
                <w:sz w:val="21"/>
                <w:szCs w:val="21"/>
              </w:rPr>
            </w:pPr>
            <w:r>
              <w:rPr>
                <w:rFonts w:hint="eastAsia" w:ascii="宋体" w:hAnsi="宋体"/>
                <w:iCs/>
                <w:sz w:val="21"/>
                <w:szCs w:val="21"/>
              </w:rPr>
              <w:t>通过“电子交易平台”发出招标文件澄清</w:t>
            </w:r>
          </w:p>
        </w:tc>
      </w:tr>
      <w:tr w14:paraId="60D5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7072A5EC">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2.3.</w:t>
            </w:r>
            <w:r>
              <w:rPr>
                <w:rFonts w:hint="eastAsia" w:ascii="宋体" w:hAnsi="宋体"/>
                <w:sz w:val="21"/>
                <w:szCs w:val="21"/>
              </w:rPr>
              <w:t>1</w:t>
            </w:r>
          </w:p>
        </w:tc>
        <w:tc>
          <w:tcPr>
            <w:tcW w:w="1591" w:type="dxa"/>
            <w:vAlign w:val="center"/>
          </w:tcPr>
          <w:p w14:paraId="7954439F">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招标文件修改发出的形式</w:t>
            </w:r>
          </w:p>
        </w:tc>
        <w:tc>
          <w:tcPr>
            <w:tcW w:w="7019" w:type="dxa"/>
            <w:vAlign w:val="center"/>
          </w:tcPr>
          <w:p w14:paraId="30B31264">
            <w:pPr>
              <w:pageBreakBefore w:val="0"/>
              <w:kinsoku/>
              <w:wordWrap/>
              <w:overflowPunct/>
              <w:topLinePunct w:val="0"/>
              <w:bidi w:val="0"/>
              <w:adjustRightInd w:val="0"/>
              <w:snapToGrid w:val="0"/>
              <w:spacing w:line="360" w:lineRule="exact"/>
              <w:textAlignment w:val="auto"/>
              <w:rPr>
                <w:rFonts w:ascii="Consolas" w:hAnsi="Consolas" w:cs="Consolas"/>
                <w:i/>
                <w:sz w:val="21"/>
                <w:szCs w:val="21"/>
              </w:rPr>
            </w:pPr>
            <w:r>
              <w:rPr>
                <w:rFonts w:hint="eastAsia" w:ascii="宋体" w:hAnsi="宋体"/>
                <w:iCs/>
                <w:sz w:val="21"/>
                <w:szCs w:val="21"/>
              </w:rPr>
              <w:t>通过“电子交易平台”发出招标文件修改</w:t>
            </w:r>
          </w:p>
        </w:tc>
      </w:tr>
      <w:tr w14:paraId="3548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Merge w:val="restart"/>
            <w:vAlign w:val="center"/>
          </w:tcPr>
          <w:p w14:paraId="704DD78A">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2.3.2</w:t>
            </w:r>
          </w:p>
        </w:tc>
        <w:tc>
          <w:tcPr>
            <w:tcW w:w="1591" w:type="dxa"/>
            <w:vMerge w:val="restart"/>
            <w:vAlign w:val="center"/>
          </w:tcPr>
          <w:p w14:paraId="7552B1CE">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投标人确认收到招标文件</w:t>
            </w:r>
            <w:r>
              <w:rPr>
                <w:rFonts w:hint="eastAsia" w:ascii="宋体" w:hAnsi="宋体"/>
                <w:sz w:val="21"/>
                <w:szCs w:val="21"/>
              </w:rPr>
              <w:t>修改</w:t>
            </w:r>
          </w:p>
        </w:tc>
        <w:tc>
          <w:tcPr>
            <w:tcW w:w="7019" w:type="dxa"/>
            <w:vAlign w:val="center"/>
          </w:tcPr>
          <w:p w14:paraId="007C229A">
            <w:pPr>
              <w:pageBreakBefore w:val="0"/>
              <w:kinsoku/>
              <w:wordWrap/>
              <w:overflowPunct/>
              <w:topLinePunct w:val="0"/>
              <w:bidi w:val="0"/>
              <w:spacing w:line="360" w:lineRule="exact"/>
              <w:textAlignment w:val="auto"/>
              <w:rPr>
                <w:rFonts w:ascii="宋体" w:hAnsi="宋体"/>
                <w:sz w:val="21"/>
                <w:szCs w:val="21"/>
              </w:rPr>
            </w:pPr>
            <w:r>
              <w:rPr>
                <w:rFonts w:hint="eastAsia" w:hAnsi="宋体"/>
                <w:sz w:val="21"/>
                <w:szCs w:val="21"/>
              </w:rPr>
              <w:t>时间：</w:t>
            </w:r>
            <w:r>
              <w:rPr>
                <w:rFonts w:ascii="宋体" w:hAnsi="宋体"/>
                <w:sz w:val="21"/>
                <w:szCs w:val="21"/>
              </w:rPr>
              <w:t>/</w:t>
            </w:r>
          </w:p>
        </w:tc>
      </w:tr>
      <w:tr w14:paraId="7CF8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Merge w:val="continue"/>
            <w:vAlign w:val="center"/>
          </w:tcPr>
          <w:p w14:paraId="2AA74460">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p>
        </w:tc>
        <w:tc>
          <w:tcPr>
            <w:tcW w:w="1591" w:type="dxa"/>
            <w:vMerge w:val="continue"/>
            <w:vAlign w:val="center"/>
          </w:tcPr>
          <w:p w14:paraId="6DF6E3A3">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p>
        </w:tc>
        <w:tc>
          <w:tcPr>
            <w:tcW w:w="7019" w:type="dxa"/>
            <w:vAlign w:val="center"/>
          </w:tcPr>
          <w:p w14:paraId="3387D4B9">
            <w:pPr>
              <w:pageBreakBefore w:val="0"/>
              <w:kinsoku/>
              <w:wordWrap/>
              <w:overflowPunct/>
              <w:topLinePunct w:val="0"/>
              <w:bidi w:val="0"/>
              <w:spacing w:line="360" w:lineRule="exact"/>
              <w:textAlignment w:val="auto"/>
              <w:rPr>
                <w:rFonts w:ascii="宋体" w:hAnsi="宋体"/>
                <w:sz w:val="21"/>
                <w:szCs w:val="21"/>
              </w:rPr>
            </w:pPr>
            <w:r>
              <w:rPr>
                <w:rFonts w:hint="eastAsia" w:ascii="宋体" w:hAnsi="宋体"/>
                <w:sz w:val="21"/>
                <w:szCs w:val="21"/>
              </w:rPr>
              <w:t>形式：</w:t>
            </w:r>
            <w:r>
              <w:rPr>
                <w:rFonts w:hint="eastAsia"/>
                <w:sz w:val="21"/>
                <w:szCs w:val="21"/>
              </w:rPr>
              <w:t>投标人应自行关注并浏览电子交易平台信息，无需确认。</w:t>
            </w:r>
          </w:p>
        </w:tc>
      </w:tr>
      <w:tr w14:paraId="69D0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6360ABBA">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3.1</w:t>
            </w:r>
            <w:r>
              <w:rPr>
                <w:rFonts w:hint="eastAsia" w:ascii="宋体" w:hAnsi="宋体"/>
                <w:sz w:val="21"/>
                <w:szCs w:val="21"/>
              </w:rPr>
              <w:t>.1</w:t>
            </w:r>
          </w:p>
        </w:tc>
        <w:tc>
          <w:tcPr>
            <w:tcW w:w="1591" w:type="dxa"/>
            <w:vAlign w:val="center"/>
          </w:tcPr>
          <w:p w14:paraId="0EA8DC4F">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投标文件</w:t>
            </w:r>
            <w:r>
              <w:rPr>
                <w:rFonts w:ascii="宋体" w:hAnsi="宋体"/>
                <w:sz w:val="21"/>
                <w:szCs w:val="21"/>
              </w:rPr>
              <w:br w:type="textWrapping"/>
            </w:r>
            <w:r>
              <w:rPr>
                <w:rFonts w:hint="eastAsia" w:ascii="宋体" w:hAnsi="宋体"/>
                <w:sz w:val="21"/>
                <w:szCs w:val="21"/>
              </w:rPr>
              <w:t>密封形式</w:t>
            </w:r>
          </w:p>
        </w:tc>
        <w:tc>
          <w:tcPr>
            <w:tcW w:w="7019" w:type="dxa"/>
            <w:vAlign w:val="center"/>
          </w:tcPr>
          <w:p w14:paraId="7F187F17">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双信封</w:t>
            </w:r>
          </w:p>
        </w:tc>
      </w:tr>
      <w:tr w14:paraId="6835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7E96C844">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3.1.1</w:t>
            </w:r>
          </w:p>
        </w:tc>
        <w:tc>
          <w:tcPr>
            <w:tcW w:w="1591" w:type="dxa"/>
            <w:vAlign w:val="center"/>
          </w:tcPr>
          <w:p w14:paraId="798DDA7A">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构成投标文件的其他</w:t>
            </w:r>
            <w:r>
              <w:rPr>
                <w:rFonts w:hint="eastAsia" w:ascii="宋体" w:hAnsi="宋体"/>
                <w:sz w:val="21"/>
                <w:szCs w:val="21"/>
              </w:rPr>
              <w:t>资料</w:t>
            </w:r>
          </w:p>
        </w:tc>
        <w:tc>
          <w:tcPr>
            <w:tcW w:w="7019" w:type="dxa"/>
            <w:vAlign w:val="center"/>
          </w:tcPr>
          <w:p w14:paraId="52036B3D">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w:t>
            </w:r>
          </w:p>
        </w:tc>
      </w:tr>
      <w:tr w14:paraId="1378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8" w:hRule="atLeast"/>
          <w:jc w:val="center"/>
        </w:trPr>
        <w:tc>
          <w:tcPr>
            <w:tcW w:w="959" w:type="dxa"/>
            <w:vMerge w:val="restart"/>
            <w:vAlign w:val="center"/>
          </w:tcPr>
          <w:p w14:paraId="73E52C42">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3.2.1</w:t>
            </w:r>
          </w:p>
        </w:tc>
        <w:tc>
          <w:tcPr>
            <w:tcW w:w="1591" w:type="dxa"/>
            <w:vAlign w:val="center"/>
          </w:tcPr>
          <w:p w14:paraId="39DFD0BF">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增值税税金</w:t>
            </w:r>
          </w:p>
          <w:p w14:paraId="5A57F119">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的计算方法</w:t>
            </w:r>
          </w:p>
        </w:tc>
        <w:tc>
          <w:tcPr>
            <w:tcW w:w="7019" w:type="dxa"/>
            <w:vAlign w:val="center"/>
          </w:tcPr>
          <w:p w14:paraId="7AC93162">
            <w:pPr>
              <w:pageBreakBefore w:val="0"/>
              <w:kinsoku/>
              <w:wordWrap/>
              <w:overflowPunct/>
              <w:topLinePunct w:val="0"/>
              <w:bidi w:val="0"/>
              <w:adjustRightInd w:val="0"/>
              <w:snapToGrid w:val="0"/>
              <w:spacing w:line="360" w:lineRule="exact"/>
              <w:textAlignment w:val="auto"/>
              <w:rPr>
                <w:rFonts w:ascii="宋体" w:hAnsi="宋体"/>
                <w:sz w:val="21"/>
                <w:szCs w:val="21"/>
                <w:lang w:val="zh-CN"/>
              </w:rPr>
            </w:pPr>
            <w:r>
              <w:rPr>
                <w:rFonts w:hint="eastAsia" w:ascii="宋体" w:hAnsi="宋体"/>
                <w:sz w:val="21"/>
                <w:szCs w:val="21"/>
                <w:lang w:val="zh-CN"/>
              </w:rPr>
              <w:t>增值税税金的计算按国家相关规定执行。</w:t>
            </w:r>
          </w:p>
        </w:tc>
      </w:tr>
      <w:tr w14:paraId="71EB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Merge w:val="continue"/>
            <w:vAlign w:val="center"/>
          </w:tcPr>
          <w:p w14:paraId="0DEBD885">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p>
        </w:tc>
        <w:tc>
          <w:tcPr>
            <w:tcW w:w="1591" w:type="dxa"/>
            <w:vAlign w:val="center"/>
          </w:tcPr>
          <w:p w14:paraId="2BDE281B">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工程量清单</w:t>
            </w:r>
            <w:r>
              <w:rPr>
                <w:rFonts w:ascii="宋体" w:hAnsi="宋体"/>
                <w:sz w:val="21"/>
                <w:szCs w:val="21"/>
              </w:rPr>
              <w:br w:type="textWrapping"/>
            </w:r>
            <w:r>
              <w:rPr>
                <w:rFonts w:hint="eastAsia" w:ascii="宋体" w:hAnsi="宋体"/>
                <w:sz w:val="21"/>
                <w:szCs w:val="21"/>
              </w:rPr>
              <w:t>的填写方式</w:t>
            </w:r>
          </w:p>
        </w:tc>
        <w:tc>
          <w:tcPr>
            <w:tcW w:w="7019" w:type="dxa"/>
            <w:vAlign w:val="center"/>
          </w:tcPr>
          <w:p w14:paraId="04B559B8">
            <w:pPr>
              <w:pStyle w:val="11"/>
              <w:pageBreakBefore w:val="0"/>
              <w:pBdr>
                <w:bottom w:val="none" w:color="auto" w:sz="0" w:space="0"/>
              </w:pBdr>
              <w:tabs>
                <w:tab w:val="clear" w:pos="4153"/>
                <w:tab w:val="clear" w:pos="8306"/>
              </w:tabs>
              <w:kinsoku/>
              <w:wordWrap/>
              <w:overflowPunct/>
              <w:topLinePunct w:val="0"/>
              <w:bidi w:val="0"/>
              <w:snapToGrid/>
              <w:spacing w:line="360" w:lineRule="exact"/>
              <w:jc w:val="both"/>
              <w:textAlignment w:val="auto"/>
              <w:rPr>
                <w:sz w:val="21"/>
                <w:szCs w:val="21"/>
              </w:rPr>
            </w:pPr>
            <w:r>
              <w:rPr>
                <w:rFonts w:ascii="宋体" w:hAnsi="宋体" w:cs="宋体"/>
                <w:sz w:val="21"/>
                <w:szCs w:val="21"/>
                <w:lang w:val="zh-CN"/>
              </w:rPr>
              <w:fldChar w:fldCharType="begin"/>
            </w:r>
            <w:r>
              <w:rPr>
                <w:rFonts w:ascii="宋体" w:hAnsi="宋体" w:cs="宋体"/>
                <w:sz w:val="21"/>
                <w:szCs w:val="21"/>
                <w:lang w:val="zh-CN"/>
              </w:rPr>
              <w:instrText xml:space="preserve"> </w:instrText>
            </w:r>
            <w:r>
              <w:rPr>
                <w:rFonts w:hint="eastAsia" w:ascii="宋体" w:hAnsi="宋体" w:cs="宋体"/>
                <w:sz w:val="21"/>
                <w:szCs w:val="21"/>
                <w:lang w:val="zh-CN"/>
              </w:rPr>
              <w:instrText xml:space="preserve">eq \o\ac(</w:instrText>
            </w:r>
            <w:r>
              <w:rPr>
                <w:rFonts w:hint="eastAsia" w:ascii="宋体" w:hAnsi="宋体" w:cs="宋体"/>
                <w:position w:val="-4"/>
                <w:sz w:val="31"/>
                <w:szCs w:val="21"/>
                <w:lang w:val="zh-CN"/>
              </w:rPr>
              <w:instrText xml:space="preserve">□</w:instrText>
            </w:r>
            <w:r>
              <w:rPr>
                <w:rFonts w:hint="eastAsia" w:ascii="宋体" w:hAnsi="宋体" w:cs="宋体"/>
                <w:position w:val="0"/>
                <w:sz w:val="21"/>
                <w:szCs w:val="21"/>
                <w:lang w:val="zh-CN"/>
              </w:rPr>
              <w:instrText xml:space="preserve">,√)</w:instrText>
            </w:r>
            <w:r>
              <w:rPr>
                <w:rFonts w:ascii="宋体" w:hAnsi="宋体" w:cs="宋体"/>
                <w:sz w:val="21"/>
                <w:szCs w:val="21"/>
                <w:lang w:val="zh-CN"/>
              </w:rPr>
              <w:fldChar w:fldCharType="end"/>
            </w:r>
            <w:r>
              <w:rPr>
                <w:rFonts w:hint="eastAsia" w:hAnsi="宋体" w:cs="宋体"/>
                <w:sz w:val="21"/>
                <w:szCs w:val="21"/>
              </w:rPr>
              <w:t>投标人按照招标人提供的工程量固化清单电子文件填写工程量清单；下载网站：吉林省</w:t>
            </w:r>
            <w:r>
              <w:rPr>
                <w:rFonts w:hint="eastAsia" w:hAnsi="宋体" w:cs="宋体"/>
                <w:sz w:val="21"/>
                <w:szCs w:val="21"/>
                <w:lang w:val="zh-CN"/>
              </w:rPr>
              <w:t>公共资源交易一体化平台系统</w:t>
            </w:r>
            <w:r>
              <w:rPr>
                <w:rFonts w:hint="eastAsia" w:hAnsi="宋体" w:cs="宋体"/>
                <w:sz w:val="21"/>
                <w:szCs w:val="21"/>
              </w:rPr>
              <w:t>，请投标人自行下载。</w:t>
            </w:r>
          </w:p>
          <w:p w14:paraId="3C3FAD61">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w:t>
            </w:r>
            <w:r>
              <w:rPr>
                <w:rFonts w:hint="eastAsia" w:hAnsi="宋体"/>
                <w:sz w:val="21"/>
                <w:szCs w:val="21"/>
              </w:rPr>
              <w:t>投标人按照招标人提供的书面工程量清单填写工程量清单。</w:t>
            </w:r>
          </w:p>
        </w:tc>
      </w:tr>
      <w:tr w14:paraId="42DC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65E8B9E8">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3.2.3</w:t>
            </w:r>
          </w:p>
        </w:tc>
        <w:tc>
          <w:tcPr>
            <w:tcW w:w="1591" w:type="dxa"/>
            <w:vAlign w:val="center"/>
          </w:tcPr>
          <w:p w14:paraId="2C30D538">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报价方式</w:t>
            </w:r>
          </w:p>
        </w:tc>
        <w:tc>
          <w:tcPr>
            <w:tcW w:w="7019" w:type="dxa"/>
            <w:vAlign w:val="center"/>
          </w:tcPr>
          <w:p w14:paraId="68709A4F">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单价</w:t>
            </w:r>
          </w:p>
        </w:tc>
      </w:tr>
      <w:tr w14:paraId="4754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2AF758E2">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3.2.6</w:t>
            </w:r>
          </w:p>
        </w:tc>
        <w:tc>
          <w:tcPr>
            <w:tcW w:w="1591" w:type="dxa"/>
            <w:vAlign w:val="center"/>
          </w:tcPr>
          <w:p w14:paraId="6E19B256">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是否接受</w:t>
            </w:r>
          </w:p>
          <w:p w14:paraId="6ADB7E15">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调价函</w:t>
            </w:r>
          </w:p>
        </w:tc>
        <w:tc>
          <w:tcPr>
            <w:tcW w:w="7019" w:type="dxa"/>
            <w:tcBorders>
              <w:bottom w:val="single" w:color="auto" w:sz="4" w:space="0"/>
            </w:tcBorders>
            <w:vAlign w:val="center"/>
          </w:tcPr>
          <w:p w14:paraId="0180DAC0">
            <w:pPr>
              <w:pStyle w:val="11"/>
              <w:pageBreakBefore w:val="0"/>
              <w:pBdr>
                <w:bottom w:val="none" w:color="auto" w:sz="0" w:space="0"/>
              </w:pBdr>
              <w:tabs>
                <w:tab w:val="clear" w:pos="4153"/>
                <w:tab w:val="clear" w:pos="8306"/>
              </w:tabs>
              <w:kinsoku/>
              <w:wordWrap/>
              <w:overflowPunct/>
              <w:topLinePunct w:val="0"/>
              <w:bidi w:val="0"/>
              <w:adjustRightInd w:val="0"/>
              <w:spacing w:line="360" w:lineRule="exact"/>
              <w:jc w:val="both"/>
              <w:textAlignment w:val="auto"/>
              <w:rPr>
                <w:rFonts w:ascii="宋体" w:hAnsi="宋体"/>
                <w:kern w:val="2"/>
                <w:sz w:val="21"/>
                <w:szCs w:val="21"/>
              </w:rPr>
            </w:pPr>
            <w:r>
              <w:rPr>
                <w:rFonts w:ascii="宋体" w:hAnsi="宋体"/>
                <w:kern w:val="2"/>
                <w:sz w:val="21"/>
                <w:szCs w:val="21"/>
              </w:rPr>
              <w:t>否</w:t>
            </w:r>
          </w:p>
        </w:tc>
      </w:tr>
      <w:tr w14:paraId="424F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186188EA">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3.2.8</w:t>
            </w:r>
          </w:p>
        </w:tc>
        <w:tc>
          <w:tcPr>
            <w:tcW w:w="1591" w:type="dxa"/>
            <w:vAlign w:val="center"/>
          </w:tcPr>
          <w:p w14:paraId="70CE45E2">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最高投标限价</w:t>
            </w:r>
          </w:p>
        </w:tc>
        <w:tc>
          <w:tcPr>
            <w:tcW w:w="7019" w:type="dxa"/>
            <w:shd w:val="clear" w:color="auto" w:fill="auto"/>
            <w:vAlign w:val="center"/>
          </w:tcPr>
          <w:p w14:paraId="345BD6E1">
            <w:pPr>
              <w:pageBreakBefore w:val="0"/>
              <w:widowControl/>
              <w:kinsoku/>
              <w:wordWrap/>
              <w:overflowPunct/>
              <w:topLinePunct w:val="0"/>
              <w:bidi w:val="0"/>
              <w:adjustRightInd w:val="0"/>
              <w:snapToGrid w:val="0"/>
              <w:spacing w:line="360" w:lineRule="exact"/>
              <w:textAlignment w:val="auto"/>
              <w:rPr>
                <w:rFonts w:ascii="黑体" w:hAnsi="黑体"/>
                <w:color w:val="FF0000"/>
                <w:sz w:val="21"/>
                <w:szCs w:val="21"/>
              </w:rPr>
            </w:pPr>
            <w:r>
              <w:rPr>
                <w:rFonts w:hint="eastAsia" w:ascii="Times New Roman" w:hAnsi="宋体"/>
                <w:sz w:val="21"/>
                <w:szCs w:val="21"/>
                <w:highlight w:val="none"/>
              </w:rPr>
              <w:t>最高投标限价</w:t>
            </w:r>
            <w:r>
              <w:rPr>
                <w:rFonts w:hint="eastAsia" w:ascii="Times New Roman" w:hAnsi="宋体"/>
                <w:sz w:val="21"/>
                <w:szCs w:val="21"/>
                <w:highlight w:val="none"/>
                <w:lang w:val="en-US" w:eastAsia="zh-CN"/>
              </w:rPr>
              <w:t>36383868</w:t>
            </w:r>
            <w:r>
              <w:rPr>
                <w:rFonts w:hint="eastAsia" w:ascii="Times New Roman" w:hAnsi="宋体"/>
                <w:sz w:val="21"/>
                <w:szCs w:val="21"/>
                <w:highlight w:val="none"/>
              </w:rPr>
              <w:t>元（不设暂列金额）</w:t>
            </w:r>
          </w:p>
        </w:tc>
      </w:tr>
      <w:tr w14:paraId="2CCF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shd w:val="clear" w:color="auto" w:fill="auto"/>
            <w:vAlign w:val="center"/>
          </w:tcPr>
          <w:p w14:paraId="7102C14E">
            <w:pPr>
              <w:pageBreakBefore w:val="0"/>
              <w:kinsoku/>
              <w:wordWrap/>
              <w:overflowPunct/>
              <w:topLinePunct w:val="0"/>
              <w:bidi w:val="0"/>
              <w:adjustRightInd w:val="0"/>
              <w:snapToGrid w:val="0"/>
              <w:spacing w:before="100" w:beforeAutospacing="1" w:after="100" w:afterAutospacing="1" w:line="360" w:lineRule="exact"/>
              <w:jc w:val="center"/>
              <w:textAlignment w:val="auto"/>
              <w:rPr>
                <w:rFonts w:ascii="宋体" w:hAnsi="宋体"/>
                <w:sz w:val="21"/>
                <w:szCs w:val="21"/>
              </w:rPr>
            </w:pPr>
            <w:r>
              <w:rPr>
                <w:rFonts w:ascii="宋体" w:hAnsi="宋体"/>
                <w:sz w:val="21"/>
                <w:szCs w:val="21"/>
              </w:rPr>
              <w:t>3.3.1</w:t>
            </w:r>
          </w:p>
        </w:tc>
        <w:tc>
          <w:tcPr>
            <w:tcW w:w="1591" w:type="dxa"/>
            <w:shd w:val="clear" w:color="auto" w:fill="auto"/>
            <w:vAlign w:val="center"/>
          </w:tcPr>
          <w:p w14:paraId="11BEBC3C">
            <w:pPr>
              <w:pageBreakBefore w:val="0"/>
              <w:kinsoku/>
              <w:wordWrap/>
              <w:overflowPunct/>
              <w:topLinePunct w:val="0"/>
              <w:bidi w:val="0"/>
              <w:spacing w:line="360" w:lineRule="exact"/>
              <w:jc w:val="center"/>
              <w:textAlignment w:val="auto"/>
              <w:rPr>
                <w:sz w:val="21"/>
                <w:szCs w:val="21"/>
              </w:rPr>
            </w:pPr>
            <w:r>
              <w:rPr>
                <w:rFonts w:hint="eastAsia" w:hAnsi="宋体"/>
                <w:sz w:val="21"/>
                <w:szCs w:val="21"/>
              </w:rPr>
              <w:t>投标有效期</w:t>
            </w:r>
          </w:p>
        </w:tc>
        <w:tc>
          <w:tcPr>
            <w:tcW w:w="7019" w:type="dxa"/>
            <w:shd w:val="clear" w:color="auto" w:fill="auto"/>
            <w:vAlign w:val="center"/>
          </w:tcPr>
          <w:p w14:paraId="5D47F6AD">
            <w:pPr>
              <w:pageBreakBefore w:val="0"/>
              <w:kinsoku/>
              <w:wordWrap/>
              <w:overflowPunct/>
              <w:topLinePunct w:val="0"/>
              <w:bidi w:val="0"/>
              <w:spacing w:line="360" w:lineRule="exact"/>
              <w:textAlignment w:val="auto"/>
              <w:rPr>
                <w:sz w:val="21"/>
                <w:szCs w:val="21"/>
              </w:rPr>
            </w:pPr>
            <w:r>
              <w:rPr>
                <w:rFonts w:hint="eastAsia" w:hAnsi="宋体"/>
                <w:sz w:val="21"/>
                <w:szCs w:val="21"/>
              </w:rPr>
              <w:t>自投标人提交投标文件截止之日起计算</w:t>
            </w:r>
            <w:r>
              <w:rPr>
                <w:rFonts w:hint="eastAsia"/>
                <w:sz w:val="21"/>
                <w:szCs w:val="21"/>
                <w:u w:val="single"/>
              </w:rPr>
              <w:t>9</w:t>
            </w:r>
            <w:r>
              <w:rPr>
                <w:sz w:val="21"/>
                <w:szCs w:val="21"/>
                <w:u w:val="single"/>
              </w:rPr>
              <w:t>0</w:t>
            </w:r>
            <w:r>
              <w:rPr>
                <w:rFonts w:hint="eastAsia" w:hAnsi="宋体"/>
                <w:sz w:val="21"/>
                <w:szCs w:val="21"/>
              </w:rPr>
              <w:t>日</w:t>
            </w:r>
          </w:p>
        </w:tc>
      </w:tr>
      <w:tr w14:paraId="1EEB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265CB075">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3.4.</w:t>
            </w:r>
            <w:r>
              <w:rPr>
                <w:rFonts w:hint="eastAsia" w:ascii="宋体" w:hAnsi="宋体"/>
                <w:sz w:val="21"/>
                <w:szCs w:val="21"/>
              </w:rPr>
              <w:t>1</w:t>
            </w:r>
          </w:p>
        </w:tc>
        <w:tc>
          <w:tcPr>
            <w:tcW w:w="1591" w:type="dxa"/>
            <w:vAlign w:val="center"/>
          </w:tcPr>
          <w:p w14:paraId="4CEA4C20">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投标保证金</w:t>
            </w:r>
          </w:p>
          <w:p w14:paraId="53773660">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的递交</w:t>
            </w:r>
          </w:p>
        </w:tc>
        <w:tc>
          <w:tcPr>
            <w:tcW w:w="7019" w:type="dxa"/>
            <w:vAlign w:val="center"/>
          </w:tcPr>
          <w:p w14:paraId="1F6DD70B">
            <w:pPr>
              <w:pageBreakBefore w:val="0"/>
              <w:kinsoku/>
              <w:wordWrap/>
              <w:overflowPunct/>
              <w:topLinePunct w:val="0"/>
              <w:bidi w:val="0"/>
              <w:snapToGrid w:val="0"/>
              <w:spacing w:line="360" w:lineRule="exact"/>
              <w:textAlignment w:val="auto"/>
              <w:rPr>
                <w:rFonts w:ascii="宋体" w:hAnsi="宋体"/>
                <w:sz w:val="21"/>
                <w:szCs w:val="21"/>
              </w:rPr>
            </w:pPr>
            <w:r>
              <w:rPr>
                <w:rFonts w:hint="eastAsia" w:ascii="宋体" w:hAnsi="宋体"/>
                <w:kern w:val="0"/>
                <w:sz w:val="21"/>
                <w:szCs w:val="21"/>
                <w:lang w:val="zh-CN"/>
              </w:rPr>
              <w:t>投标保证金的金额</w:t>
            </w:r>
            <w:r>
              <w:rPr>
                <w:rFonts w:hint="eastAsia" w:ascii="宋体" w:hAnsi="宋体"/>
                <w:sz w:val="21"/>
                <w:szCs w:val="21"/>
              </w:rPr>
              <w:t>：</w:t>
            </w:r>
            <w:r>
              <w:rPr>
                <w:rFonts w:hint="eastAsia" w:ascii="宋体" w:hAnsi="宋体"/>
                <w:b/>
                <w:bCs/>
                <w:sz w:val="21"/>
                <w:szCs w:val="21"/>
              </w:rPr>
              <w:t>10万元</w:t>
            </w:r>
            <w:r>
              <w:rPr>
                <w:rFonts w:hint="eastAsia" w:ascii="宋体" w:hAnsi="宋体"/>
                <w:sz w:val="21"/>
                <w:szCs w:val="21"/>
              </w:rPr>
              <w:t>；</w:t>
            </w:r>
          </w:p>
          <w:p w14:paraId="53DF967D">
            <w:pPr>
              <w:pStyle w:val="17"/>
              <w:pageBreakBefore w:val="0"/>
              <w:shd w:val="clear" w:color="auto" w:fill="auto"/>
              <w:kinsoku/>
              <w:wordWrap/>
              <w:overflowPunct/>
              <w:topLinePunct w:val="0"/>
              <w:bidi w:val="0"/>
              <w:spacing w:line="360" w:lineRule="exact"/>
              <w:jc w:val="both"/>
              <w:textAlignment w:val="auto"/>
              <w:rPr>
                <w:sz w:val="21"/>
                <w:szCs w:val="21"/>
              </w:rPr>
            </w:pPr>
            <w:r>
              <w:rPr>
                <w:sz w:val="21"/>
                <w:szCs w:val="21"/>
              </w:rPr>
              <w:t>投标保证金可采用的形式：</w:t>
            </w:r>
            <w:r>
              <w:rPr>
                <w:rFonts w:hint="eastAsia"/>
                <w:sz w:val="21"/>
                <w:szCs w:val="21"/>
              </w:rPr>
              <w:t>现金、支票、银行保函、担保机构保函。</w:t>
            </w:r>
          </w:p>
          <w:p w14:paraId="439D1CEA">
            <w:pPr>
              <w:pageBreakBefore w:val="0"/>
              <w:kinsoku/>
              <w:wordWrap/>
              <w:overflowPunct/>
              <w:topLinePunct w:val="0"/>
              <w:bidi w:val="0"/>
              <w:adjustRightInd w:val="0"/>
              <w:snapToGrid w:val="0"/>
              <w:spacing w:line="360" w:lineRule="exact"/>
              <w:ind w:firstLine="420" w:firstLineChars="200"/>
              <w:textAlignment w:val="auto"/>
              <w:rPr>
                <w:sz w:val="21"/>
                <w:szCs w:val="21"/>
              </w:rPr>
            </w:pPr>
            <w:r>
              <w:rPr>
                <w:sz w:val="21"/>
                <w:szCs w:val="21"/>
              </w:rPr>
              <w:t>招标人指定的开户银行及账号如下：</w:t>
            </w:r>
          </w:p>
          <w:p w14:paraId="7D6B1F3C">
            <w:pPr>
              <w:pStyle w:val="17"/>
              <w:pageBreakBefore w:val="0"/>
              <w:shd w:val="clear" w:color="auto" w:fill="auto"/>
              <w:kinsoku/>
              <w:wordWrap/>
              <w:overflowPunct/>
              <w:topLinePunct w:val="0"/>
              <w:bidi w:val="0"/>
              <w:spacing w:line="360" w:lineRule="exact"/>
              <w:ind w:firstLine="399" w:firstLineChars="190"/>
              <w:jc w:val="both"/>
              <w:textAlignment w:val="auto"/>
              <w:rPr>
                <w:sz w:val="21"/>
                <w:szCs w:val="21"/>
              </w:rPr>
            </w:pPr>
            <w:r>
              <w:rPr>
                <w:rFonts w:hint="eastAsia"/>
                <w:sz w:val="21"/>
                <w:szCs w:val="21"/>
              </w:rPr>
              <w:t>企业名称：吉林鑫禹建设项目管理有限公司</w:t>
            </w:r>
          </w:p>
          <w:p w14:paraId="119A4606">
            <w:pPr>
              <w:pStyle w:val="17"/>
              <w:pageBreakBefore w:val="0"/>
              <w:shd w:val="clear" w:color="auto" w:fill="auto"/>
              <w:kinsoku/>
              <w:wordWrap/>
              <w:overflowPunct/>
              <w:topLinePunct w:val="0"/>
              <w:bidi w:val="0"/>
              <w:spacing w:line="360" w:lineRule="exact"/>
              <w:ind w:firstLine="399" w:firstLineChars="190"/>
              <w:jc w:val="both"/>
              <w:textAlignment w:val="auto"/>
              <w:rPr>
                <w:sz w:val="21"/>
                <w:szCs w:val="21"/>
              </w:rPr>
            </w:pPr>
            <w:r>
              <w:rPr>
                <w:rFonts w:hint="eastAsia"/>
                <w:sz w:val="21"/>
                <w:szCs w:val="21"/>
              </w:rPr>
              <w:t>开户行：长春净月榆银村镇银行股份有限公司</w:t>
            </w:r>
          </w:p>
          <w:p w14:paraId="667D0628">
            <w:pPr>
              <w:pStyle w:val="17"/>
              <w:pageBreakBefore w:val="0"/>
              <w:shd w:val="clear" w:color="auto" w:fill="auto"/>
              <w:kinsoku/>
              <w:wordWrap/>
              <w:overflowPunct/>
              <w:topLinePunct w:val="0"/>
              <w:bidi w:val="0"/>
              <w:spacing w:line="360" w:lineRule="exact"/>
              <w:ind w:firstLine="399" w:firstLineChars="190"/>
              <w:jc w:val="both"/>
              <w:textAlignment w:val="auto"/>
              <w:rPr>
                <w:sz w:val="21"/>
                <w:szCs w:val="21"/>
              </w:rPr>
            </w:pPr>
            <w:r>
              <w:rPr>
                <w:rFonts w:hint="eastAsia"/>
                <w:sz w:val="21"/>
                <w:szCs w:val="21"/>
              </w:rPr>
              <w:t>账号：1010010121015200007002</w:t>
            </w:r>
          </w:p>
          <w:p w14:paraId="65620C4A">
            <w:pPr>
              <w:pStyle w:val="17"/>
              <w:pageBreakBefore w:val="0"/>
              <w:shd w:val="clear" w:color="auto" w:fill="auto"/>
              <w:kinsoku/>
              <w:wordWrap/>
              <w:overflowPunct/>
              <w:topLinePunct w:val="0"/>
              <w:bidi w:val="0"/>
              <w:spacing w:line="360" w:lineRule="exact"/>
              <w:ind w:firstLine="399" w:firstLineChars="190"/>
              <w:jc w:val="both"/>
              <w:textAlignment w:val="auto"/>
              <w:rPr>
                <w:sz w:val="21"/>
                <w:szCs w:val="21"/>
              </w:rPr>
            </w:pPr>
            <w:r>
              <w:rPr>
                <w:rFonts w:hint="eastAsia"/>
                <w:sz w:val="21"/>
                <w:szCs w:val="21"/>
              </w:rPr>
              <w:t>行号：320241000108</w:t>
            </w:r>
          </w:p>
          <w:p w14:paraId="7D7E51F7">
            <w:pPr>
              <w:pStyle w:val="17"/>
              <w:pageBreakBefore w:val="0"/>
              <w:shd w:val="clear" w:color="auto" w:fill="auto"/>
              <w:kinsoku/>
              <w:wordWrap/>
              <w:overflowPunct/>
              <w:topLinePunct w:val="0"/>
              <w:bidi w:val="0"/>
              <w:spacing w:line="360" w:lineRule="exact"/>
              <w:ind w:firstLine="399" w:firstLineChars="190"/>
              <w:jc w:val="both"/>
              <w:textAlignment w:val="auto"/>
              <w:rPr>
                <w:sz w:val="21"/>
                <w:szCs w:val="21"/>
              </w:rPr>
            </w:pPr>
            <w:r>
              <w:rPr>
                <w:rFonts w:hint="eastAsia"/>
                <w:sz w:val="21"/>
                <w:szCs w:val="21"/>
              </w:rPr>
              <w:t>以银行或担保机构出具的保函形式递交的投标保证金，投标人应当在投标截止时间前在“</w:t>
            </w:r>
            <w:r>
              <w:rPr>
                <w:rFonts w:hint="eastAsia"/>
                <w:sz w:val="21"/>
                <w:szCs w:val="21"/>
                <w:lang w:val="en-US"/>
              </w:rPr>
              <w:t>电子交易平台”</w:t>
            </w:r>
            <w:r>
              <w:rPr>
                <w:rFonts w:hint="eastAsia"/>
                <w:sz w:val="21"/>
                <w:szCs w:val="21"/>
              </w:rPr>
              <w:t>中申请并开具成功。</w:t>
            </w:r>
          </w:p>
          <w:p w14:paraId="721B5DD3">
            <w:pPr>
              <w:pageBreakBefore w:val="0"/>
              <w:kinsoku/>
              <w:wordWrap/>
              <w:overflowPunct/>
              <w:topLinePunct w:val="0"/>
              <w:bidi w:val="0"/>
              <w:spacing w:line="360" w:lineRule="exact"/>
              <w:ind w:firstLine="420" w:firstLineChars="200"/>
              <w:textAlignment w:val="auto"/>
              <w:rPr>
                <w:rFonts w:ascii="宋体" w:hAnsi="宋体"/>
                <w:kern w:val="0"/>
                <w:sz w:val="21"/>
                <w:szCs w:val="21"/>
                <w:lang w:val="zh-CN"/>
              </w:rPr>
            </w:pPr>
            <w:r>
              <w:rPr>
                <w:rFonts w:hint="eastAsia"/>
                <w:sz w:val="21"/>
                <w:szCs w:val="21"/>
              </w:rPr>
              <w:t>以现金或支票形式递交的投标保证金，招标代理机构将在投标人须知正文第3.4.3项规定的期限内原路退还至投标人递交保证金的账户，投标人无需提供任何资料，请投标人注意查收。</w:t>
            </w:r>
          </w:p>
        </w:tc>
      </w:tr>
      <w:tr w14:paraId="720C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44EE317B">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3.4.</w:t>
            </w:r>
            <w:r>
              <w:rPr>
                <w:rFonts w:hint="eastAsia" w:ascii="宋体" w:hAnsi="宋体"/>
                <w:sz w:val="21"/>
                <w:szCs w:val="21"/>
              </w:rPr>
              <w:t>3</w:t>
            </w:r>
          </w:p>
        </w:tc>
        <w:tc>
          <w:tcPr>
            <w:tcW w:w="1591" w:type="dxa"/>
            <w:vAlign w:val="center"/>
          </w:tcPr>
          <w:p w14:paraId="00ED2470">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sz w:val="21"/>
                <w:szCs w:val="21"/>
              </w:rPr>
              <w:t>投标保证金的</w:t>
            </w:r>
            <w:r>
              <w:rPr>
                <w:rFonts w:hint="eastAsia"/>
                <w:sz w:val="21"/>
                <w:szCs w:val="21"/>
              </w:rPr>
              <w:br w:type="textWrapping"/>
            </w:r>
            <w:r>
              <w:rPr>
                <w:sz w:val="21"/>
                <w:szCs w:val="21"/>
              </w:rPr>
              <w:t>利息计算原则</w:t>
            </w:r>
          </w:p>
        </w:tc>
        <w:tc>
          <w:tcPr>
            <w:tcW w:w="7019" w:type="dxa"/>
            <w:vAlign w:val="center"/>
          </w:tcPr>
          <w:p w14:paraId="249B8D9E">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（1）</w:t>
            </w:r>
            <w:r>
              <w:rPr>
                <w:rFonts w:ascii="宋体" w:hAnsi="宋体"/>
                <w:sz w:val="21"/>
                <w:szCs w:val="21"/>
              </w:rPr>
              <w:t>计算利息的起始日期为投标截止当日，终止日期为招标人退还投标保证金日期的前一日；</w:t>
            </w:r>
          </w:p>
          <w:p w14:paraId="7E94B153">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（2）</w:t>
            </w:r>
            <w:r>
              <w:rPr>
                <w:rFonts w:ascii="宋体" w:hAnsi="宋体"/>
                <w:sz w:val="21"/>
                <w:szCs w:val="21"/>
              </w:rPr>
              <w:t>投标保证金的利息按照第（1）款所述计息时间段内招标人指定汇入银行公告的活期存款利率计付，并扣除招标人汇款手续费；</w:t>
            </w:r>
          </w:p>
          <w:p w14:paraId="2963BB12">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（3）</w:t>
            </w:r>
            <w:r>
              <w:rPr>
                <w:rFonts w:ascii="宋体" w:hAnsi="宋体"/>
                <w:sz w:val="21"/>
                <w:szCs w:val="21"/>
              </w:rPr>
              <w:t>利息金额计算至分位，分以下尾数四舍五入。</w:t>
            </w:r>
          </w:p>
        </w:tc>
      </w:tr>
      <w:tr w14:paraId="02EA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62761A76">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3.4.4</w:t>
            </w:r>
          </w:p>
        </w:tc>
        <w:tc>
          <w:tcPr>
            <w:tcW w:w="1591" w:type="dxa"/>
            <w:vAlign w:val="center"/>
          </w:tcPr>
          <w:p w14:paraId="67E2172D">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其他可以</w:t>
            </w:r>
            <w:r>
              <w:rPr>
                <w:rFonts w:ascii="宋体" w:hAnsi="宋体"/>
                <w:sz w:val="21"/>
                <w:szCs w:val="21"/>
              </w:rPr>
              <w:br w:type="textWrapping"/>
            </w:r>
            <w:r>
              <w:rPr>
                <w:rFonts w:hint="eastAsia" w:ascii="宋体" w:hAnsi="宋体"/>
                <w:sz w:val="21"/>
                <w:szCs w:val="21"/>
              </w:rPr>
              <w:t>不予退还</w:t>
            </w:r>
            <w:r>
              <w:rPr>
                <w:rFonts w:ascii="宋体" w:hAnsi="宋体"/>
                <w:sz w:val="21"/>
                <w:szCs w:val="21"/>
              </w:rPr>
              <w:br w:type="textWrapping"/>
            </w:r>
            <w:r>
              <w:rPr>
                <w:rFonts w:hint="eastAsia" w:ascii="宋体" w:hAnsi="宋体"/>
                <w:sz w:val="21"/>
                <w:szCs w:val="21"/>
              </w:rPr>
              <w:t>投标保证金情形</w:t>
            </w:r>
          </w:p>
        </w:tc>
        <w:tc>
          <w:tcPr>
            <w:tcW w:w="7019" w:type="dxa"/>
            <w:vAlign w:val="center"/>
          </w:tcPr>
          <w:p w14:paraId="67A01248">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w:t>
            </w:r>
          </w:p>
        </w:tc>
      </w:tr>
      <w:tr w14:paraId="1EE0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jc w:val="center"/>
        </w:trPr>
        <w:tc>
          <w:tcPr>
            <w:tcW w:w="959" w:type="dxa"/>
            <w:vAlign w:val="center"/>
          </w:tcPr>
          <w:p w14:paraId="6DEA962F">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3.5</w:t>
            </w:r>
          </w:p>
        </w:tc>
        <w:tc>
          <w:tcPr>
            <w:tcW w:w="1591" w:type="dxa"/>
            <w:vAlign w:val="center"/>
          </w:tcPr>
          <w:p w14:paraId="5B907FB0">
            <w:pPr>
              <w:pageBreakBefore w:val="0"/>
              <w:kinsoku/>
              <w:wordWrap/>
              <w:overflowPunct/>
              <w:topLinePunct w:val="0"/>
              <w:autoSpaceDE w:val="0"/>
              <w:autoSpaceDN w:val="0"/>
              <w:bidi w:val="0"/>
              <w:adjustRightInd w:val="0"/>
              <w:snapToGrid w:val="0"/>
              <w:spacing w:line="360" w:lineRule="exact"/>
              <w:jc w:val="center"/>
              <w:textAlignment w:val="auto"/>
              <w:rPr>
                <w:rFonts w:ascii="宋体" w:hAnsi="宋体"/>
                <w:sz w:val="21"/>
                <w:szCs w:val="21"/>
              </w:rPr>
            </w:pPr>
            <w:r>
              <w:rPr>
                <w:rFonts w:hint="eastAsia" w:ascii="Times New Roman" w:hAnsi="宋体"/>
                <w:sz w:val="21"/>
                <w:szCs w:val="21"/>
              </w:rPr>
              <w:t>资格审查资料</w:t>
            </w:r>
            <w:r>
              <w:rPr>
                <w:rFonts w:ascii="Times New Roman" w:hAnsi="宋体"/>
                <w:sz w:val="21"/>
                <w:szCs w:val="21"/>
              </w:rPr>
              <w:br w:type="textWrapping"/>
            </w:r>
            <w:r>
              <w:rPr>
                <w:rFonts w:hint="eastAsia" w:ascii="Times New Roman" w:hAnsi="宋体"/>
                <w:sz w:val="21"/>
                <w:szCs w:val="21"/>
              </w:rPr>
              <w:t>的特殊要求</w:t>
            </w:r>
          </w:p>
        </w:tc>
        <w:tc>
          <w:tcPr>
            <w:tcW w:w="7019" w:type="dxa"/>
            <w:vAlign w:val="center"/>
          </w:tcPr>
          <w:p w14:paraId="517F6205">
            <w:pPr>
              <w:pageBreakBefore w:val="0"/>
              <w:tabs>
                <w:tab w:val="left" w:pos="620"/>
              </w:tabs>
              <w:kinsoku/>
              <w:wordWrap/>
              <w:overflowPunct/>
              <w:topLinePunct w:val="0"/>
              <w:autoSpaceDE w:val="0"/>
              <w:autoSpaceDN w:val="0"/>
              <w:bidi w:val="0"/>
              <w:adjustRightInd w:val="0"/>
              <w:snapToGrid w:val="0"/>
              <w:spacing w:line="360" w:lineRule="exact"/>
              <w:textAlignment w:val="auto"/>
              <w:rPr>
                <w:rFonts w:ascii="宋体" w:hAnsi="宋体"/>
                <w:sz w:val="21"/>
                <w:szCs w:val="21"/>
              </w:rPr>
            </w:pPr>
            <w:r>
              <w:rPr>
                <w:rFonts w:hint="eastAsia" w:ascii="宋体" w:hAnsi="宋体"/>
                <w:sz w:val="21"/>
                <w:szCs w:val="21"/>
              </w:rPr>
              <w:t>无</w:t>
            </w:r>
          </w:p>
        </w:tc>
      </w:tr>
      <w:tr w14:paraId="1FCD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shd w:val="clear" w:color="auto" w:fill="auto"/>
            <w:vAlign w:val="center"/>
          </w:tcPr>
          <w:p w14:paraId="1D0D4478">
            <w:pPr>
              <w:pageBreakBefore w:val="0"/>
              <w:kinsoku/>
              <w:wordWrap/>
              <w:overflowPunct/>
              <w:topLinePunct w:val="0"/>
              <w:bidi w:val="0"/>
              <w:adjustRightInd w:val="0"/>
              <w:spacing w:line="360" w:lineRule="exact"/>
              <w:jc w:val="center"/>
              <w:textAlignment w:val="auto"/>
              <w:rPr>
                <w:rFonts w:ascii="宋体" w:hAnsi="宋体"/>
                <w:sz w:val="21"/>
                <w:szCs w:val="21"/>
              </w:rPr>
            </w:pPr>
            <w:r>
              <w:rPr>
                <w:rFonts w:hint="eastAsia" w:ascii="宋体" w:hAnsi="宋体"/>
                <w:sz w:val="21"/>
                <w:szCs w:val="21"/>
              </w:rPr>
              <w:t>3.5.1</w:t>
            </w:r>
          </w:p>
        </w:tc>
        <w:tc>
          <w:tcPr>
            <w:tcW w:w="1591" w:type="dxa"/>
            <w:shd w:val="clear" w:color="auto" w:fill="auto"/>
            <w:vAlign w:val="center"/>
          </w:tcPr>
          <w:p w14:paraId="210871AF">
            <w:pPr>
              <w:pageBreakBefore w:val="0"/>
              <w:kinsoku/>
              <w:wordWrap/>
              <w:overflowPunct/>
              <w:topLinePunct w:val="0"/>
              <w:bidi w:val="0"/>
              <w:spacing w:line="360" w:lineRule="exact"/>
              <w:jc w:val="center"/>
              <w:textAlignment w:val="auto"/>
              <w:rPr>
                <w:rFonts w:ascii="宋体" w:hAnsi="宋体"/>
                <w:color w:val="000000"/>
                <w:sz w:val="21"/>
                <w:szCs w:val="21"/>
              </w:rPr>
            </w:pPr>
            <w:r>
              <w:rPr>
                <w:rFonts w:hint="eastAsia" w:ascii="宋体" w:hAnsi="宋体"/>
                <w:color w:val="000000"/>
                <w:sz w:val="21"/>
                <w:szCs w:val="21"/>
              </w:rPr>
              <w:t>投标人基本情况表</w:t>
            </w:r>
          </w:p>
        </w:tc>
        <w:tc>
          <w:tcPr>
            <w:tcW w:w="7019" w:type="dxa"/>
            <w:vAlign w:val="center"/>
          </w:tcPr>
          <w:p w14:paraId="5BFE01FE">
            <w:pPr>
              <w:pageBreakBefore w:val="0"/>
              <w:kinsoku/>
              <w:wordWrap/>
              <w:overflowPunct/>
              <w:topLinePunct w:val="0"/>
              <w:bidi w:val="0"/>
              <w:adjustRightInd w:val="0"/>
              <w:snapToGrid w:val="0"/>
              <w:spacing w:line="360" w:lineRule="exact"/>
              <w:textAlignment w:val="auto"/>
              <w:rPr>
                <w:rFonts w:ascii="宋体" w:hAnsi="宋体" w:cs="宋体"/>
                <w:kern w:val="0"/>
                <w:sz w:val="21"/>
                <w:szCs w:val="21"/>
              </w:rPr>
            </w:pPr>
            <w:r>
              <w:rPr>
                <w:rFonts w:hint="eastAsia" w:ascii="宋体" w:hAnsi="宋体" w:cs="宋体"/>
                <w:kern w:val="0"/>
                <w:sz w:val="21"/>
                <w:szCs w:val="21"/>
              </w:rPr>
              <w:t>本款修改为：</w:t>
            </w:r>
          </w:p>
          <w:p w14:paraId="3A9F48B0">
            <w:pPr>
              <w:pageBreakBefore w:val="0"/>
              <w:kinsoku/>
              <w:wordWrap/>
              <w:overflowPunct/>
              <w:topLinePunct w:val="0"/>
              <w:bidi w:val="0"/>
              <w:spacing w:line="360" w:lineRule="exact"/>
              <w:ind w:firstLine="420" w:firstLineChars="200"/>
              <w:textAlignment w:val="auto"/>
              <w:rPr>
                <w:rFonts w:ascii="宋体" w:hAnsi="宋体" w:cs="宋体"/>
                <w:sz w:val="21"/>
                <w:szCs w:val="21"/>
              </w:rPr>
            </w:pPr>
            <w:r>
              <w:rPr>
                <w:rFonts w:hint="eastAsia" w:ascii="宋体" w:hAnsi="宋体" w:cs="宋体"/>
                <w:sz w:val="21"/>
                <w:szCs w:val="21"/>
              </w:rPr>
              <w:t>“投标人基本情况表”应附营业执照和组织机构代码证（按照“三证合一”或“五证合一”登记制度进行登记的，可仅提供营业执照，下同）、施工资质证书、安全生产许可证、</w:t>
            </w:r>
            <w:r>
              <w:rPr>
                <w:rFonts w:hint="eastAsia" w:ascii="华文楷体" w:hAnsi="华文楷体" w:eastAsia="华文楷体" w:cs="宋体"/>
                <w:sz w:val="21"/>
                <w:szCs w:val="21"/>
              </w:rPr>
              <w:t>基本账户开户</w:t>
            </w:r>
            <w:r>
              <w:rPr>
                <w:rFonts w:hint="eastAsia" w:ascii="华文楷体" w:hAnsi="华文楷体" w:eastAsia="华文楷体"/>
                <w:sz w:val="21"/>
                <w:szCs w:val="21"/>
              </w:rPr>
              <w:t>证明材料</w:t>
            </w:r>
            <w:r>
              <w:rPr>
                <w:rFonts w:hint="eastAsia" w:ascii="宋体" w:hAnsi="宋体" w:cs="宋体"/>
                <w:sz w:val="21"/>
                <w:szCs w:val="21"/>
              </w:rPr>
              <w:t>的复印件</w:t>
            </w:r>
            <w:r>
              <w:rPr>
                <w:rFonts w:hint="eastAsia" w:ascii="宋体" w:hAnsi="宋体" w:cs="宋体"/>
                <w:sz w:val="21"/>
                <w:szCs w:val="21"/>
                <w:vertAlign w:val="superscript"/>
              </w:rPr>
              <w:footnoteReference w:id="1"/>
            </w:r>
            <w:r>
              <w:rPr>
                <w:rFonts w:hint="eastAsia" w:ascii="宋体" w:hAnsi="宋体" w:cs="宋体"/>
                <w:sz w:val="21"/>
                <w:szCs w:val="21"/>
              </w:rPr>
              <w:t>，投标人在国家企业信用信息公示系统中基础信息（体现股东及出资详细信息）的网页截图复印件。</w:t>
            </w:r>
          </w:p>
          <w:p w14:paraId="0BB4527F">
            <w:pPr>
              <w:pageBreakBefore w:val="0"/>
              <w:tabs>
                <w:tab w:val="left" w:pos="620"/>
              </w:tabs>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cs="宋体"/>
                <w:sz w:val="21"/>
                <w:szCs w:val="21"/>
              </w:rPr>
              <w:t>企业法人营业执照和组织机构代码证、施工资质证书、安全生产许可证、</w:t>
            </w:r>
            <w:r>
              <w:rPr>
                <w:rFonts w:hint="eastAsia" w:ascii="华文楷体" w:hAnsi="华文楷体" w:eastAsia="华文楷体" w:cs="宋体"/>
                <w:sz w:val="21"/>
                <w:szCs w:val="21"/>
              </w:rPr>
              <w:t>基本账户开户证明材料</w:t>
            </w:r>
            <w:r>
              <w:rPr>
                <w:rFonts w:hint="eastAsia" w:ascii="宋体" w:hAnsi="宋体" w:cs="宋体"/>
                <w:sz w:val="21"/>
                <w:szCs w:val="21"/>
              </w:rPr>
              <w:t>的复印件应提供全本（证书封面、封底、空白页除外），应包括投标人名称、投标人其他相关信息、颁发机构名称、投标人信息变更情况等关键页在内，并逐页加盖投标人单位章。</w:t>
            </w:r>
          </w:p>
        </w:tc>
      </w:tr>
      <w:tr w14:paraId="2BBC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2901DB6D">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3.5.2</w:t>
            </w:r>
          </w:p>
        </w:tc>
        <w:tc>
          <w:tcPr>
            <w:tcW w:w="1591" w:type="dxa"/>
            <w:vAlign w:val="center"/>
          </w:tcPr>
          <w:p w14:paraId="474BB31F">
            <w:pPr>
              <w:pageBreakBefore w:val="0"/>
              <w:kinsoku/>
              <w:wordWrap/>
              <w:overflowPunct/>
              <w:topLinePunct w:val="0"/>
              <w:bidi w:val="0"/>
              <w:spacing w:line="360" w:lineRule="exact"/>
              <w:jc w:val="center"/>
              <w:textAlignment w:val="auto"/>
              <w:rPr>
                <w:sz w:val="21"/>
                <w:szCs w:val="21"/>
              </w:rPr>
            </w:pPr>
            <w:r>
              <w:rPr>
                <w:rFonts w:hint="eastAsia"/>
                <w:sz w:val="21"/>
                <w:szCs w:val="21"/>
              </w:rPr>
              <w:t>近年财务状况的</w:t>
            </w:r>
          </w:p>
          <w:p w14:paraId="3E2393E3">
            <w:pPr>
              <w:pageBreakBefore w:val="0"/>
              <w:kinsoku/>
              <w:wordWrap/>
              <w:overflowPunct/>
              <w:topLinePunct w:val="0"/>
              <w:bidi w:val="0"/>
              <w:spacing w:line="360" w:lineRule="exact"/>
              <w:jc w:val="center"/>
              <w:textAlignment w:val="auto"/>
              <w:rPr>
                <w:rFonts w:ascii="宋体" w:hAnsi="宋体" w:cs="宋体"/>
                <w:kern w:val="0"/>
                <w:sz w:val="21"/>
                <w:szCs w:val="21"/>
              </w:rPr>
            </w:pPr>
            <w:r>
              <w:rPr>
                <w:rFonts w:hint="eastAsia"/>
                <w:sz w:val="21"/>
                <w:szCs w:val="21"/>
              </w:rPr>
              <w:t>年份要求</w:t>
            </w:r>
          </w:p>
        </w:tc>
        <w:tc>
          <w:tcPr>
            <w:tcW w:w="7019" w:type="dxa"/>
            <w:vAlign w:val="center"/>
          </w:tcPr>
          <w:p w14:paraId="75ED4D51">
            <w:pPr>
              <w:pageBreakBefore w:val="0"/>
              <w:kinsoku/>
              <w:wordWrap/>
              <w:overflowPunct/>
              <w:topLinePunct w:val="0"/>
              <w:bidi w:val="0"/>
              <w:spacing w:line="360" w:lineRule="exact"/>
              <w:textAlignment w:val="auto"/>
              <w:rPr>
                <w:rFonts w:ascii="宋体" w:hAnsi="宋体" w:cs="宋体"/>
                <w:kern w:val="0"/>
                <w:sz w:val="21"/>
                <w:szCs w:val="21"/>
              </w:rPr>
            </w:pPr>
            <w:r>
              <w:rPr>
                <w:rFonts w:ascii="宋体" w:hAnsi="宋体"/>
                <w:sz w:val="21"/>
                <w:szCs w:val="21"/>
              </w:rPr>
              <w:t>20</w:t>
            </w:r>
            <w:r>
              <w:rPr>
                <w:rFonts w:hint="eastAsia" w:ascii="宋体" w:hAnsi="宋体"/>
                <w:sz w:val="21"/>
                <w:szCs w:val="21"/>
              </w:rPr>
              <w:t>23年度，投标人仅附“</w:t>
            </w:r>
            <w:r>
              <w:rPr>
                <w:sz w:val="21"/>
                <w:szCs w:val="21"/>
              </w:rPr>
              <w:t>资产负债表、现金流量表、利润表</w:t>
            </w:r>
            <w:r>
              <w:rPr>
                <w:rFonts w:hint="eastAsia"/>
                <w:sz w:val="21"/>
                <w:szCs w:val="21"/>
              </w:rPr>
              <w:t>”即可。</w:t>
            </w:r>
          </w:p>
        </w:tc>
      </w:tr>
      <w:tr w14:paraId="7EC6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6BEACF7D">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3.5.3</w:t>
            </w:r>
          </w:p>
        </w:tc>
        <w:tc>
          <w:tcPr>
            <w:tcW w:w="1591" w:type="dxa"/>
            <w:vAlign w:val="center"/>
          </w:tcPr>
          <w:p w14:paraId="2A26EBB1">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近年完成的</w:t>
            </w:r>
            <w:r>
              <w:rPr>
                <w:rFonts w:hint="eastAsia" w:ascii="Times New Roman" w:hAnsi="宋体"/>
                <w:sz w:val="21"/>
                <w:szCs w:val="21"/>
              </w:rPr>
              <w:br w:type="textWrapping"/>
            </w:r>
            <w:r>
              <w:rPr>
                <w:rFonts w:ascii="Times New Roman" w:hAnsi="宋体"/>
                <w:sz w:val="21"/>
                <w:szCs w:val="21"/>
              </w:rPr>
              <w:t>类似项目</w:t>
            </w:r>
            <w:r>
              <w:rPr>
                <w:rFonts w:hint="eastAsia" w:ascii="Times New Roman" w:hAnsi="宋体"/>
                <w:sz w:val="21"/>
                <w:szCs w:val="21"/>
              </w:rPr>
              <w:t>情况的</w:t>
            </w:r>
            <w:r>
              <w:rPr>
                <w:rFonts w:ascii="Times New Roman" w:hAnsi="宋体"/>
                <w:sz w:val="21"/>
                <w:szCs w:val="21"/>
              </w:rPr>
              <w:br w:type="textWrapping"/>
            </w:r>
            <w:r>
              <w:rPr>
                <w:rFonts w:hint="eastAsia" w:ascii="Times New Roman" w:hAnsi="宋体"/>
                <w:sz w:val="21"/>
                <w:szCs w:val="21"/>
              </w:rPr>
              <w:t>时间要求</w:t>
            </w:r>
          </w:p>
        </w:tc>
        <w:tc>
          <w:tcPr>
            <w:tcW w:w="7019" w:type="dxa"/>
            <w:vAlign w:val="center"/>
          </w:tcPr>
          <w:p w14:paraId="322CB3C0">
            <w:pPr>
              <w:pageBreakBefore w:val="0"/>
              <w:kinsoku/>
              <w:wordWrap/>
              <w:overflowPunct/>
              <w:topLinePunct w:val="0"/>
              <w:autoSpaceDE w:val="0"/>
              <w:autoSpaceDN w:val="0"/>
              <w:bidi w:val="0"/>
              <w:adjustRightInd w:val="0"/>
              <w:snapToGrid w:val="0"/>
              <w:spacing w:line="360" w:lineRule="exact"/>
              <w:textAlignment w:val="auto"/>
              <w:rPr>
                <w:rFonts w:ascii="宋体" w:hAnsi="宋体"/>
                <w:sz w:val="21"/>
                <w:szCs w:val="21"/>
              </w:rPr>
            </w:pPr>
            <w:r>
              <w:rPr>
                <w:rFonts w:hint="eastAsia" w:ascii="宋体" w:hAnsi="宋体"/>
                <w:sz w:val="21"/>
                <w:szCs w:val="21"/>
              </w:rPr>
              <w:t>2020年1月1日至投标截止时间，两阶段验收工程以交工时间为准，一阶段验收工程以交工或竣工时间为准，下同。</w:t>
            </w:r>
          </w:p>
          <w:p w14:paraId="77F8AD68">
            <w:pPr>
              <w:pStyle w:val="18"/>
              <w:pageBreakBefore w:val="0"/>
              <w:kinsoku/>
              <w:wordWrap/>
              <w:overflowPunct/>
              <w:topLinePunct w:val="0"/>
              <w:bidi w:val="0"/>
              <w:spacing w:before="19" w:line="360" w:lineRule="exact"/>
              <w:ind w:left="27" w:right="19" w:firstLine="420"/>
              <w:textAlignment w:val="auto"/>
              <w:rPr>
                <w:sz w:val="21"/>
                <w:szCs w:val="21"/>
                <w:lang w:eastAsia="zh-CN"/>
              </w:rPr>
            </w:pPr>
            <w:r>
              <w:rPr>
                <w:spacing w:val="8"/>
                <w:sz w:val="21"/>
                <w:szCs w:val="21"/>
                <w:lang w:eastAsia="zh-CN"/>
              </w:rPr>
              <w:t>若投标人近年完成的工程项目已列入交通运输主管部门“公路</w:t>
            </w:r>
            <w:r>
              <w:rPr>
                <w:spacing w:val="7"/>
                <w:sz w:val="21"/>
                <w:szCs w:val="21"/>
                <w:lang w:eastAsia="zh-CN"/>
              </w:rPr>
              <w:t>建设市场信用</w:t>
            </w:r>
            <w:r>
              <w:rPr>
                <w:sz w:val="21"/>
                <w:szCs w:val="21"/>
                <w:lang w:eastAsia="zh-CN"/>
              </w:rPr>
              <w:t xml:space="preserve"> </w:t>
            </w:r>
            <w:r>
              <w:rPr>
                <w:spacing w:val="8"/>
                <w:sz w:val="21"/>
                <w:szCs w:val="21"/>
                <w:lang w:eastAsia="zh-CN"/>
              </w:rPr>
              <w:t>信息管理系统</w:t>
            </w:r>
            <w:r>
              <w:rPr>
                <w:spacing w:val="-69"/>
                <w:sz w:val="21"/>
                <w:szCs w:val="21"/>
                <w:lang w:eastAsia="zh-CN"/>
              </w:rPr>
              <w:t xml:space="preserve"> </w:t>
            </w:r>
            <w:r>
              <w:rPr>
                <w:spacing w:val="8"/>
                <w:sz w:val="21"/>
                <w:szCs w:val="21"/>
                <w:lang w:eastAsia="zh-CN"/>
              </w:rPr>
              <w:t>”中，则按本款正文内容要求提供证明材料。</w:t>
            </w:r>
          </w:p>
          <w:p w14:paraId="1A2154C3">
            <w:pPr>
              <w:pStyle w:val="18"/>
              <w:pageBreakBefore w:val="0"/>
              <w:kinsoku/>
              <w:wordWrap/>
              <w:overflowPunct/>
              <w:topLinePunct w:val="0"/>
              <w:bidi w:val="0"/>
              <w:spacing w:before="2" w:line="360" w:lineRule="exact"/>
              <w:ind w:left="26" w:right="17" w:firstLine="421"/>
              <w:textAlignment w:val="auto"/>
              <w:rPr>
                <w:sz w:val="21"/>
                <w:szCs w:val="21"/>
                <w:lang w:eastAsia="zh-CN"/>
              </w:rPr>
            </w:pPr>
            <w:r>
              <w:rPr>
                <w:spacing w:val="8"/>
                <w:sz w:val="21"/>
                <w:szCs w:val="21"/>
                <w:lang w:eastAsia="zh-CN"/>
              </w:rPr>
              <w:t>若投标人近年完成的工程项目未列入交通运输主管部门“公路</w:t>
            </w:r>
            <w:r>
              <w:rPr>
                <w:spacing w:val="7"/>
                <w:sz w:val="21"/>
                <w:szCs w:val="21"/>
                <w:lang w:eastAsia="zh-CN"/>
              </w:rPr>
              <w:t>建设市场信用</w:t>
            </w:r>
            <w:r>
              <w:rPr>
                <w:sz w:val="21"/>
                <w:szCs w:val="21"/>
                <w:lang w:eastAsia="zh-CN"/>
              </w:rPr>
              <w:t xml:space="preserve"> </w:t>
            </w:r>
            <w:r>
              <w:rPr>
                <w:spacing w:val="6"/>
                <w:sz w:val="21"/>
                <w:szCs w:val="21"/>
                <w:lang w:eastAsia="zh-CN"/>
              </w:rPr>
              <w:t>信息管理系统</w:t>
            </w:r>
            <w:r>
              <w:rPr>
                <w:spacing w:val="-58"/>
                <w:sz w:val="21"/>
                <w:szCs w:val="21"/>
                <w:lang w:eastAsia="zh-CN"/>
              </w:rPr>
              <w:t xml:space="preserve"> </w:t>
            </w:r>
            <w:r>
              <w:rPr>
                <w:spacing w:val="6"/>
                <w:sz w:val="21"/>
                <w:szCs w:val="21"/>
                <w:lang w:eastAsia="zh-CN"/>
              </w:rPr>
              <w:t>”中，则“近年完成的类似项目情况表</w:t>
            </w:r>
            <w:r>
              <w:rPr>
                <w:spacing w:val="-69"/>
                <w:sz w:val="21"/>
                <w:szCs w:val="21"/>
                <w:lang w:eastAsia="zh-CN"/>
              </w:rPr>
              <w:t xml:space="preserve"> </w:t>
            </w:r>
            <w:r>
              <w:rPr>
                <w:spacing w:val="6"/>
                <w:sz w:val="21"/>
                <w:szCs w:val="21"/>
                <w:lang w:eastAsia="zh-CN"/>
              </w:rPr>
              <w:t>”应附中标通知书（委托项</w:t>
            </w:r>
            <w:r>
              <w:rPr>
                <w:sz w:val="21"/>
                <w:szCs w:val="21"/>
                <w:lang w:eastAsia="zh-CN"/>
              </w:rPr>
              <w:t xml:space="preserve"> </w:t>
            </w:r>
            <w:r>
              <w:rPr>
                <w:spacing w:val="5"/>
                <w:sz w:val="21"/>
                <w:szCs w:val="21"/>
                <w:lang w:eastAsia="zh-CN"/>
              </w:rPr>
              <w:t>目除外）或合同协议书或工程接收证书（工程竣工验收</w:t>
            </w:r>
            <w:r>
              <w:rPr>
                <w:spacing w:val="4"/>
                <w:sz w:val="21"/>
                <w:szCs w:val="21"/>
                <w:lang w:eastAsia="zh-CN"/>
              </w:rPr>
              <w:t>证书</w:t>
            </w:r>
            <w:r>
              <w:rPr>
                <w:spacing w:val="-39"/>
                <w:sz w:val="21"/>
                <w:szCs w:val="21"/>
                <w:lang w:eastAsia="zh-CN"/>
              </w:rPr>
              <w:t>），</w:t>
            </w:r>
            <w:r>
              <w:rPr>
                <w:spacing w:val="4"/>
                <w:sz w:val="21"/>
                <w:szCs w:val="21"/>
                <w:lang w:eastAsia="zh-CN"/>
              </w:rPr>
              <w:t>工程接收证书（工</w:t>
            </w:r>
            <w:r>
              <w:rPr>
                <w:spacing w:val="1"/>
                <w:sz w:val="21"/>
                <w:szCs w:val="21"/>
                <w:lang w:eastAsia="zh-CN"/>
              </w:rPr>
              <w:t xml:space="preserve"> </w:t>
            </w:r>
            <w:r>
              <w:rPr>
                <w:spacing w:val="8"/>
                <w:sz w:val="21"/>
                <w:szCs w:val="21"/>
                <w:lang w:eastAsia="zh-CN"/>
              </w:rPr>
              <w:t>程竣工验收证书）可以是发包人出具的工程（标段）交工验收证书或竣工验收委</w:t>
            </w:r>
            <w:r>
              <w:rPr>
                <w:sz w:val="21"/>
                <w:szCs w:val="21"/>
                <w:lang w:eastAsia="zh-CN"/>
              </w:rPr>
              <w:t xml:space="preserve"> </w:t>
            </w:r>
            <w:r>
              <w:rPr>
                <w:spacing w:val="14"/>
                <w:sz w:val="21"/>
                <w:szCs w:val="21"/>
                <w:lang w:eastAsia="zh-CN"/>
              </w:rPr>
              <w:t>员会出具的工程竣工验收鉴定书或质量监督机构对各参建单位签发的工程综合</w:t>
            </w:r>
            <w:r>
              <w:rPr>
                <w:spacing w:val="4"/>
                <w:sz w:val="21"/>
                <w:szCs w:val="21"/>
                <w:lang w:eastAsia="zh-CN"/>
              </w:rPr>
              <w:t xml:space="preserve"> </w:t>
            </w:r>
            <w:r>
              <w:rPr>
                <w:spacing w:val="7"/>
                <w:sz w:val="21"/>
                <w:szCs w:val="21"/>
                <w:lang w:eastAsia="zh-CN"/>
              </w:rPr>
              <w:t>评价等级证书。</w:t>
            </w:r>
          </w:p>
          <w:p w14:paraId="0BBD7890">
            <w:pPr>
              <w:pageBreakBefore w:val="0"/>
              <w:kinsoku/>
              <w:wordWrap/>
              <w:overflowPunct/>
              <w:topLinePunct w:val="0"/>
              <w:autoSpaceDE w:val="0"/>
              <w:autoSpaceDN w:val="0"/>
              <w:bidi w:val="0"/>
              <w:adjustRightInd w:val="0"/>
              <w:snapToGrid w:val="0"/>
              <w:spacing w:line="360" w:lineRule="exact"/>
              <w:textAlignment w:val="auto"/>
              <w:rPr>
                <w:rFonts w:ascii="宋体" w:hAnsi="宋体"/>
                <w:sz w:val="21"/>
                <w:szCs w:val="21"/>
              </w:rPr>
            </w:pPr>
            <w:r>
              <w:rPr>
                <w:spacing w:val="8"/>
                <w:sz w:val="21"/>
                <w:szCs w:val="21"/>
              </w:rPr>
              <w:t>如所提供的证明中不能查找出满足资格审查条件要求的数</w:t>
            </w:r>
            <w:r>
              <w:rPr>
                <w:spacing w:val="7"/>
                <w:sz w:val="21"/>
                <w:szCs w:val="21"/>
              </w:rPr>
              <w:t>据，投标人应补充</w:t>
            </w:r>
            <w:r>
              <w:rPr>
                <w:sz w:val="21"/>
                <w:szCs w:val="21"/>
              </w:rPr>
              <w:t xml:space="preserve"> </w:t>
            </w:r>
            <w:r>
              <w:rPr>
                <w:spacing w:val="8"/>
                <w:sz w:val="21"/>
                <w:szCs w:val="21"/>
              </w:rPr>
              <w:t>相应的项目法人或相应级别质量监督机构出具的证明材料，否则该项目业绩不予</w:t>
            </w:r>
            <w:r>
              <w:rPr>
                <w:spacing w:val="3"/>
                <w:sz w:val="21"/>
                <w:szCs w:val="21"/>
              </w:rPr>
              <w:t>认定。</w:t>
            </w:r>
          </w:p>
        </w:tc>
      </w:tr>
      <w:tr w14:paraId="610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2D2E0972">
            <w:pPr>
              <w:pageBreakBefore w:val="0"/>
              <w:kinsoku/>
              <w:wordWrap/>
              <w:overflowPunct/>
              <w:topLinePunct w:val="0"/>
              <w:bidi w:val="0"/>
              <w:adjustRightInd w:val="0"/>
              <w:spacing w:line="360" w:lineRule="exact"/>
              <w:jc w:val="center"/>
              <w:textAlignment w:val="auto"/>
              <w:rPr>
                <w:rFonts w:ascii="宋体" w:hAnsi="宋体"/>
                <w:sz w:val="21"/>
                <w:szCs w:val="21"/>
              </w:rPr>
            </w:pPr>
            <w:r>
              <w:rPr>
                <w:rFonts w:hint="eastAsia" w:ascii="宋体" w:hAnsi="宋体"/>
                <w:sz w:val="21"/>
                <w:szCs w:val="21"/>
              </w:rPr>
              <w:t>3.5.4</w:t>
            </w:r>
          </w:p>
        </w:tc>
        <w:tc>
          <w:tcPr>
            <w:tcW w:w="1591" w:type="dxa"/>
            <w:vAlign w:val="center"/>
          </w:tcPr>
          <w:p w14:paraId="5A2D2B8F">
            <w:pPr>
              <w:keepLines/>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投标人的</w:t>
            </w:r>
          </w:p>
          <w:p w14:paraId="11ED024A">
            <w:pPr>
              <w:keepLines/>
              <w:pageBreakBefore w:val="0"/>
              <w:kinsoku/>
              <w:wordWrap/>
              <w:overflowPunct/>
              <w:topLinePunct w:val="0"/>
              <w:bidi w:val="0"/>
              <w:adjustRightInd w:val="0"/>
              <w:snapToGrid w:val="0"/>
              <w:spacing w:line="360" w:lineRule="exact"/>
              <w:jc w:val="center"/>
              <w:textAlignment w:val="auto"/>
              <w:rPr>
                <w:rFonts w:ascii="Times New Roman" w:hAnsi="宋体"/>
                <w:sz w:val="21"/>
                <w:szCs w:val="21"/>
              </w:rPr>
            </w:pPr>
            <w:r>
              <w:rPr>
                <w:rFonts w:hint="eastAsia" w:ascii="宋体" w:hAnsi="宋体"/>
                <w:sz w:val="21"/>
                <w:szCs w:val="21"/>
              </w:rPr>
              <w:t>信誉情况</w:t>
            </w:r>
          </w:p>
        </w:tc>
        <w:tc>
          <w:tcPr>
            <w:tcW w:w="7019" w:type="dxa"/>
            <w:vAlign w:val="center"/>
          </w:tcPr>
          <w:p w14:paraId="4C7D9597">
            <w:pPr>
              <w:keepLines/>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本款修改为：</w:t>
            </w:r>
          </w:p>
          <w:p w14:paraId="08E0B15A">
            <w:pPr>
              <w:pageBreakBefore w:val="0"/>
              <w:kinsoku/>
              <w:wordWrap/>
              <w:overflowPunct/>
              <w:topLinePunct w:val="0"/>
              <w:bidi w:val="0"/>
              <w:spacing w:line="360" w:lineRule="exact"/>
              <w:ind w:firstLine="210" w:firstLineChars="100"/>
              <w:textAlignment w:val="auto"/>
              <w:rPr>
                <w:rFonts w:ascii="宋体" w:hAnsi="宋体"/>
                <w:sz w:val="21"/>
                <w:szCs w:val="21"/>
              </w:rPr>
            </w:pPr>
            <w:r>
              <w:rPr>
                <w:rFonts w:hint="eastAsia" w:ascii="宋体" w:hAnsi="宋体"/>
                <w:sz w:val="21"/>
                <w:szCs w:val="21"/>
              </w:rPr>
              <w:t>1、投标人应根据招标文件第二章“投标人须知”正文第1.4.4  项规定，逐条说明其信誉情况。</w:t>
            </w:r>
          </w:p>
          <w:p w14:paraId="2F0087F6">
            <w:pPr>
              <w:pageBreakBefore w:val="0"/>
              <w:kinsoku/>
              <w:wordWrap/>
              <w:overflowPunct/>
              <w:topLinePunct w:val="0"/>
              <w:bidi w:val="0"/>
              <w:spacing w:line="360" w:lineRule="exact"/>
              <w:ind w:firstLine="210" w:firstLineChars="100"/>
              <w:textAlignment w:val="auto"/>
              <w:rPr>
                <w:rFonts w:ascii="宋体" w:hAnsi="宋体"/>
                <w:sz w:val="21"/>
                <w:szCs w:val="21"/>
              </w:rPr>
            </w:pPr>
            <w:r>
              <w:rPr>
                <w:rFonts w:hint="eastAsia" w:ascii="宋体" w:hAnsi="宋体"/>
                <w:sz w:val="21"/>
                <w:szCs w:val="21"/>
              </w:rPr>
              <w:t>2、本表后应附投标人在国家企业信用信息公示系统中未被列入严重违法失信企业名单、在“信用中国”网站或“中国执行信息公开网”中未被列入失信被执行人名单的网页截图复印件。</w:t>
            </w:r>
          </w:p>
          <w:p w14:paraId="426CC009">
            <w:pPr>
              <w:pageBreakBefore w:val="0"/>
              <w:kinsoku/>
              <w:wordWrap/>
              <w:overflowPunct/>
              <w:topLinePunct w:val="0"/>
              <w:bidi w:val="0"/>
              <w:spacing w:line="360" w:lineRule="exact"/>
              <w:ind w:firstLine="210" w:firstLineChars="100"/>
              <w:textAlignment w:val="auto"/>
              <w:rPr>
                <w:rFonts w:ascii="宋体" w:hAnsi="宋体"/>
                <w:sz w:val="21"/>
                <w:szCs w:val="21"/>
              </w:rPr>
            </w:pPr>
            <w:r>
              <w:rPr>
                <w:rFonts w:hint="eastAsia" w:ascii="宋体" w:hAnsi="宋体"/>
                <w:sz w:val="21"/>
                <w:szCs w:val="21"/>
              </w:rPr>
              <w:t>3、投标人或其法定代表人、拟委任的项目经理在近三年内无行贿犯罪行为承诺函（格式自拟，须加盖投标人单位章）。</w:t>
            </w:r>
          </w:p>
        </w:tc>
      </w:tr>
      <w:tr w14:paraId="366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shd w:val="clear" w:color="auto" w:fill="auto"/>
            <w:vAlign w:val="center"/>
          </w:tcPr>
          <w:p w14:paraId="392B2AA9">
            <w:pPr>
              <w:pageBreakBefore w:val="0"/>
              <w:kinsoku/>
              <w:wordWrap/>
              <w:overflowPunct/>
              <w:topLinePunct w:val="0"/>
              <w:bidi w:val="0"/>
              <w:spacing w:line="360" w:lineRule="exact"/>
              <w:jc w:val="center"/>
              <w:textAlignment w:val="auto"/>
              <w:rPr>
                <w:rFonts w:ascii="宋体" w:hAnsi="宋体"/>
                <w:color w:val="000000"/>
                <w:sz w:val="21"/>
                <w:szCs w:val="21"/>
              </w:rPr>
            </w:pPr>
            <w:r>
              <w:rPr>
                <w:rFonts w:hint="eastAsia" w:ascii="宋体" w:hAnsi="宋体"/>
                <w:color w:val="000000"/>
                <w:sz w:val="21"/>
                <w:szCs w:val="21"/>
              </w:rPr>
              <w:t>3.5.5</w:t>
            </w:r>
          </w:p>
        </w:tc>
        <w:tc>
          <w:tcPr>
            <w:tcW w:w="1591" w:type="dxa"/>
            <w:shd w:val="clear" w:color="auto" w:fill="auto"/>
            <w:vAlign w:val="center"/>
          </w:tcPr>
          <w:p w14:paraId="481058C1">
            <w:pPr>
              <w:keepLines/>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拟委任的项目经理和项目总工资历</w:t>
            </w:r>
          </w:p>
        </w:tc>
        <w:tc>
          <w:tcPr>
            <w:tcW w:w="7019" w:type="dxa"/>
            <w:shd w:val="clear" w:color="auto" w:fill="auto"/>
            <w:vAlign w:val="center"/>
          </w:tcPr>
          <w:p w14:paraId="3629C944">
            <w:pPr>
              <w:pageBreakBefore w:val="0"/>
              <w:kinsoku/>
              <w:wordWrap/>
              <w:overflowPunct/>
              <w:topLinePunct w:val="0"/>
              <w:bidi w:val="0"/>
              <w:spacing w:line="360" w:lineRule="exact"/>
              <w:textAlignment w:val="auto"/>
              <w:rPr>
                <w:rFonts w:ascii="黑体" w:hAnsi="黑体" w:eastAsia="黑体"/>
                <w:b/>
                <w:sz w:val="21"/>
                <w:szCs w:val="21"/>
              </w:rPr>
            </w:pPr>
            <w:r>
              <w:rPr>
                <w:rFonts w:hint="eastAsia" w:ascii="黑体" w:hAnsi="黑体" w:eastAsia="黑体"/>
                <w:bCs/>
                <w:sz w:val="21"/>
                <w:szCs w:val="21"/>
              </w:rPr>
              <w:t>本项第三自然段修改为：</w:t>
            </w:r>
          </w:p>
          <w:p w14:paraId="7C1B17C8">
            <w:pPr>
              <w:pageBreakBefore w:val="0"/>
              <w:kinsoku/>
              <w:wordWrap/>
              <w:overflowPunct/>
              <w:topLinePunct w:val="0"/>
              <w:bidi w:val="0"/>
              <w:spacing w:line="360" w:lineRule="exact"/>
              <w:ind w:firstLine="420" w:firstLineChars="200"/>
              <w:textAlignment w:val="auto"/>
              <w:rPr>
                <w:rFonts w:ascii="宋体" w:hAnsi="宋体"/>
                <w:sz w:val="21"/>
                <w:szCs w:val="21"/>
              </w:rPr>
            </w:pPr>
            <w:r>
              <w:rPr>
                <w:sz w:val="21"/>
                <w:szCs w:val="21"/>
              </w:rPr>
              <w:t>如项目经理或项目总工目前仍在其他项目上任职，</w:t>
            </w:r>
            <w:r>
              <w:rPr>
                <w:rFonts w:hint="eastAsia" w:ascii="宋体" w:hAnsi="宋体"/>
                <w:sz w:val="21"/>
                <w:szCs w:val="21"/>
              </w:rPr>
              <w:t>则投标人应提供</w:t>
            </w:r>
            <w:r>
              <w:rPr>
                <w:rFonts w:hint="eastAsia" w:ascii="华文楷体" w:hAnsi="华文楷体" w:eastAsia="华文楷体"/>
                <w:sz w:val="21"/>
                <w:szCs w:val="21"/>
              </w:rPr>
              <w:t>上述人员能够从该项目撤离的书面承诺（格式自拟，加盖投标人单位章）。</w:t>
            </w:r>
          </w:p>
        </w:tc>
      </w:tr>
      <w:tr w14:paraId="5DC6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7383DFFB">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3.6.1</w:t>
            </w:r>
          </w:p>
        </w:tc>
        <w:tc>
          <w:tcPr>
            <w:tcW w:w="1591" w:type="dxa"/>
            <w:vAlign w:val="center"/>
          </w:tcPr>
          <w:p w14:paraId="2534979F">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是否允许递交</w:t>
            </w:r>
          </w:p>
          <w:p w14:paraId="6DA976EA">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备选投标方案</w:t>
            </w:r>
          </w:p>
        </w:tc>
        <w:tc>
          <w:tcPr>
            <w:tcW w:w="7019" w:type="dxa"/>
            <w:vAlign w:val="center"/>
          </w:tcPr>
          <w:p w14:paraId="1943EC24">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ascii="宋体" w:hAnsi="宋体"/>
                <w:sz w:val="21"/>
                <w:szCs w:val="21"/>
              </w:rPr>
              <w:t>不允许</w:t>
            </w:r>
          </w:p>
        </w:tc>
      </w:tr>
      <w:tr w14:paraId="6681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shd w:val="clear" w:color="auto" w:fill="auto"/>
            <w:vAlign w:val="center"/>
          </w:tcPr>
          <w:p w14:paraId="31CF067F">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color w:val="000000"/>
                <w:sz w:val="21"/>
                <w:szCs w:val="21"/>
              </w:rPr>
              <w:t>3.7.4</w:t>
            </w:r>
          </w:p>
        </w:tc>
        <w:tc>
          <w:tcPr>
            <w:tcW w:w="1591" w:type="dxa"/>
            <w:shd w:val="clear" w:color="auto" w:fill="auto"/>
            <w:vAlign w:val="center"/>
          </w:tcPr>
          <w:p w14:paraId="6E39131F">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投标文件副本份数及其他要求</w:t>
            </w:r>
          </w:p>
        </w:tc>
        <w:tc>
          <w:tcPr>
            <w:tcW w:w="7019" w:type="dxa"/>
            <w:shd w:val="clear" w:color="auto" w:fill="auto"/>
            <w:vAlign w:val="center"/>
          </w:tcPr>
          <w:p w14:paraId="1E9F7610">
            <w:pPr>
              <w:pageBreakBefore w:val="0"/>
              <w:kinsoku/>
              <w:wordWrap/>
              <w:overflowPunct/>
              <w:topLinePunct w:val="0"/>
              <w:bidi w:val="0"/>
              <w:adjustRightInd w:val="0"/>
              <w:snapToGrid w:val="0"/>
              <w:spacing w:line="360" w:lineRule="exact"/>
              <w:ind w:right="113" w:firstLine="315" w:firstLineChars="150"/>
              <w:jc w:val="left"/>
              <w:textAlignment w:val="auto"/>
              <w:rPr>
                <w:rFonts w:ascii="宋体" w:hAnsi="宋体"/>
                <w:sz w:val="21"/>
                <w:szCs w:val="21"/>
              </w:rPr>
            </w:pPr>
            <w:r>
              <w:rPr>
                <w:rFonts w:hint="eastAsia" w:ascii="宋体" w:hAnsi="宋体"/>
                <w:sz w:val="21"/>
                <w:szCs w:val="21"/>
              </w:rPr>
              <w:t>投标阶段仅提供电子投标文件，如中标再提供纸制投标文件正本1份，副本4份；中标人提供的纸质投标文件需与投标时提供的电子投标文件保持一致，如有不一致，以电子投标文件为准，且不得采用活页夹装订。</w:t>
            </w:r>
          </w:p>
        </w:tc>
      </w:tr>
      <w:tr w14:paraId="02AD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7F5903FF">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4.2.3</w:t>
            </w:r>
          </w:p>
        </w:tc>
        <w:tc>
          <w:tcPr>
            <w:tcW w:w="1591" w:type="dxa"/>
            <w:vAlign w:val="center"/>
          </w:tcPr>
          <w:p w14:paraId="14FB454D">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是否退还</w:t>
            </w:r>
            <w:r>
              <w:rPr>
                <w:rFonts w:hint="eastAsia" w:ascii="Times New Roman" w:hAnsi="宋体"/>
                <w:sz w:val="21"/>
                <w:szCs w:val="21"/>
              </w:rPr>
              <w:br w:type="textWrapping"/>
            </w:r>
            <w:r>
              <w:rPr>
                <w:rFonts w:ascii="Times New Roman" w:hAnsi="宋体"/>
                <w:sz w:val="21"/>
                <w:szCs w:val="21"/>
              </w:rPr>
              <w:t>投标文件</w:t>
            </w:r>
          </w:p>
        </w:tc>
        <w:tc>
          <w:tcPr>
            <w:tcW w:w="7019" w:type="dxa"/>
            <w:vAlign w:val="center"/>
          </w:tcPr>
          <w:p w14:paraId="069E5199">
            <w:pPr>
              <w:pageBreakBefore w:val="0"/>
              <w:kinsoku/>
              <w:wordWrap/>
              <w:overflowPunct/>
              <w:topLinePunct w:val="0"/>
              <w:bidi w:val="0"/>
              <w:snapToGrid w:val="0"/>
              <w:spacing w:line="360" w:lineRule="exact"/>
              <w:ind w:firstLine="210" w:firstLineChars="100"/>
              <w:textAlignment w:val="auto"/>
              <w:rPr>
                <w:rFonts w:ascii="宋体" w:hAnsi="宋体"/>
                <w:color w:val="000000"/>
                <w:sz w:val="21"/>
                <w:szCs w:val="21"/>
              </w:rPr>
            </w:pPr>
            <w:r>
              <w:rPr>
                <w:rFonts w:hint="eastAsia" w:ascii="宋体" w:hAnsi="宋体"/>
                <w:sz w:val="21"/>
                <w:szCs w:val="21"/>
              </w:rPr>
              <w:t>否</w:t>
            </w:r>
          </w:p>
        </w:tc>
      </w:tr>
      <w:tr w14:paraId="28B8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Merge w:val="restart"/>
            <w:vAlign w:val="center"/>
          </w:tcPr>
          <w:p w14:paraId="46656B93">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5.1</w:t>
            </w:r>
          </w:p>
        </w:tc>
        <w:tc>
          <w:tcPr>
            <w:tcW w:w="1591" w:type="dxa"/>
            <w:vAlign w:val="center"/>
          </w:tcPr>
          <w:p w14:paraId="3BDCC45E">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第一个信封</w:t>
            </w:r>
          </w:p>
          <w:p w14:paraId="1F660C16">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hint="eastAsia" w:ascii="宋体" w:hAnsi="宋体"/>
                <w:sz w:val="21"/>
                <w:szCs w:val="21"/>
              </w:rPr>
              <w:t>开标时间和地点</w:t>
            </w:r>
          </w:p>
        </w:tc>
        <w:tc>
          <w:tcPr>
            <w:tcW w:w="7019" w:type="dxa"/>
            <w:vAlign w:val="center"/>
          </w:tcPr>
          <w:p w14:paraId="28EA7BD7">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开标时间：同投标截止时间。</w:t>
            </w:r>
          </w:p>
          <w:p w14:paraId="469DA466">
            <w:pPr>
              <w:pageBreakBefore w:val="0"/>
              <w:kinsoku/>
              <w:wordWrap/>
              <w:overflowPunct/>
              <w:topLinePunct w:val="0"/>
              <w:bidi w:val="0"/>
              <w:adjustRightInd w:val="0"/>
              <w:snapToGrid w:val="0"/>
              <w:spacing w:line="360" w:lineRule="exact"/>
              <w:textAlignment w:val="auto"/>
              <w:rPr>
                <w:rFonts w:ascii="宋体" w:hAnsi="宋体"/>
                <w:spacing w:val="-4"/>
                <w:sz w:val="21"/>
                <w:szCs w:val="21"/>
              </w:rPr>
            </w:pPr>
            <w:r>
              <w:rPr>
                <w:rFonts w:hint="eastAsia" w:ascii="宋体" w:hAnsi="宋体"/>
                <w:sz w:val="21"/>
                <w:szCs w:val="21"/>
              </w:rPr>
              <w:t>开标地点：</w:t>
            </w:r>
            <w:r>
              <w:rPr>
                <w:rFonts w:hint="eastAsia" w:ascii="宋体" w:hAnsi="宋体" w:cs="宋体"/>
                <w:spacing w:val="8"/>
                <w:sz w:val="21"/>
                <w:szCs w:val="21"/>
              </w:rPr>
              <w:t>吉林省公共资源交易中心四楼开标区</w:t>
            </w:r>
          </w:p>
        </w:tc>
      </w:tr>
      <w:tr w14:paraId="34A4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Merge w:val="continue"/>
            <w:vAlign w:val="center"/>
          </w:tcPr>
          <w:p w14:paraId="4EE61C8A">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p>
        </w:tc>
        <w:tc>
          <w:tcPr>
            <w:tcW w:w="1591" w:type="dxa"/>
            <w:vAlign w:val="center"/>
          </w:tcPr>
          <w:p w14:paraId="6CE1B312">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第二个信封</w:t>
            </w:r>
          </w:p>
          <w:p w14:paraId="299FAAAF">
            <w:pPr>
              <w:pageBreakBefore w:val="0"/>
              <w:kinsoku/>
              <w:wordWrap/>
              <w:overflowPunct/>
              <w:topLinePunct w:val="0"/>
              <w:bidi w:val="0"/>
              <w:adjustRightInd w:val="0"/>
              <w:snapToGrid w:val="0"/>
              <w:spacing w:line="360" w:lineRule="exact"/>
              <w:jc w:val="center"/>
              <w:textAlignment w:val="auto"/>
              <w:rPr>
                <w:rFonts w:ascii="Times New Roman" w:hAnsi="宋体"/>
                <w:sz w:val="21"/>
                <w:szCs w:val="21"/>
              </w:rPr>
            </w:pPr>
            <w:r>
              <w:rPr>
                <w:rFonts w:hint="eastAsia" w:ascii="宋体" w:hAnsi="宋体"/>
                <w:sz w:val="21"/>
                <w:szCs w:val="21"/>
              </w:rPr>
              <w:t>开标时间和地点</w:t>
            </w:r>
          </w:p>
        </w:tc>
        <w:tc>
          <w:tcPr>
            <w:tcW w:w="7019" w:type="dxa"/>
            <w:vAlign w:val="center"/>
          </w:tcPr>
          <w:p w14:paraId="6D63B9D6">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开标时间：见招标公告</w:t>
            </w:r>
          </w:p>
          <w:p w14:paraId="25DD44C6">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开标地点：</w:t>
            </w:r>
            <w:r>
              <w:rPr>
                <w:rFonts w:hint="eastAsia" w:ascii="宋体" w:hAnsi="宋体" w:cs="宋体"/>
                <w:spacing w:val="8"/>
                <w:sz w:val="21"/>
                <w:szCs w:val="21"/>
              </w:rPr>
              <w:t>吉林省公共资源交易中心四楼开标区</w:t>
            </w:r>
          </w:p>
        </w:tc>
      </w:tr>
      <w:tr w14:paraId="6F78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188BABCC">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5</w:t>
            </w:r>
            <w:r>
              <w:rPr>
                <w:rFonts w:ascii="宋体" w:hAnsi="宋体"/>
                <w:sz w:val="21"/>
                <w:szCs w:val="21"/>
              </w:rPr>
              <w:t>.3.1</w:t>
            </w:r>
          </w:p>
        </w:tc>
        <w:tc>
          <w:tcPr>
            <w:tcW w:w="1591" w:type="dxa"/>
            <w:vAlign w:val="center"/>
          </w:tcPr>
          <w:p w14:paraId="414A6C3A">
            <w:pPr>
              <w:pageBreakBefore w:val="0"/>
              <w:kinsoku/>
              <w:wordWrap/>
              <w:overflowPunct/>
              <w:topLinePunct w:val="0"/>
              <w:bidi w:val="0"/>
              <w:adjustRightInd w:val="0"/>
              <w:snapToGrid w:val="0"/>
              <w:spacing w:line="360" w:lineRule="exact"/>
              <w:jc w:val="center"/>
              <w:textAlignment w:val="auto"/>
              <w:rPr>
                <w:rFonts w:ascii="Times New Roman" w:hAnsi="宋体"/>
                <w:sz w:val="21"/>
                <w:szCs w:val="21"/>
              </w:rPr>
            </w:pPr>
            <w:r>
              <w:rPr>
                <w:rFonts w:hint="eastAsia" w:ascii="Times New Roman" w:hAnsi="宋体"/>
                <w:sz w:val="21"/>
                <w:szCs w:val="21"/>
              </w:rPr>
              <w:t>开标补救措施</w:t>
            </w:r>
          </w:p>
        </w:tc>
        <w:tc>
          <w:tcPr>
            <w:tcW w:w="7019" w:type="dxa"/>
            <w:vAlign w:val="center"/>
          </w:tcPr>
          <w:p w14:paraId="5F26D2F9">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开标过程中因本章第5.3.2项、第5.3.3项所列原因，导致系统无法正常运行，将由“吉林省公共资源交易一体化平台”技术人员采取补救措施。</w:t>
            </w:r>
          </w:p>
        </w:tc>
      </w:tr>
      <w:tr w14:paraId="18B0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7B405735">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6.1.1</w:t>
            </w:r>
          </w:p>
        </w:tc>
        <w:tc>
          <w:tcPr>
            <w:tcW w:w="1591" w:type="dxa"/>
            <w:vAlign w:val="center"/>
          </w:tcPr>
          <w:p w14:paraId="6E5E96F2">
            <w:pPr>
              <w:pageBreakBefore w:val="0"/>
              <w:kinsoku/>
              <w:wordWrap/>
              <w:overflowPunct/>
              <w:topLinePunct w:val="0"/>
              <w:bidi w:val="0"/>
              <w:adjustRightInd w:val="0"/>
              <w:snapToGrid w:val="0"/>
              <w:spacing w:line="360" w:lineRule="exact"/>
              <w:jc w:val="center"/>
              <w:textAlignment w:val="auto"/>
              <w:rPr>
                <w:rFonts w:ascii="Times New Roman" w:hAnsi="Times New Roman"/>
                <w:sz w:val="21"/>
                <w:szCs w:val="21"/>
              </w:rPr>
            </w:pPr>
            <w:r>
              <w:rPr>
                <w:rFonts w:ascii="Times New Roman" w:hAnsi="宋体"/>
                <w:sz w:val="21"/>
                <w:szCs w:val="21"/>
              </w:rPr>
              <w:t>评标委员会</w:t>
            </w:r>
            <w:r>
              <w:rPr>
                <w:rFonts w:hint="eastAsia" w:ascii="Times New Roman" w:hAnsi="宋体"/>
                <w:sz w:val="21"/>
                <w:szCs w:val="21"/>
              </w:rPr>
              <w:br w:type="textWrapping"/>
            </w:r>
            <w:r>
              <w:rPr>
                <w:rFonts w:ascii="Times New Roman" w:hAnsi="宋体"/>
                <w:sz w:val="21"/>
                <w:szCs w:val="21"/>
              </w:rPr>
              <w:t>的组建</w:t>
            </w:r>
          </w:p>
        </w:tc>
        <w:tc>
          <w:tcPr>
            <w:tcW w:w="7019" w:type="dxa"/>
            <w:vAlign w:val="center"/>
          </w:tcPr>
          <w:p w14:paraId="3DD1A425">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ascii="宋体" w:hAnsi="宋体"/>
                <w:sz w:val="21"/>
                <w:szCs w:val="21"/>
              </w:rPr>
              <w:t>评标委员会构成：</w:t>
            </w:r>
            <w:r>
              <w:rPr>
                <w:rFonts w:hint="eastAsia" w:ascii="宋体" w:hAnsi="宋体"/>
                <w:sz w:val="21"/>
                <w:szCs w:val="21"/>
                <w:lang w:val="en-US" w:eastAsia="zh-CN"/>
              </w:rPr>
              <w:t>7</w:t>
            </w:r>
            <w:r>
              <w:rPr>
                <w:rFonts w:ascii="宋体" w:hAnsi="宋体"/>
                <w:sz w:val="21"/>
                <w:szCs w:val="21"/>
              </w:rPr>
              <w:t>人，其中招标人代表</w:t>
            </w:r>
            <w:r>
              <w:rPr>
                <w:rFonts w:hint="eastAsia" w:ascii="宋体" w:hAnsi="宋体"/>
                <w:sz w:val="21"/>
                <w:szCs w:val="21"/>
                <w:lang w:val="en-US" w:eastAsia="zh-CN"/>
              </w:rPr>
              <w:t>2</w:t>
            </w:r>
            <w:r>
              <w:rPr>
                <w:rFonts w:ascii="宋体" w:hAnsi="宋体"/>
                <w:sz w:val="21"/>
                <w:szCs w:val="21"/>
              </w:rPr>
              <w:t>人，专家</w:t>
            </w:r>
            <w:r>
              <w:rPr>
                <w:rFonts w:hint="eastAsia" w:ascii="宋体" w:hAnsi="宋体"/>
                <w:sz w:val="21"/>
                <w:szCs w:val="21"/>
                <w:lang w:val="en-US" w:eastAsia="zh-CN"/>
              </w:rPr>
              <w:t>5</w:t>
            </w:r>
            <w:r>
              <w:rPr>
                <w:rFonts w:ascii="宋体" w:hAnsi="宋体"/>
                <w:sz w:val="21"/>
                <w:szCs w:val="21"/>
              </w:rPr>
              <w:t>人；</w:t>
            </w:r>
          </w:p>
          <w:p w14:paraId="2E92FE60">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ascii="宋体" w:hAnsi="宋体"/>
                <w:sz w:val="21"/>
                <w:szCs w:val="21"/>
              </w:rPr>
              <w:t>评标专家确定方式</w:t>
            </w:r>
            <w:r>
              <w:rPr>
                <w:rFonts w:hint="eastAsia" w:ascii="宋体" w:hAnsi="宋体"/>
                <w:sz w:val="21"/>
                <w:szCs w:val="21"/>
              </w:rPr>
              <w:t>：依法从相应评标专家库中随机抽取。</w:t>
            </w:r>
          </w:p>
          <w:p w14:paraId="58358808">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根据《吉林省工程建设项目远程异地评标管理办法（试行）》吉政数联〔2024〕7号文件要求，本项目实行远程异地评标。</w:t>
            </w:r>
          </w:p>
        </w:tc>
      </w:tr>
      <w:tr w14:paraId="36A2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4869A7CB">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6.3.2</w:t>
            </w:r>
          </w:p>
        </w:tc>
        <w:tc>
          <w:tcPr>
            <w:tcW w:w="1591" w:type="dxa"/>
            <w:vAlign w:val="center"/>
          </w:tcPr>
          <w:p w14:paraId="1856FF93">
            <w:pPr>
              <w:pageBreakBefore w:val="0"/>
              <w:kinsoku/>
              <w:wordWrap/>
              <w:overflowPunct/>
              <w:topLinePunct w:val="0"/>
              <w:bidi w:val="0"/>
              <w:adjustRightInd w:val="0"/>
              <w:snapToGrid w:val="0"/>
              <w:spacing w:line="360" w:lineRule="exact"/>
              <w:jc w:val="center"/>
              <w:textAlignment w:val="auto"/>
              <w:rPr>
                <w:rFonts w:ascii="Times New Roman" w:hAnsi="宋体"/>
                <w:sz w:val="21"/>
                <w:szCs w:val="21"/>
              </w:rPr>
            </w:pPr>
            <w:r>
              <w:rPr>
                <w:rFonts w:hint="eastAsia" w:ascii="Times New Roman" w:hAnsi="宋体"/>
                <w:sz w:val="21"/>
                <w:szCs w:val="21"/>
              </w:rPr>
              <w:t>评标委员会</w:t>
            </w:r>
            <w:r>
              <w:rPr>
                <w:rFonts w:ascii="Times New Roman" w:hAnsi="宋体"/>
                <w:sz w:val="21"/>
                <w:szCs w:val="21"/>
              </w:rPr>
              <w:br w:type="textWrapping"/>
            </w:r>
            <w:r>
              <w:rPr>
                <w:rFonts w:hint="eastAsia" w:ascii="Times New Roman" w:hAnsi="宋体"/>
                <w:sz w:val="21"/>
                <w:szCs w:val="21"/>
              </w:rPr>
              <w:t>推荐中标候选人</w:t>
            </w:r>
            <w:r>
              <w:rPr>
                <w:rFonts w:ascii="Times New Roman" w:hAnsi="宋体"/>
                <w:sz w:val="21"/>
                <w:szCs w:val="21"/>
              </w:rPr>
              <w:br w:type="textWrapping"/>
            </w:r>
            <w:r>
              <w:rPr>
                <w:rFonts w:hint="eastAsia" w:ascii="Times New Roman" w:hAnsi="宋体"/>
                <w:sz w:val="21"/>
                <w:szCs w:val="21"/>
              </w:rPr>
              <w:t>的人数</w:t>
            </w:r>
          </w:p>
        </w:tc>
        <w:tc>
          <w:tcPr>
            <w:tcW w:w="7019" w:type="dxa"/>
            <w:vAlign w:val="center"/>
          </w:tcPr>
          <w:p w14:paraId="5C97624C">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1名</w:t>
            </w:r>
          </w:p>
        </w:tc>
      </w:tr>
      <w:tr w14:paraId="11D7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2315C716">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ascii="宋体" w:hAnsi="宋体"/>
                <w:sz w:val="21"/>
                <w:szCs w:val="21"/>
              </w:rPr>
              <w:t>7.1</w:t>
            </w:r>
          </w:p>
        </w:tc>
        <w:tc>
          <w:tcPr>
            <w:tcW w:w="1591" w:type="dxa"/>
            <w:vAlign w:val="center"/>
          </w:tcPr>
          <w:p w14:paraId="158354F6">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中标候选人</w:t>
            </w:r>
          </w:p>
          <w:p w14:paraId="6A5F1D28">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公示媒介及</w:t>
            </w:r>
          </w:p>
          <w:p w14:paraId="5DEE85C9">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期限</w:t>
            </w:r>
          </w:p>
        </w:tc>
        <w:tc>
          <w:tcPr>
            <w:tcW w:w="7019" w:type="dxa"/>
            <w:vAlign w:val="center"/>
          </w:tcPr>
          <w:p w14:paraId="228F4C55">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公示媒介：同招标公告发布媒介；</w:t>
            </w:r>
          </w:p>
          <w:p w14:paraId="6E702A53">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公示期限：3日；</w:t>
            </w:r>
          </w:p>
          <w:p w14:paraId="60149D00">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公示的其他内容：无。</w:t>
            </w:r>
          </w:p>
        </w:tc>
      </w:tr>
      <w:tr w14:paraId="4BC3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2248A23A">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7.4</w:t>
            </w:r>
          </w:p>
        </w:tc>
        <w:tc>
          <w:tcPr>
            <w:tcW w:w="1591" w:type="dxa"/>
            <w:vAlign w:val="center"/>
          </w:tcPr>
          <w:p w14:paraId="5784595F">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是否授权评标委员会确定中标人</w:t>
            </w:r>
          </w:p>
        </w:tc>
        <w:tc>
          <w:tcPr>
            <w:tcW w:w="7019" w:type="dxa"/>
            <w:vAlign w:val="center"/>
          </w:tcPr>
          <w:p w14:paraId="0B65643C">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否</w:t>
            </w:r>
          </w:p>
        </w:tc>
      </w:tr>
      <w:tr w14:paraId="584F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16BBFCEE">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7.5</w:t>
            </w:r>
          </w:p>
        </w:tc>
        <w:tc>
          <w:tcPr>
            <w:tcW w:w="1591" w:type="dxa"/>
            <w:shd w:val="clear" w:color="auto" w:fill="auto"/>
            <w:vAlign w:val="center"/>
          </w:tcPr>
          <w:p w14:paraId="44E2E118">
            <w:pPr>
              <w:pageBreakBefore w:val="0"/>
              <w:kinsoku/>
              <w:wordWrap/>
              <w:overflowPunct/>
              <w:topLinePunct w:val="0"/>
              <w:bidi w:val="0"/>
              <w:spacing w:line="360" w:lineRule="exact"/>
              <w:jc w:val="center"/>
              <w:textAlignment w:val="auto"/>
              <w:rPr>
                <w:rFonts w:hAnsi="宋体"/>
                <w:sz w:val="21"/>
                <w:szCs w:val="21"/>
              </w:rPr>
            </w:pPr>
            <w:r>
              <w:rPr>
                <w:rFonts w:hint="eastAsia" w:hAnsi="宋体"/>
                <w:sz w:val="21"/>
                <w:szCs w:val="21"/>
              </w:rPr>
              <w:t>中标通知书和中标结果通知书发出的形式</w:t>
            </w:r>
          </w:p>
        </w:tc>
        <w:tc>
          <w:tcPr>
            <w:tcW w:w="7019" w:type="dxa"/>
            <w:shd w:val="clear" w:color="auto" w:fill="auto"/>
            <w:vAlign w:val="center"/>
          </w:tcPr>
          <w:p w14:paraId="4EE23D1F">
            <w:pPr>
              <w:pageBreakBefore w:val="0"/>
              <w:kinsoku/>
              <w:wordWrap/>
              <w:overflowPunct/>
              <w:topLinePunct w:val="0"/>
              <w:autoSpaceDE w:val="0"/>
              <w:autoSpaceDN w:val="0"/>
              <w:bidi w:val="0"/>
              <w:adjustRightInd w:val="0"/>
              <w:spacing w:line="360" w:lineRule="exact"/>
              <w:textAlignment w:val="auto"/>
              <w:rPr>
                <w:rFonts w:hAnsi="宋体"/>
                <w:sz w:val="21"/>
                <w:szCs w:val="21"/>
              </w:rPr>
            </w:pPr>
            <w:r>
              <w:rPr>
                <w:rFonts w:hint="eastAsia" w:hAnsi="宋体"/>
                <w:sz w:val="21"/>
                <w:szCs w:val="21"/>
              </w:rPr>
              <w:t>招标人以书面形式向中标人发出中标通知书，同时以中标结果公告发布到本章7.6款所列媒介的形式通知未中标的投标人。</w:t>
            </w:r>
          </w:p>
        </w:tc>
      </w:tr>
      <w:tr w14:paraId="47D5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0102555E">
            <w:pPr>
              <w:pageBreakBefore w:val="0"/>
              <w:kinsoku/>
              <w:wordWrap/>
              <w:overflowPunct/>
              <w:topLinePunct w:val="0"/>
              <w:bidi w:val="0"/>
              <w:adjustRightInd w:val="0"/>
              <w:snapToGrid w:val="0"/>
              <w:spacing w:line="360" w:lineRule="exact"/>
              <w:jc w:val="center"/>
              <w:textAlignment w:val="auto"/>
              <w:rPr>
                <w:rFonts w:ascii="宋体" w:hAnsi="宋体"/>
                <w:sz w:val="21"/>
                <w:szCs w:val="21"/>
                <w:u w:val="wave"/>
              </w:rPr>
            </w:pPr>
            <w:r>
              <w:rPr>
                <w:rFonts w:hint="eastAsia" w:ascii="宋体" w:hAnsi="宋体"/>
                <w:sz w:val="21"/>
                <w:szCs w:val="21"/>
              </w:rPr>
              <w:t>7.6</w:t>
            </w:r>
          </w:p>
        </w:tc>
        <w:tc>
          <w:tcPr>
            <w:tcW w:w="1591" w:type="dxa"/>
            <w:vAlign w:val="center"/>
          </w:tcPr>
          <w:p w14:paraId="51919618">
            <w:pPr>
              <w:pageBreakBefore w:val="0"/>
              <w:kinsoku/>
              <w:wordWrap/>
              <w:overflowPunct/>
              <w:topLinePunct w:val="0"/>
              <w:bidi w:val="0"/>
              <w:spacing w:line="360" w:lineRule="exact"/>
              <w:jc w:val="center"/>
              <w:textAlignment w:val="auto"/>
              <w:rPr>
                <w:rFonts w:hAnsi="宋体" w:cs="宋体"/>
                <w:sz w:val="21"/>
                <w:szCs w:val="21"/>
                <w:lang w:bidi="zh-CN"/>
              </w:rPr>
            </w:pPr>
            <w:r>
              <w:rPr>
                <w:rFonts w:hAnsi="宋体" w:cs="宋体"/>
                <w:sz w:val="21"/>
                <w:szCs w:val="21"/>
                <w:lang w:bidi="zh-CN"/>
              </w:rPr>
              <w:t>中标结果</w:t>
            </w:r>
          </w:p>
          <w:p w14:paraId="5937F13B">
            <w:pPr>
              <w:pageBreakBefore w:val="0"/>
              <w:kinsoku/>
              <w:wordWrap/>
              <w:overflowPunct/>
              <w:topLinePunct w:val="0"/>
              <w:bidi w:val="0"/>
              <w:spacing w:line="360" w:lineRule="exact"/>
              <w:jc w:val="center"/>
              <w:textAlignment w:val="auto"/>
              <w:rPr>
                <w:rFonts w:ascii="宋体" w:hAnsi="宋体"/>
                <w:sz w:val="21"/>
                <w:szCs w:val="21"/>
                <w:u w:val="wave"/>
              </w:rPr>
            </w:pPr>
            <w:r>
              <w:rPr>
                <w:rFonts w:hAnsi="宋体" w:cs="宋体"/>
                <w:sz w:val="21"/>
                <w:szCs w:val="21"/>
                <w:lang w:bidi="zh-CN"/>
              </w:rPr>
              <w:t>公告媒介及期限</w:t>
            </w:r>
          </w:p>
        </w:tc>
        <w:tc>
          <w:tcPr>
            <w:tcW w:w="7019" w:type="dxa"/>
            <w:vAlign w:val="center"/>
          </w:tcPr>
          <w:p w14:paraId="522E59EC">
            <w:pPr>
              <w:pageBreakBefore w:val="0"/>
              <w:kinsoku/>
              <w:wordWrap/>
              <w:overflowPunct/>
              <w:topLinePunct w:val="0"/>
              <w:bidi w:val="0"/>
              <w:adjustRightInd w:val="0"/>
              <w:snapToGrid w:val="0"/>
              <w:spacing w:line="360" w:lineRule="exact"/>
              <w:jc w:val="left"/>
              <w:textAlignment w:val="auto"/>
              <w:rPr>
                <w:rFonts w:ascii="宋体" w:hAnsi="宋体"/>
                <w:sz w:val="21"/>
                <w:szCs w:val="21"/>
              </w:rPr>
            </w:pPr>
            <w:r>
              <w:rPr>
                <w:rFonts w:hint="eastAsia" w:ascii="宋体" w:hAnsi="宋体"/>
                <w:sz w:val="21"/>
                <w:szCs w:val="21"/>
              </w:rPr>
              <w:t>公示媒介：同招标公告发布媒介；</w:t>
            </w:r>
          </w:p>
          <w:p w14:paraId="573C8561">
            <w:pPr>
              <w:pageBreakBefore w:val="0"/>
              <w:kinsoku/>
              <w:wordWrap/>
              <w:overflowPunct/>
              <w:topLinePunct w:val="0"/>
              <w:autoSpaceDE w:val="0"/>
              <w:autoSpaceDN w:val="0"/>
              <w:bidi w:val="0"/>
              <w:adjustRightInd w:val="0"/>
              <w:spacing w:line="360" w:lineRule="exact"/>
              <w:textAlignment w:val="auto"/>
              <w:rPr>
                <w:rFonts w:ascii="宋体" w:hAnsi="宋体"/>
                <w:sz w:val="21"/>
                <w:szCs w:val="21"/>
              </w:rPr>
            </w:pPr>
            <w:r>
              <w:rPr>
                <w:rFonts w:hint="eastAsia" w:ascii="宋体" w:hAnsi="宋体"/>
                <w:sz w:val="21"/>
                <w:szCs w:val="21"/>
              </w:rPr>
              <w:t>公示期限：3日。</w:t>
            </w:r>
          </w:p>
        </w:tc>
      </w:tr>
      <w:tr w14:paraId="7B4A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6E6CBDC9">
            <w:pPr>
              <w:pageBreakBefore w:val="0"/>
              <w:kinsoku/>
              <w:wordWrap/>
              <w:overflowPunct/>
              <w:topLinePunct w:val="0"/>
              <w:bidi w:val="0"/>
              <w:adjustRightInd w:val="0"/>
              <w:snapToGrid w:val="0"/>
              <w:spacing w:before="100" w:beforeAutospacing="1" w:after="100" w:afterAutospacing="1" w:line="360" w:lineRule="exact"/>
              <w:jc w:val="center"/>
              <w:textAlignment w:val="auto"/>
              <w:rPr>
                <w:rFonts w:ascii="宋体" w:hAnsi="宋体"/>
                <w:sz w:val="21"/>
                <w:szCs w:val="21"/>
              </w:rPr>
            </w:pPr>
            <w:r>
              <w:rPr>
                <w:rFonts w:ascii="宋体" w:hAnsi="宋体"/>
                <w:sz w:val="21"/>
                <w:szCs w:val="21"/>
              </w:rPr>
              <w:t>7.</w:t>
            </w:r>
            <w:r>
              <w:rPr>
                <w:rFonts w:hint="eastAsia" w:ascii="宋体" w:hAnsi="宋体"/>
                <w:sz w:val="21"/>
                <w:szCs w:val="21"/>
              </w:rPr>
              <w:t>7</w:t>
            </w:r>
            <w:r>
              <w:rPr>
                <w:rFonts w:ascii="宋体" w:hAnsi="宋体"/>
                <w:sz w:val="21"/>
                <w:szCs w:val="21"/>
              </w:rPr>
              <w:t>.1</w:t>
            </w:r>
          </w:p>
        </w:tc>
        <w:tc>
          <w:tcPr>
            <w:tcW w:w="1591" w:type="dxa"/>
            <w:vAlign w:val="center"/>
          </w:tcPr>
          <w:p w14:paraId="5CB9BF01">
            <w:pPr>
              <w:pageBreakBefore w:val="0"/>
              <w:kinsoku/>
              <w:wordWrap/>
              <w:overflowPunct/>
              <w:topLinePunct w:val="0"/>
              <w:bidi w:val="0"/>
              <w:spacing w:line="360" w:lineRule="exact"/>
              <w:jc w:val="center"/>
              <w:textAlignment w:val="auto"/>
              <w:rPr>
                <w:rFonts w:ascii="宋体" w:hAnsi="宋体"/>
                <w:sz w:val="21"/>
                <w:szCs w:val="21"/>
              </w:rPr>
            </w:pPr>
            <w:r>
              <w:rPr>
                <w:rFonts w:hint="eastAsia" w:hAnsi="宋体"/>
                <w:sz w:val="21"/>
                <w:szCs w:val="21"/>
              </w:rPr>
              <w:t>履约保证金</w:t>
            </w:r>
          </w:p>
        </w:tc>
        <w:tc>
          <w:tcPr>
            <w:tcW w:w="7019" w:type="dxa"/>
            <w:vAlign w:val="center"/>
          </w:tcPr>
          <w:p w14:paraId="5CE17449">
            <w:pPr>
              <w:pageBreakBefore w:val="0"/>
              <w:kinsoku/>
              <w:wordWrap/>
              <w:overflowPunct/>
              <w:topLinePunct w:val="0"/>
              <w:bidi w:val="0"/>
              <w:adjustRightInd w:val="0"/>
              <w:snapToGrid w:val="0"/>
              <w:spacing w:line="360" w:lineRule="exact"/>
              <w:textAlignment w:val="auto"/>
              <w:rPr>
                <w:rFonts w:ascii="宋体" w:hAnsi="宋体" w:cs="Calibri"/>
                <w:sz w:val="21"/>
                <w:szCs w:val="21"/>
              </w:rPr>
            </w:pPr>
            <w:r>
              <w:rPr>
                <w:rFonts w:hint="eastAsia" w:ascii="宋体" w:hAnsi="宋体" w:cs="Calibri"/>
                <w:sz w:val="21"/>
                <w:szCs w:val="21"/>
              </w:rPr>
              <w:t>履约保证金形式：现金、支票、银行保函、担保机构保函。</w:t>
            </w:r>
          </w:p>
          <w:p w14:paraId="5036F613">
            <w:pPr>
              <w:pageBreakBefore w:val="0"/>
              <w:kinsoku/>
              <w:wordWrap/>
              <w:overflowPunct/>
              <w:topLinePunct w:val="0"/>
              <w:bidi w:val="0"/>
              <w:adjustRightInd w:val="0"/>
              <w:snapToGrid w:val="0"/>
              <w:spacing w:line="360" w:lineRule="exact"/>
              <w:textAlignment w:val="auto"/>
              <w:rPr>
                <w:rFonts w:ascii="宋体" w:hAnsi="宋体" w:cs="Calibri"/>
                <w:sz w:val="21"/>
                <w:szCs w:val="21"/>
              </w:rPr>
            </w:pPr>
            <w:r>
              <w:rPr>
                <w:rFonts w:hint="eastAsia" w:ascii="宋体" w:hAnsi="宋体" w:cs="Calibri"/>
                <w:sz w:val="21"/>
                <w:szCs w:val="21"/>
              </w:rPr>
              <w:t>履约保证金金额：5%签约合同价。</w:t>
            </w:r>
          </w:p>
          <w:p w14:paraId="678B23C5">
            <w:pPr>
              <w:pageBreakBefore w:val="0"/>
              <w:kinsoku/>
              <w:wordWrap/>
              <w:overflowPunct/>
              <w:topLinePunct w:val="0"/>
              <w:bidi w:val="0"/>
              <w:adjustRightInd w:val="0"/>
              <w:snapToGrid w:val="0"/>
              <w:spacing w:line="360" w:lineRule="exact"/>
              <w:textAlignment w:val="auto"/>
              <w:rPr>
                <w:rFonts w:ascii="宋体" w:hAnsi="宋体" w:cs="Calibri"/>
                <w:sz w:val="21"/>
                <w:szCs w:val="21"/>
              </w:rPr>
            </w:pPr>
            <w:r>
              <w:rPr>
                <w:rFonts w:hint="eastAsia" w:ascii="宋体" w:hAnsi="宋体" w:cs="Calibri"/>
                <w:sz w:val="21"/>
                <w:szCs w:val="21"/>
              </w:rPr>
              <w:t>（1）采用现金、支票形式时，应由中标人的基本账户转入发包人账户。</w:t>
            </w:r>
          </w:p>
          <w:p w14:paraId="5FE839D8">
            <w:pPr>
              <w:pageBreakBefore w:val="0"/>
              <w:kinsoku/>
              <w:wordWrap/>
              <w:overflowPunct/>
              <w:topLinePunct w:val="0"/>
              <w:bidi w:val="0"/>
              <w:adjustRightInd w:val="0"/>
              <w:snapToGrid w:val="0"/>
              <w:spacing w:line="360" w:lineRule="exact"/>
              <w:textAlignment w:val="auto"/>
              <w:rPr>
                <w:rFonts w:ascii="宋体" w:hAnsi="宋体" w:cs="Calibri"/>
                <w:sz w:val="21"/>
                <w:szCs w:val="21"/>
              </w:rPr>
            </w:pPr>
            <w:r>
              <w:rPr>
                <w:rFonts w:hint="eastAsia" w:ascii="宋体" w:hAnsi="宋体" w:cs="Calibri"/>
                <w:sz w:val="21"/>
                <w:szCs w:val="21"/>
              </w:rPr>
              <w:t>（2）采用银行保函时，应按招标文件第四章“合同条款及格式”规定的履约保证金格式出具，应由地市级支行以上级别国有商业银行或全国性股份制商业银行开具，所需费用由中标人承担。</w:t>
            </w:r>
          </w:p>
          <w:p w14:paraId="6B000848">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cs="Calibri"/>
                <w:sz w:val="21"/>
                <w:szCs w:val="21"/>
              </w:rPr>
              <w:t>（3）若采用担保机构保函时，出具保函的担保机构应具有相应的担保能力，所需费用由中标人承担。</w:t>
            </w:r>
          </w:p>
        </w:tc>
      </w:tr>
      <w:tr w14:paraId="42874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76EF1BB0">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8.5.1</w:t>
            </w:r>
          </w:p>
        </w:tc>
        <w:tc>
          <w:tcPr>
            <w:tcW w:w="1591" w:type="dxa"/>
            <w:vAlign w:val="center"/>
          </w:tcPr>
          <w:p w14:paraId="4E061EF4">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监督部门</w:t>
            </w:r>
          </w:p>
        </w:tc>
        <w:tc>
          <w:tcPr>
            <w:tcW w:w="7019" w:type="dxa"/>
            <w:vAlign w:val="center"/>
          </w:tcPr>
          <w:p w14:paraId="5BDE65C2">
            <w:pPr>
              <w:pageBreakBefore w:val="0"/>
              <w:kinsoku/>
              <w:wordWrap/>
              <w:overflowPunct/>
              <w:topLinePunct w:val="0"/>
              <w:bidi w:val="0"/>
              <w:spacing w:line="360" w:lineRule="exact"/>
              <w:ind w:firstLine="210" w:firstLineChars="100"/>
              <w:textAlignment w:val="auto"/>
              <w:rPr>
                <w:kern w:val="1"/>
                <w:sz w:val="21"/>
                <w:szCs w:val="21"/>
              </w:rPr>
            </w:pPr>
            <w:r>
              <w:rPr>
                <w:kern w:val="1"/>
                <w:sz w:val="21"/>
                <w:szCs w:val="21"/>
              </w:rPr>
              <w:t>监督部门：</w:t>
            </w:r>
            <w:r>
              <w:rPr>
                <w:rFonts w:hint="eastAsia"/>
                <w:kern w:val="1"/>
                <w:sz w:val="21"/>
                <w:szCs w:val="21"/>
              </w:rPr>
              <w:t>吉林省交通运输厅</w:t>
            </w:r>
          </w:p>
          <w:p w14:paraId="7DF2ABA0">
            <w:pPr>
              <w:pageBreakBefore w:val="0"/>
              <w:kinsoku/>
              <w:wordWrap/>
              <w:overflowPunct/>
              <w:topLinePunct w:val="0"/>
              <w:bidi w:val="0"/>
              <w:spacing w:line="360" w:lineRule="exact"/>
              <w:ind w:firstLine="210" w:firstLineChars="100"/>
              <w:textAlignment w:val="auto"/>
              <w:rPr>
                <w:kern w:val="1"/>
                <w:sz w:val="21"/>
                <w:szCs w:val="21"/>
              </w:rPr>
            </w:pPr>
            <w:r>
              <w:rPr>
                <w:kern w:val="1"/>
                <w:sz w:val="21"/>
                <w:szCs w:val="21"/>
              </w:rPr>
              <w:t>地　　址：长春市解放大路2518号交通大厦</w:t>
            </w:r>
          </w:p>
          <w:p w14:paraId="61AF0565">
            <w:pPr>
              <w:pageBreakBefore w:val="0"/>
              <w:kinsoku/>
              <w:wordWrap/>
              <w:overflowPunct/>
              <w:topLinePunct w:val="0"/>
              <w:bidi w:val="0"/>
              <w:spacing w:line="360" w:lineRule="exact"/>
              <w:ind w:firstLine="210" w:firstLineChars="100"/>
              <w:textAlignment w:val="auto"/>
              <w:rPr>
                <w:rFonts w:ascii="宋体" w:hAnsi="宋体"/>
                <w:kern w:val="1"/>
                <w:sz w:val="21"/>
                <w:szCs w:val="21"/>
              </w:rPr>
            </w:pPr>
            <w:r>
              <w:rPr>
                <w:kern w:val="1"/>
                <w:sz w:val="21"/>
                <w:szCs w:val="21"/>
              </w:rPr>
              <w:t>电    话：</w:t>
            </w:r>
            <w:r>
              <w:rPr>
                <w:rFonts w:hint="eastAsia" w:ascii="宋体" w:hAnsi="宋体"/>
                <w:kern w:val="1"/>
                <w:sz w:val="21"/>
                <w:szCs w:val="21"/>
              </w:rPr>
              <w:t>0431-</w:t>
            </w:r>
            <w:r>
              <w:rPr>
                <w:rFonts w:ascii="宋体" w:hAnsi="宋体"/>
                <w:kern w:val="1"/>
                <w:sz w:val="21"/>
                <w:szCs w:val="21"/>
              </w:rPr>
              <w:t>85097</w:t>
            </w:r>
            <w:r>
              <w:rPr>
                <w:rFonts w:hint="eastAsia" w:ascii="宋体" w:hAnsi="宋体"/>
                <w:kern w:val="1"/>
                <w:sz w:val="21"/>
                <w:szCs w:val="21"/>
              </w:rPr>
              <w:t>540</w:t>
            </w:r>
          </w:p>
          <w:p w14:paraId="126EDFAB">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ascii="宋体" w:hAnsi="宋体"/>
                <w:kern w:val="1"/>
                <w:sz w:val="21"/>
                <w:szCs w:val="21"/>
              </w:rPr>
              <w:t>邮　　编：130021</w:t>
            </w:r>
          </w:p>
        </w:tc>
      </w:tr>
      <w:tr w14:paraId="0F45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5B996E32">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9</w:t>
            </w:r>
          </w:p>
        </w:tc>
        <w:tc>
          <w:tcPr>
            <w:tcW w:w="1591" w:type="dxa"/>
            <w:vAlign w:val="center"/>
          </w:tcPr>
          <w:p w14:paraId="28255054">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是否采用</w:t>
            </w:r>
          </w:p>
          <w:p w14:paraId="3A876A07">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电子招标投标</w:t>
            </w:r>
          </w:p>
        </w:tc>
        <w:tc>
          <w:tcPr>
            <w:tcW w:w="7019" w:type="dxa"/>
            <w:vAlign w:val="center"/>
          </w:tcPr>
          <w:p w14:paraId="77FB5B44">
            <w:pPr>
              <w:pageBreakBefore w:val="0"/>
              <w:kinsoku/>
              <w:wordWrap/>
              <w:overflowPunct/>
              <w:topLinePunct w:val="0"/>
              <w:bidi w:val="0"/>
              <w:spacing w:line="360" w:lineRule="exact"/>
              <w:textAlignment w:val="auto"/>
              <w:rPr>
                <w:rFonts w:ascii="宋体" w:hAnsi="宋体"/>
                <w:kern w:val="1"/>
                <w:sz w:val="21"/>
                <w:szCs w:val="21"/>
              </w:rPr>
            </w:pPr>
            <w:r>
              <w:rPr>
                <w:rFonts w:hint="eastAsia" w:ascii="宋体" w:hAnsi="宋体"/>
                <w:kern w:val="1"/>
                <w:sz w:val="21"/>
                <w:szCs w:val="21"/>
              </w:rPr>
              <w:t>是，具体要求：</w:t>
            </w:r>
          </w:p>
          <w:p w14:paraId="00E93FE9">
            <w:pPr>
              <w:pageBreakBefore w:val="0"/>
              <w:kinsoku/>
              <w:wordWrap/>
              <w:overflowPunct/>
              <w:topLinePunct w:val="0"/>
              <w:bidi w:val="0"/>
              <w:adjustRightInd w:val="0"/>
              <w:snapToGrid w:val="0"/>
              <w:spacing w:line="360" w:lineRule="exact"/>
              <w:ind w:firstLine="210" w:firstLineChars="100"/>
              <w:textAlignment w:val="auto"/>
              <w:rPr>
                <w:rFonts w:ascii="宋体" w:hAnsi="宋体" w:cs="宋体"/>
                <w:kern w:val="0"/>
                <w:sz w:val="21"/>
                <w:szCs w:val="21"/>
              </w:rPr>
            </w:pPr>
            <w:r>
              <w:rPr>
                <w:rFonts w:hint="eastAsia" w:ascii="宋体" w:hAnsi="宋体"/>
                <w:kern w:val="1"/>
                <w:sz w:val="21"/>
                <w:szCs w:val="21"/>
              </w:rPr>
              <w:t>本项目实施网上远程开标，投标人通过电子交易平台进行远程投标文件解密。开标前，投标人应在准备解密的电脑端提前安装好CA驱动并且能正常登录系统。开标时在代理机构工作人员公布投标人名单后，按顺序进行解密，由投标人选择对应的项目，进入“开标远程解密”菜单，点击远程解密并输入CA密码，成功解密后状态会显示“已解密”。投标人未在规定的时间内完成解密的视为无效投标。投标人由于数字证书遗失、损坏、更换、续期等自身原因情况导致投标文件无法解密，由投标人自行承担责任。</w:t>
            </w:r>
          </w:p>
        </w:tc>
      </w:tr>
      <w:tr w14:paraId="0F27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69" w:type="dxa"/>
            <w:gridSpan w:val="3"/>
            <w:vAlign w:val="center"/>
          </w:tcPr>
          <w:p w14:paraId="7740E1E6">
            <w:pPr>
              <w:pageBreakBefore w:val="0"/>
              <w:kinsoku/>
              <w:wordWrap/>
              <w:overflowPunct/>
              <w:topLinePunct w:val="0"/>
              <w:bidi w:val="0"/>
              <w:adjustRightInd w:val="0"/>
              <w:snapToGrid w:val="0"/>
              <w:spacing w:line="360" w:lineRule="exact"/>
              <w:ind w:firstLine="210" w:firstLineChars="100"/>
              <w:textAlignment w:val="auto"/>
              <w:rPr>
                <w:rFonts w:ascii="宋体" w:hAnsi="宋体" w:cs="宋体"/>
                <w:kern w:val="0"/>
                <w:sz w:val="21"/>
                <w:szCs w:val="21"/>
              </w:rPr>
            </w:pPr>
            <w:r>
              <w:rPr>
                <w:rFonts w:hint="eastAsia" w:ascii="宋体" w:hAnsi="宋体" w:cs="宋体"/>
                <w:kern w:val="0"/>
                <w:sz w:val="21"/>
                <w:szCs w:val="21"/>
              </w:rPr>
              <w:t>需要补充的其他内容</w:t>
            </w:r>
          </w:p>
        </w:tc>
      </w:tr>
      <w:tr w14:paraId="5CA4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6D7D5F91">
            <w:pPr>
              <w:pageBreakBefore w:val="0"/>
              <w:widowControl/>
              <w:shd w:val="clear" w:color="auto" w:fill="FFFFFF"/>
              <w:kinsoku/>
              <w:wordWrap/>
              <w:overflowPunct/>
              <w:topLinePunct w:val="0"/>
              <w:bidi w:val="0"/>
              <w:adjustRightInd w:val="0"/>
              <w:spacing w:before="120" w:beforeLines="50" w:after="120" w:afterLines="50" w:line="360" w:lineRule="exact"/>
              <w:ind w:firstLine="210" w:firstLineChars="100"/>
              <w:jc w:val="left"/>
              <w:textAlignment w:val="auto"/>
              <w:rPr>
                <w:rFonts w:ascii="宋体" w:hAnsi="宋体" w:cs="宋体"/>
                <w:kern w:val="0"/>
                <w:sz w:val="21"/>
                <w:szCs w:val="21"/>
              </w:rPr>
            </w:pPr>
            <w:r>
              <w:rPr>
                <w:rFonts w:hint="eastAsia" w:ascii="宋体" w:hAnsi="宋体" w:cs="宋体"/>
                <w:kern w:val="0"/>
                <w:sz w:val="21"/>
                <w:szCs w:val="21"/>
              </w:rPr>
              <w:t>10.2</w:t>
            </w:r>
          </w:p>
        </w:tc>
        <w:tc>
          <w:tcPr>
            <w:tcW w:w="1591" w:type="dxa"/>
            <w:vAlign w:val="center"/>
          </w:tcPr>
          <w:p w14:paraId="7DC8242D">
            <w:pPr>
              <w:pageBreakBefore w:val="0"/>
              <w:kinsoku/>
              <w:wordWrap/>
              <w:overflowPunct/>
              <w:topLinePunct w:val="0"/>
              <w:bidi w:val="0"/>
              <w:spacing w:line="360" w:lineRule="exact"/>
              <w:jc w:val="center"/>
              <w:textAlignment w:val="auto"/>
              <w:rPr>
                <w:rFonts w:ascii="宋体" w:hAnsi="宋体" w:cs="宋体"/>
                <w:kern w:val="0"/>
                <w:sz w:val="21"/>
                <w:szCs w:val="21"/>
              </w:rPr>
            </w:pPr>
            <w:r>
              <w:rPr>
                <w:rFonts w:hint="eastAsia" w:hAnsi="宋体"/>
                <w:sz w:val="21"/>
                <w:szCs w:val="21"/>
              </w:rPr>
              <w:t>词语定义</w:t>
            </w:r>
          </w:p>
        </w:tc>
        <w:tc>
          <w:tcPr>
            <w:tcW w:w="7019" w:type="dxa"/>
            <w:vAlign w:val="center"/>
          </w:tcPr>
          <w:p w14:paraId="0220BEC6">
            <w:pPr>
              <w:pageBreakBefore w:val="0"/>
              <w:kinsoku/>
              <w:wordWrap/>
              <w:overflowPunct/>
              <w:topLinePunct w:val="0"/>
              <w:bidi w:val="0"/>
              <w:adjustRightInd w:val="0"/>
              <w:snapToGrid w:val="0"/>
              <w:spacing w:before="60" w:beforeLines="25" w:after="60" w:afterLines="25" w:line="360" w:lineRule="exact"/>
              <w:textAlignment w:val="auto"/>
              <w:rPr>
                <w:rFonts w:ascii="宋体" w:hAnsi="宋体"/>
                <w:sz w:val="21"/>
                <w:szCs w:val="21"/>
              </w:rPr>
            </w:pPr>
            <w:r>
              <w:rPr>
                <w:rFonts w:hint="eastAsia" w:ascii="宋体" w:hAnsi="宋体"/>
                <w:sz w:val="21"/>
                <w:szCs w:val="21"/>
              </w:rPr>
              <w:t>（1）本文件中所称的</w:t>
            </w:r>
            <w:r>
              <w:rPr>
                <w:rFonts w:hint="eastAsia" w:ascii="黑体" w:hAnsi="黑体" w:eastAsia="黑体"/>
                <w:b/>
                <w:sz w:val="21"/>
                <w:szCs w:val="21"/>
              </w:rPr>
              <w:t>“以上”、“以下”、“以内”</w:t>
            </w:r>
            <w:r>
              <w:rPr>
                <w:rFonts w:hint="eastAsia" w:ascii="宋体" w:hAnsi="宋体"/>
                <w:sz w:val="21"/>
                <w:szCs w:val="21"/>
              </w:rPr>
              <w:t>，包括本数；所称的</w:t>
            </w:r>
            <w:r>
              <w:rPr>
                <w:rFonts w:hint="eastAsia" w:ascii="黑体" w:hAnsi="黑体" w:eastAsia="黑体"/>
                <w:b/>
                <w:sz w:val="21"/>
                <w:szCs w:val="21"/>
              </w:rPr>
              <w:t>“以外”</w:t>
            </w:r>
            <w:r>
              <w:rPr>
                <w:rFonts w:hint="eastAsia" w:ascii="宋体" w:hAnsi="宋体"/>
                <w:sz w:val="21"/>
                <w:szCs w:val="21"/>
              </w:rPr>
              <w:t>，不包括本数。</w:t>
            </w:r>
          </w:p>
          <w:p w14:paraId="3D435F1D">
            <w:pPr>
              <w:pageBreakBefore w:val="0"/>
              <w:kinsoku/>
              <w:wordWrap/>
              <w:overflowPunct/>
              <w:topLinePunct w:val="0"/>
              <w:bidi w:val="0"/>
              <w:spacing w:line="360" w:lineRule="exact"/>
              <w:textAlignment w:val="auto"/>
              <w:rPr>
                <w:rFonts w:ascii="宋体" w:hAnsi="宋体" w:cs="宋体"/>
                <w:kern w:val="0"/>
                <w:sz w:val="21"/>
                <w:szCs w:val="21"/>
              </w:rPr>
            </w:pPr>
            <w:r>
              <w:rPr>
                <w:rFonts w:hint="eastAsia" w:ascii="宋体" w:hAnsi="宋体"/>
                <w:sz w:val="21"/>
                <w:szCs w:val="21"/>
              </w:rPr>
              <w:t>（2）除有特殊说明外，本文件中所称的“近3年”或“近5年”，是指自投标截止时间所在年度起逆推3年或5年。如：投标截止时间所在年度为2025年，</w:t>
            </w:r>
            <w:r>
              <w:rPr>
                <w:rFonts w:hint="eastAsia" w:ascii="宋体" w:hAnsi="宋体" w:cs="宋体"/>
                <w:kern w:val="0"/>
                <w:sz w:val="21"/>
                <w:szCs w:val="21"/>
                <w:lang w:val="zh-CN"/>
              </w:rPr>
              <w:t>“近</w:t>
            </w:r>
            <w:r>
              <w:rPr>
                <w:rFonts w:hint="eastAsia" w:ascii="宋体" w:hAnsi="宋体" w:cs="宋体"/>
                <w:kern w:val="0"/>
                <w:sz w:val="21"/>
                <w:szCs w:val="21"/>
              </w:rPr>
              <w:t>3</w:t>
            </w:r>
            <w:r>
              <w:rPr>
                <w:rFonts w:hint="eastAsia" w:ascii="宋体" w:hAnsi="宋体" w:cs="宋体"/>
                <w:kern w:val="0"/>
                <w:sz w:val="21"/>
                <w:szCs w:val="21"/>
                <w:lang w:val="zh-CN"/>
              </w:rPr>
              <w:t>年”的年限从202</w:t>
            </w:r>
            <w:r>
              <w:rPr>
                <w:rFonts w:hint="eastAsia" w:ascii="宋体" w:hAnsi="宋体" w:cs="宋体"/>
                <w:kern w:val="0"/>
                <w:sz w:val="21"/>
                <w:szCs w:val="21"/>
              </w:rPr>
              <w:t>2</w:t>
            </w:r>
            <w:r>
              <w:rPr>
                <w:rFonts w:hint="eastAsia" w:ascii="宋体" w:hAnsi="宋体" w:cs="宋体"/>
                <w:kern w:val="0"/>
                <w:sz w:val="21"/>
                <w:szCs w:val="21"/>
                <w:lang w:val="zh-CN"/>
              </w:rPr>
              <w:t>年1月1日算起</w:t>
            </w:r>
            <w:r>
              <w:rPr>
                <w:rFonts w:ascii="宋体" w:hAnsi="宋体" w:cs="宋体"/>
                <w:kern w:val="0"/>
                <w:sz w:val="21"/>
                <w:szCs w:val="21"/>
              </w:rPr>
              <w:t>,</w:t>
            </w:r>
            <w:r>
              <w:rPr>
                <w:rFonts w:hint="eastAsia" w:ascii="宋体" w:hAnsi="宋体" w:cs="宋体"/>
                <w:kern w:val="0"/>
                <w:sz w:val="21"/>
                <w:szCs w:val="21"/>
                <w:lang w:val="zh-CN"/>
              </w:rPr>
              <w:t>“近</w:t>
            </w:r>
            <w:r>
              <w:rPr>
                <w:rFonts w:ascii="宋体" w:hAnsi="宋体" w:cs="宋体"/>
                <w:kern w:val="0"/>
                <w:sz w:val="21"/>
                <w:szCs w:val="21"/>
              </w:rPr>
              <w:t>5</w:t>
            </w:r>
            <w:r>
              <w:rPr>
                <w:rFonts w:hint="eastAsia" w:ascii="宋体" w:hAnsi="宋体" w:cs="宋体"/>
                <w:kern w:val="0"/>
                <w:sz w:val="21"/>
                <w:szCs w:val="21"/>
                <w:lang w:val="zh-CN"/>
              </w:rPr>
              <w:t>年”的年限从20</w:t>
            </w:r>
            <w:r>
              <w:rPr>
                <w:rFonts w:hint="eastAsia" w:ascii="宋体" w:hAnsi="宋体" w:cs="宋体"/>
                <w:kern w:val="0"/>
                <w:sz w:val="21"/>
                <w:szCs w:val="21"/>
              </w:rPr>
              <w:t>20</w:t>
            </w:r>
            <w:r>
              <w:rPr>
                <w:rFonts w:hint="eastAsia" w:ascii="宋体" w:hAnsi="宋体" w:cs="宋体"/>
                <w:kern w:val="0"/>
                <w:sz w:val="21"/>
                <w:szCs w:val="21"/>
                <w:lang w:val="zh-CN"/>
              </w:rPr>
              <w:t>年1月1日算起</w:t>
            </w:r>
            <w:r>
              <w:rPr>
                <w:rFonts w:hint="eastAsia" w:ascii="宋体" w:hAnsi="宋体"/>
                <w:sz w:val="21"/>
                <w:szCs w:val="21"/>
              </w:rPr>
              <w:t>。</w:t>
            </w:r>
          </w:p>
        </w:tc>
      </w:tr>
      <w:tr w14:paraId="3A42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shd w:val="clear" w:color="auto" w:fill="auto"/>
            <w:vAlign w:val="center"/>
          </w:tcPr>
          <w:p w14:paraId="331A4BB8">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10.3</w:t>
            </w:r>
          </w:p>
        </w:tc>
        <w:tc>
          <w:tcPr>
            <w:tcW w:w="1591" w:type="dxa"/>
            <w:shd w:val="clear" w:color="auto" w:fill="auto"/>
            <w:vAlign w:val="center"/>
          </w:tcPr>
          <w:p w14:paraId="12D79DE6">
            <w:pPr>
              <w:pageBreakBefore w:val="0"/>
              <w:kinsoku/>
              <w:wordWrap/>
              <w:overflowPunct/>
              <w:topLinePunct w:val="0"/>
              <w:bidi w:val="0"/>
              <w:spacing w:line="360" w:lineRule="exact"/>
              <w:jc w:val="center"/>
              <w:textAlignment w:val="auto"/>
              <w:rPr>
                <w:rFonts w:ascii="黑体" w:hAnsi="黑体" w:eastAsia="黑体"/>
                <w:b/>
                <w:sz w:val="21"/>
                <w:szCs w:val="21"/>
              </w:rPr>
            </w:pPr>
            <w:r>
              <w:rPr>
                <w:rFonts w:hint="eastAsia" w:ascii="黑体" w:hAnsi="黑体" w:eastAsia="黑体"/>
                <w:b/>
                <w:sz w:val="21"/>
                <w:szCs w:val="21"/>
              </w:rPr>
              <w:t>投标文件编制</w:t>
            </w:r>
          </w:p>
          <w:p w14:paraId="74D1420A">
            <w:pPr>
              <w:pageBreakBefore w:val="0"/>
              <w:kinsoku/>
              <w:wordWrap/>
              <w:overflowPunct/>
              <w:topLinePunct w:val="0"/>
              <w:bidi w:val="0"/>
              <w:spacing w:line="360" w:lineRule="exact"/>
              <w:jc w:val="center"/>
              <w:textAlignment w:val="auto"/>
              <w:rPr>
                <w:rFonts w:hAnsi="宋体"/>
                <w:sz w:val="21"/>
                <w:szCs w:val="21"/>
              </w:rPr>
            </w:pPr>
            <w:r>
              <w:rPr>
                <w:rFonts w:hint="eastAsia" w:ascii="黑体" w:hAnsi="黑体" w:eastAsia="黑体"/>
                <w:b/>
                <w:sz w:val="21"/>
                <w:szCs w:val="21"/>
              </w:rPr>
              <w:t>特殊说明</w:t>
            </w:r>
          </w:p>
        </w:tc>
        <w:tc>
          <w:tcPr>
            <w:tcW w:w="7019" w:type="dxa"/>
            <w:shd w:val="clear" w:color="auto" w:fill="auto"/>
            <w:vAlign w:val="center"/>
          </w:tcPr>
          <w:p w14:paraId="1ADF7066">
            <w:pPr>
              <w:pageBreakBefore w:val="0"/>
              <w:kinsoku/>
              <w:wordWrap/>
              <w:overflowPunct/>
              <w:topLinePunct w:val="0"/>
              <w:bidi w:val="0"/>
              <w:spacing w:line="360" w:lineRule="exact"/>
              <w:textAlignment w:val="auto"/>
              <w:rPr>
                <w:rFonts w:ascii="宋体" w:hAnsi="宋体"/>
                <w:sz w:val="21"/>
                <w:szCs w:val="21"/>
              </w:rPr>
            </w:pPr>
            <w:r>
              <w:rPr>
                <w:rFonts w:hint="eastAsia" w:ascii="宋体" w:hAnsi="宋体"/>
                <w:sz w:val="21"/>
                <w:szCs w:val="21"/>
              </w:rPr>
              <w:t>（1）本项目招标文件以交通运输部编制的《公路工程标准施工招标文件》（2018年版，交通运输部公告2017年第51号）（以下简称《公路工程标准施工招标文件》）为基础，结合本项目的特点和管理需要编制而成，两者应结合使用。</w:t>
            </w:r>
          </w:p>
          <w:p w14:paraId="08E7A8CA">
            <w:pPr>
              <w:pageBreakBefore w:val="0"/>
              <w:kinsoku/>
              <w:wordWrap/>
              <w:overflowPunct/>
              <w:topLinePunct w:val="0"/>
              <w:bidi w:val="0"/>
              <w:spacing w:line="360" w:lineRule="exact"/>
              <w:textAlignment w:val="auto"/>
              <w:rPr>
                <w:rFonts w:ascii="黑体" w:hAnsi="黑体" w:eastAsia="黑体"/>
                <w:b/>
                <w:sz w:val="21"/>
                <w:szCs w:val="21"/>
              </w:rPr>
            </w:pPr>
            <w:r>
              <w:rPr>
                <w:rFonts w:hint="eastAsia" w:ascii="宋体" w:hAnsi="宋体"/>
                <w:sz w:val="21"/>
                <w:szCs w:val="21"/>
              </w:rPr>
              <w:t>（2）</w:t>
            </w:r>
            <w:r>
              <w:rPr>
                <w:rFonts w:hint="eastAsia" w:ascii="宋体" w:hAnsi="宋体"/>
                <w:b/>
                <w:bCs/>
                <w:sz w:val="21"/>
                <w:szCs w:val="21"/>
              </w:rPr>
              <w:t>本项目采用“双盲”评审，即评标专家“盲抽”和“盲评”，投标文件的施工组织设计部分采用“暗标”形式，投标人应严格按照“第九章投标文件格式”中的要求编制施工组织设计。如果施工组织设计出现能识别投标人的内容，经评标委员会确定后，将否决其投标</w:t>
            </w:r>
            <w:r>
              <w:rPr>
                <w:rFonts w:hint="eastAsia" w:ascii="黑体" w:hAnsi="黑体" w:eastAsia="黑体"/>
                <w:b/>
                <w:bCs/>
                <w:sz w:val="21"/>
                <w:szCs w:val="21"/>
              </w:rPr>
              <w:t>。</w:t>
            </w:r>
          </w:p>
        </w:tc>
      </w:tr>
      <w:tr w14:paraId="6701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9" w:hRule="atLeast"/>
          <w:jc w:val="center"/>
        </w:trPr>
        <w:tc>
          <w:tcPr>
            <w:tcW w:w="959" w:type="dxa"/>
            <w:vAlign w:val="center"/>
          </w:tcPr>
          <w:p w14:paraId="35D2BD1F">
            <w:pPr>
              <w:pageBreakBefore w:val="0"/>
              <w:kinsoku/>
              <w:wordWrap/>
              <w:overflowPunct/>
              <w:topLinePunct w:val="0"/>
              <w:bidi w:val="0"/>
              <w:adjustRightInd w:val="0"/>
              <w:snapToGrid w:val="0"/>
              <w:spacing w:before="120" w:beforeLines="50" w:after="120" w:afterLines="50" w:line="360" w:lineRule="exact"/>
              <w:jc w:val="center"/>
              <w:textAlignment w:val="auto"/>
              <w:rPr>
                <w:rFonts w:ascii="宋体" w:hAnsi="宋体"/>
                <w:sz w:val="21"/>
                <w:szCs w:val="21"/>
              </w:rPr>
            </w:pPr>
            <w:r>
              <w:rPr>
                <w:rFonts w:hint="eastAsia" w:ascii="宋体" w:hAnsi="宋体"/>
                <w:sz w:val="21"/>
                <w:szCs w:val="21"/>
              </w:rPr>
              <w:t>10.4</w:t>
            </w:r>
          </w:p>
        </w:tc>
        <w:tc>
          <w:tcPr>
            <w:tcW w:w="1591" w:type="dxa"/>
            <w:vAlign w:val="center"/>
          </w:tcPr>
          <w:p w14:paraId="70AE301E">
            <w:pPr>
              <w:pageBreakBefore w:val="0"/>
              <w:kinsoku/>
              <w:wordWrap/>
              <w:overflowPunct/>
              <w:topLinePunct w:val="0"/>
              <w:bidi w:val="0"/>
              <w:adjustRightInd w:val="0"/>
              <w:snapToGrid w:val="0"/>
              <w:spacing w:before="120" w:beforeLines="50" w:after="120" w:afterLines="50" w:line="360" w:lineRule="exact"/>
              <w:textAlignment w:val="auto"/>
              <w:rPr>
                <w:rFonts w:ascii="宋体" w:hAnsi="宋体"/>
                <w:sz w:val="21"/>
                <w:szCs w:val="21"/>
              </w:rPr>
            </w:pPr>
            <w:r>
              <w:rPr>
                <w:rFonts w:hint="eastAsia" w:ascii="宋体" w:hAnsi="宋体"/>
                <w:sz w:val="21"/>
                <w:szCs w:val="21"/>
              </w:rPr>
              <w:t>招标代理服务费</w:t>
            </w:r>
          </w:p>
        </w:tc>
        <w:tc>
          <w:tcPr>
            <w:tcW w:w="7019" w:type="dxa"/>
            <w:vAlign w:val="center"/>
          </w:tcPr>
          <w:p w14:paraId="2CC2A411">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用于本项目的招标代理服务费由招标人通过中标人支付，投标人应将此费用计入投标报价内，但不得单独报价</w:t>
            </w:r>
            <w:r>
              <w:rPr>
                <w:rFonts w:hint="eastAsia" w:ascii="宋体" w:hAnsi="宋体"/>
                <w:sz w:val="21"/>
                <w:szCs w:val="21"/>
                <w:highlight w:val="none"/>
              </w:rPr>
              <w:t>。</w:t>
            </w:r>
          </w:p>
          <w:p w14:paraId="7276755B">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招标代理服务费：中标金额500万元以下的按照现行费率计算，500</w:t>
            </w:r>
            <w:r>
              <w:rPr>
                <w:rFonts w:hint="eastAsia" w:ascii="宋体" w:hAnsi="宋体"/>
                <w:sz w:val="21"/>
                <w:szCs w:val="21"/>
                <w:highlight w:val="none"/>
              </w:rPr>
              <w:t>万</w:t>
            </w:r>
            <w:r>
              <w:rPr>
                <w:rFonts w:ascii="宋体" w:hAnsi="宋体"/>
                <w:sz w:val="21"/>
                <w:szCs w:val="21"/>
                <w:highlight w:val="none"/>
              </w:rPr>
              <w:t>-1000万元的代理费3.8万元，1000万元以上的按照现行费率60%计算。用于本项目的招标代理服务费由中标人支付，投标人应将此费用计入投标报价内，但不得单独报价。招标代理服务费的收费标准如下：</w:t>
            </w:r>
          </w:p>
          <w:p w14:paraId="6BDC33F6">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 xml:space="preserve">招标代理服务收费 </w:t>
            </w:r>
          </w:p>
          <w:p w14:paraId="384F9BC8">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 xml:space="preserve">中标金额 费率 </w:t>
            </w:r>
          </w:p>
          <w:p w14:paraId="5349DCEF">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 xml:space="preserve">100万元以下 1.00% </w:t>
            </w:r>
          </w:p>
          <w:p w14:paraId="449B0D2D">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100</w:t>
            </w:r>
            <w:r>
              <w:rPr>
                <w:rFonts w:hint="eastAsia" w:ascii="宋体" w:hAnsi="宋体"/>
                <w:sz w:val="21"/>
                <w:szCs w:val="21"/>
                <w:highlight w:val="none"/>
              </w:rPr>
              <w:t>万</w:t>
            </w:r>
            <w:r>
              <w:rPr>
                <w:rFonts w:ascii="宋体" w:hAnsi="宋体"/>
                <w:sz w:val="21"/>
                <w:szCs w:val="21"/>
                <w:highlight w:val="none"/>
              </w:rPr>
              <w:t xml:space="preserve">～500万元 0.70% </w:t>
            </w:r>
          </w:p>
          <w:p w14:paraId="17230C17">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500</w:t>
            </w:r>
            <w:r>
              <w:rPr>
                <w:rFonts w:hint="eastAsia" w:ascii="宋体" w:hAnsi="宋体"/>
                <w:sz w:val="21"/>
                <w:szCs w:val="21"/>
                <w:highlight w:val="none"/>
              </w:rPr>
              <w:t>万</w:t>
            </w:r>
            <w:r>
              <w:rPr>
                <w:rFonts w:ascii="宋体" w:hAnsi="宋体"/>
                <w:sz w:val="21"/>
                <w:szCs w:val="21"/>
                <w:highlight w:val="none"/>
              </w:rPr>
              <w:t xml:space="preserve">～1000万元 0.55% </w:t>
            </w:r>
          </w:p>
          <w:p w14:paraId="5C6F3FCE">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1000</w:t>
            </w:r>
            <w:r>
              <w:rPr>
                <w:rFonts w:hint="eastAsia" w:ascii="宋体" w:hAnsi="宋体"/>
                <w:sz w:val="21"/>
                <w:szCs w:val="21"/>
                <w:highlight w:val="none"/>
              </w:rPr>
              <w:t>万</w:t>
            </w:r>
            <w:r>
              <w:rPr>
                <w:rFonts w:ascii="宋体" w:hAnsi="宋体"/>
                <w:sz w:val="21"/>
                <w:szCs w:val="21"/>
                <w:highlight w:val="none"/>
              </w:rPr>
              <w:t xml:space="preserve">～5000万元 0.35% </w:t>
            </w:r>
          </w:p>
          <w:p w14:paraId="318F129A">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5000</w:t>
            </w:r>
            <w:r>
              <w:rPr>
                <w:rFonts w:hint="eastAsia" w:ascii="宋体" w:hAnsi="宋体"/>
                <w:sz w:val="21"/>
                <w:szCs w:val="21"/>
                <w:highlight w:val="none"/>
              </w:rPr>
              <w:t>万</w:t>
            </w:r>
            <w:r>
              <w:rPr>
                <w:rFonts w:ascii="宋体" w:hAnsi="宋体"/>
                <w:sz w:val="21"/>
                <w:szCs w:val="21"/>
                <w:highlight w:val="none"/>
              </w:rPr>
              <w:t xml:space="preserve">～10000万元 0.20% </w:t>
            </w:r>
          </w:p>
          <w:p w14:paraId="7E64FD80">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招标代理服务收费基准价格按差额定率累进法计算。</w:t>
            </w:r>
          </w:p>
          <w:p w14:paraId="528BCB21">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按以上收费标准计算出的基准招标代理服务费，即为投标人应支付的招标代理费。</w:t>
            </w:r>
          </w:p>
          <w:p w14:paraId="41894781">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例：如中标金额为6000万元，投标人应支付的招标代理费如下：</w:t>
            </w:r>
          </w:p>
          <w:p w14:paraId="2106107A">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 xml:space="preserve">100万元×1.00% ＝ 1.00万元 </w:t>
            </w:r>
          </w:p>
          <w:p w14:paraId="1E59E0F6">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 xml:space="preserve">（500-100）万元×0.70% ＝ 2.80万元 </w:t>
            </w:r>
          </w:p>
          <w:p w14:paraId="6FF9FD97">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 xml:space="preserve">（1000-500）万元×0.55% ＝ 2.75万元 </w:t>
            </w:r>
          </w:p>
          <w:p w14:paraId="64F41EFA">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 xml:space="preserve">（5000-1000）万元×0.35% ＝ 14.00万元 </w:t>
            </w:r>
          </w:p>
          <w:p w14:paraId="3F3A53BD">
            <w:pPr>
              <w:pageBreakBefore w:val="0"/>
              <w:kinsoku/>
              <w:wordWrap/>
              <w:overflowPunct/>
              <w:topLinePunct w:val="0"/>
              <w:bidi w:val="0"/>
              <w:spacing w:line="360" w:lineRule="exact"/>
              <w:textAlignment w:val="auto"/>
              <w:rPr>
                <w:rFonts w:ascii="宋体" w:hAnsi="宋体"/>
                <w:sz w:val="21"/>
                <w:szCs w:val="21"/>
                <w:highlight w:val="none"/>
              </w:rPr>
            </w:pPr>
            <w:r>
              <w:rPr>
                <w:rFonts w:ascii="宋体" w:hAnsi="宋体"/>
                <w:sz w:val="21"/>
                <w:szCs w:val="21"/>
                <w:highlight w:val="none"/>
              </w:rPr>
              <w:t>（</w:t>
            </w:r>
            <w:r>
              <w:rPr>
                <w:rFonts w:hint="eastAsia" w:ascii="宋体" w:hAnsi="宋体"/>
                <w:sz w:val="21"/>
                <w:szCs w:val="21"/>
                <w:highlight w:val="none"/>
              </w:rPr>
              <w:t>6000-</w:t>
            </w:r>
            <w:r>
              <w:rPr>
                <w:rFonts w:ascii="宋体" w:hAnsi="宋体"/>
                <w:sz w:val="21"/>
                <w:szCs w:val="21"/>
                <w:highlight w:val="none"/>
              </w:rPr>
              <w:t xml:space="preserve">5000）万元×0.20% ＝ </w:t>
            </w:r>
            <w:r>
              <w:rPr>
                <w:rFonts w:hint="eastAsia" w:ascii="宋体" w:hAnsi="宋体"/>
                <w:sz w:val="21"/>
                <w:szCs w:val="21"/>
                <w:highlight w:val="none"/>
              </w:rPr>
              <w:t>2</w:t>
            </w:r>
            <w:r>
              <w:rPr>
                <w:rFonts w:ascii="宋体" w:hAnsi="宋体"/>
                <w:sz w:val="21"/>
                <w:szCs w:val="21"/>
                <w:highlight w:val="none"/>
              </w:rPr>
              <w:t xml:space="preserve">万元 </w:t>
            </w:r>
          </w:p>
          <w:p w14:paraId="7CE1037D">
            <w:pPr>
              <w:pageBreakBefore w:val="0"/>
              <w:widowControl/>
              <w:kinsoku/>
              <w:wordWrap/>
              <w:overflowPunct/>
              <w:topLinePunct w:val="0"/>
              <w:bidi w:val="0"/>
              <w:adjustRightInd w:val="0"/>
              <w:snapToGrid w:val="0"/>
              <w:spacing w:line="360" w:lineRule="exact"/>
              <w:textAlignment w:val="auto"/>
              <w:rPr>
                <w:rFonts w:hint="eastAsia" w:ascii="宋体" w:hAnsi="宋体" w:eastAsia="宋体" w:cs="宋体"/>
                <w:kern w:val="0"/>
                <w:sz w:val="21"/>
                <w:szCs w:val="21"/>
                <w:lang w:eastAsia="zh-CN"/>
              </w:rPr>
            </w:pPr>
            <w:r>
              <w:rPr>
                <w:rFonts w:ascii="宋体" w:hAnsi="宋体"/>
                <w:sz w:val="21"/>
                <w:szCs w:val="21"/>
                <w:highlight w:val="none"/>
              </w:rPr>
              <w:t>则投标人应支付的招标代理费＝1+2.8+2.75+14+</w:t>
            </w:r>
            <w:r>
              <w:rPr>
                <w:rFonts w:hint="eastAsia" w:ascii="宋体" w:hAnsi="宋体"/>
                <w:sz w:val="21"/>
                <w:szCs w:val="21"/>
                <w:highlight w:val="none"/>
              </w:rPr>
              <w:t>2</w:t>
            </w:r>
            <w:r>
              <w:rPr>
                <w:rFonts w:ascii="宋体" w:hAnsi="宋体"/>
                <w:sz w:val="21"/>
                <w:szCs w:val="21"/>
                <w:highlight w:val="none"/>
              </w:rPr>
              <w:t>＝</w:t>
            </w:r>
            <w:r>
              <w:rPr>
                <w:rFonts w:hint="eastAsia" w:ascii="宋体" w:hAnsi="宋体"/>
                <w:sz w:val="21"/>
                <w:szCs w:val="21"/>
                <w:highlight w:val="none"/>
              </w:rPr>
              <w:t>22.55</w:t>
            </w:r>
            <w:r>
              <w:rPr>
                <w:rFonts w:ascii="宋体" w:hAnsi="宋体"/>
                <w:sz w:val="21"/>
                <w:szCs w:val="21"/>
                <w:highlight w:val="none"/>
              </w:rPr>
              <w:t>（万元）×</w:t>
            </w:r>
            <w:r>
              <w:rPr>
                <w:rFonts w:hint="eastAsia" w:ascii="宋体" w:hAnsi="宋体"/>
                <w:sz w:val="21"/>
                <w:szCs w:val="21"/>
                <w:highlight w:val="none"/>
              </w:rPr>
              <w:t>60%=13.53万元</w:t>
            </w:r>
            <w:r>
              <w:rPr>
                <w:rFonts w:hint="eastAsia" w:ascii="宋体" w:hAnsi="宋体"/>
                <w:sz w:val="21"/>
                <w:szCs w:val="21"/>
                <w:highlight w:val="none"/>
                <w:lang w:eastAsia="zh-CN"/>
              </w:rPr>
              <w:t>。</w:t>
            </w:r>
          </w:p>
        </w:tc>
      </w:tr>
      <w:tr w14:paraId="3339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3F3EB9AD">
            <w:pPr>
              <w:pageBreakBefore w:val="0"/>
              <w:kinsoku/>
              <w:wordWrap/>
              <w:overflowPunct/>
              <w:topLinePunct w:val="0"/>
              <w:bidi w:val="0"/>
              <w:adjustRightInd w:val="0"/>
              <w:snapToGrid w:val="0"/>
              <w:spacing w:before="120" w:beforeLines="50" w:after="120" w:afterLines="50" w:line="360" w:lineRule="exact"/>
              <w:jc w:val="center"/>
              <w:textAlignment w:val="auto"/>
              <w:rPr>
                <w:rFonts w:ascii="宋体" w:hAnsi="宋体"/>
                <w:sz w:val="21"/>
                <w:szCs w:val="21"/>
              </w:rPr>
            </w:pPr>
            <w:r>
              <w:rPr>
                <w:rFonts w:hint="eastAsia" w:ascii="宋体" w:hAnsi="宋体"/>
                <w:sz w:val="21"/>
                <w:szCs w:val="21"/>
              </w:rPr>
              <w:t>10.5</w:t>
            </w:r>
          </w:p>
        </w:tc>
        <w:tc>
          <w:tcPr>
            <w:tcW w:w="1591" w:type="dxa"/>
            <w:vAlign w:val="center"/>
          </w:tcPr>
          <w:p w14:paraId="6465F04C">
            <w:pPr>
              <w:pageBreakBefore w:val="0"/>
              <w:kinsoku/>
              <w:wordWrap/>
              <w:overflowPunct/>
              <w:topLinePunct w:val="0"/>
              <w:bidi w:val="0"/>
              <w:adjustRightInd w:val="0"/>
              <w:snapToGrid w:val="0"/>
              <w:spacing w:before="120" w:beforeLines="50" w:after="120" w:afterLines="50" w:line="360" w:lineRule="exact"/>
              <w:textAlignment w:val="auto"/>
              <w:rPr>
                <w:rFonts w:ascii="宋体" w:hAnsi="宋体"/>
                <w:sz w:val="21"/>
                <w:szCs w:val="21"/>
              </w:rPr>
            </w:pPr>
            <w:r>
              <w:rPr>
                <w:rFonts w:hint="eastAsia" w:ascii="宋体" w:hAnsi="宋体"/>
                <w:sz w:val="21"/>
                <w:szCs w:val="21"/>
              </w:rPr>
              <w:t>驻地建设标准化</w:t>
            </w:r>
          </w:p>
        </w:tc>
        <w:tc>
          <w:tcPr>
            <w:tcW w:w="7019" w:type="dxa"/>
            <w:vAlign w:val="center"/>
          </w:tcPr>
          <w:p w14:paraId="35C07445">
            <w:pPr>
              <w:pageBreakBefore w:val="0"/>
              <w:kinsoku/>
              <w:wordWrap/>
              <w:overflowPunct/>
              <w:topLinePunct w:val="0"/>
              <w:bidi w:val="0"/>
              <w:adjustRightInd w:val="0"/>
              <w:snapToGrid w:val="0"/>
              <w:spacing w:before="120" w:beforeLines="50" w:after="120" w:afterLines="50" w:line="360" w:lineRule="exact"/>
              <w:ind w:firstLine="210" w:firstLineChars="100"/>
              <w:textAlignment w:val="auto"/>
              <w:rPr>
                <w:rFonts w:ascii="宋体" w:hAnsi="宋体"/>
                <w:sz w:val="21"/>
                <w:szCs w:val="21"/>
              </w:rPr>
            </w:pPr>
            <w:r>
              <w:rPr>
                <w:rFonts w:hint="eastAsia" w:ascii="宋体" w:hAnsi="宋体"/>
                <w:sz w:val="21"/>
                <w:szCs w:val="21"/>
              </w:rPr>
              <w:t>驻地建设执行《吉林省普通干线公路重点养护工程驻地建设标准化指南》</w:t>
            </w:r>
          </w:p>
        </w:tc>
      </w:tr>
      <w:tr w14:paraId="4465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jc w:val="center"/>
        </w:trPr>
        <w:tc>
          <w:tcPr>
            <w:tcW w:w="959" w:type="dxa"/>
            <w:vAlign w:val="center"/>
          </w:tcPr>
          <w:p w14:paraId="358D0738">
            <w:pPr>
              <w:pageBreakBefore w:val="0"/>
              <w:kinsoku/>
              <w:wordWrap/>
              <w:overflowPunct/>
              <w:topLinePunct w:val="0"/>
              <w:bidi w:val="0"/>
              <w:adjustRightInd w:val="0"/>
              <w:snapToGrid w:val="0"/>
              <w:spacing w:before="120" w:beforeLines="50" w:after="120" w:afterLines="50" w:line="360" w:lineRule="exact"/>
              <w:jc w:val="center"/>
              <w:textAlignment w:val="auto"/>
              <w:rPr>
                <w:rFonts w:ascii="宋体" w:hAnsi="宋体"/>
                <w:sz w:val="21"/>
                <w:szCs w:val="21"/>
              </w:rPr>
            </w:pPr>
            <w:bookmarkStart w:id="14" w:name="_Toc436994103"/>
            <w:r>
              <w:rPr>
                <w:rFonts w:hint="eastAsia" w:ascii="宋体" w:hAnsi="宋体"/>
                <w:sz w:val="21"/>
                <w:szCs w:val="21"/>
              </w:rPr>
              <w:t>10.6</w:t>
            </w:r>
          </w:p>
        </w:tc>
        <w:tc>
          <w:tcPr>
            <w:tcW w:w="1591" w:type="dxa"/>
            <w:vAlign w:val="center"/>
          </w:tcPr>
          <w:p w14:paraId="7E5AB94B">
            <w:pPr>
              <w:pageBreakBefore w:val="0"/>
              <w:kinsoku/>
              <w:wordWrap/>
              <w:overflowPunct/>
              <w:topLinePunct w:val="0"/>
              <w:bidi w:val="0"/>
              <w:adjustRightInd w:val="0"/>
              <w:snapToGrid w:val="0"/>
              <w:spacing w:before="120" w:beforeLines="50" w:after="120" w:afterLines="50" w:line="360" w:lineRule="exact"/>
              <w:jc w:val="center"/>
              <w:textAlignment w:val="auto"/>
              <w:rPr>
                <w:rFonts w:ascii="宋体" w:hAnsi="宋体"/>
                <w:sz w:val="21"/>
                <w:szCs w:val="21"/>
              </w:rPr>
            </w:pPr>
            <w:r>
              <w:rPr>
                <w:rFonts w:hint="eastAsia" w:ascii="宋体" w:hAnsi="宋体"/>
                <w:sz w:val="21"/>
                <w:szCs w:val="21"/>
              </w:rPr>
              <w:t>支付担保</w:t>
            </w:r>
          </w:p>
        </w:tc>
        <w:tc>
          <w:tcPr>
            <w:tcW w:w="7019" w:type="dxa"/>
            <w:vAlign w:val="center"/>
          </w:tcPr>
          <w:p w14:paraId="79837D29">
            <w:pPr>
              <w:pageBreakBefore w:val="0"/>
              <w:kinsoku/>
              <w:wordWrap/>
              <w:overflowPunct/>
              <w:topLinePunct w:val="0"/>
              <w:bidi w:val="0"/>
              <w:adjustRightInd w:val="0"/>
              <w:snapToGrid w:val="0"/>
              <w:spacing w:before="120" w:beforeLines="50" w:after="120" w:afterLines="50" w:line="360" w:lineRule="exact"/>
              <w:textAlignment w:val="auto"/>
              <w:rPr>
                <w:rFonts w:ascii="宋体" w:hAnsi="宋体"/>
                <w:sz w:val="21"/>
                <w:szCs w:val="21"/>
              </w:rPr>
            </w:pPr>
            <w:r>
              <w:rPr>
                <w:rFonts w:hint="eastAsia" w:ascii="宋体" w:hAnsi="宋体"/>
                <w:sz w:val="21"/>
                <w:szCs w:val="21"/>
              </w:rPr>
              <w:t>根据《保障农民工工资支付条例》（国令第 724 号）、《交通运输部关于公路水运工程建设领域保障农民工工资支付的意见》（交公路规〔2020〕5 号）、《吉林省人民政府办公厅关于支持建筑业企业发展若干措施的通知》（吉政办发〔2022〕10 号）、《公路工程建设项目资格预审文件和招标文件公平竞争合规指引》（交公路规〔2025〕1 号）等文件规定，建设单位提供工程款支付担保。</w:t>
            </w:r>
          </w:p>
        </w:tc>
      </w:tr>
    </w:tbl>
    <w:p w14:paraId="05B0365A">
      <w:pPr>
        <w:pageBreakBefore w:val="0"/>
        <w:widowControl/>
        <w:kinsoku/>
        <w:wordWrap/>
        <w:overflowPunct/>
        <w:topLinePunct w:val="0"/>
        <w:bidi w:val="0"/>
        <w:adjustRightInd w:val="0"/>
        <w:spacing w:line="360" w:lineRule="exact"/>
        <w:jc w:val="left"/>
        <w:textAlignment w:val="auto"/>
        <w:rPr>
          <w:rFonts w:ascii="Times New Roman" w:hAnsi="Times New Roman"/>
          <w:sz w:val="21"/>
          <w:szCs w:val="21"/>
        </w:rPr>
      </w:pPr>
      <w:r>
        <w:rPr>
          <w:rFonts w:ascii="Times New Roman" w:hAnsi="Times New Roman"/>
          <w:sz w:val="21"/>
          <w:szCs w:val="21"/>
          <w:highlight w:val="yellow"/>
        </w:rPr>
        <w:br w:type="page"/>
      </w:r>
    </w:p>
    <w:p w14:paraId="5421D07E">
      <w:pPr>
        <w:pStyle w:val="4"/>
        <w:pageBreakBefore w:val="0"/>
        <w:kinsoku/>
        <w:wordWrap/>
        <w:overflowPunct/>
        <w:topLinePunct w:val="0"/>
        <w:bidi w:val="0"/>
        <w:adjustRightInd w:val="0"/>
        <w:snapToGrid w:val="0"/>
        <w:spacing w:beforeLines="50" w:after="0" w:line="360" w:lineRule="exact"/>
        <w:ind w:firstLine="210" w:firstLineChars="100"/>
        <w:jc w:val="center"/>
        <w:textAlignment w:val="auto"/>
        <w:rPr>
          <w:rFonts w:ascii="黑体" w:hAnsi="黑体"/>
          <w:sz w:val="21"/>
          <w:szCs w:val="21"/>
          <w:lang w:val="zh-CN"/>
        </w:rPr>
      </w:pPr>
      <w:r>
        <w:rPr>
          <w:rFonts w:hint="eastAsia" w:ascii="黑体" w:hAnsi="黑体"/>
          <w:sz w:val="21"/>
          <w:szCs w:val="21"/>
          <w:lang w:val="zh-CN"/>
        </w:rPr>
        <w:t>附录1资格审查条件（资质最低要求）</w:t>
      </w:r>
    </w:p>
    <w:tbl>
      <w:tblPr>
        <w:tblStyle w:val="13"/>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30"/>
      </w:tblGrid>
      <w:tr w14:paraId="62F0BC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000" w:type="pct"/>
            <w:vAlign w:val="center"/>
          </w:tcPr>
          <w:p w14:paraId="30485BA6">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施工企业资质等级要求</w:t>
            </w:r>
          </w:p>
        </w:tc>
      </w:tr>
      <w:tr w14:paraId="51CE6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00" w:type="pct"/>
            <w:vAlign w:val="center"/>
          </w:tcPr>
          <w:p w14:paraId="486A58BF">
            <w:pPr>
              <w:pageBreakBefore w:val="0"/>
              <w:kinsoku/>
              <w:wordWrap/>
              <w:overflowPunct/>
              <w:topLinePunct w:val="0"/>
              <w:bidi w:val="0"/>
              <w:adjustRightInd w:val="0"/>
              <w:snapToGrid w:val="0"/>
              <w:spacing w:line="360" w:lineRule="exact"/>
              <w:ind w:firstLine="420" w:firstLineChars="200"/>
              <w:textAlignment w:val="auto"/>
              <w:rPr>
                <w:rFonts w:ascii="宋体" w:hAnsi="宋体"/>
                <w:sz w:val="21"/>
                <w:szCs w:val="21"/>
              </w:rPr>
            </w:pPr>
            <w:r>
              <w:rPr>
                <w:rFonts w:hint="eastAsia" w:ascii="宋体" w:hAnsi="宋体"/>
                <w:sz w:val="21"/>
                <w:szCs w:val="21"/>
              </w:rPr>
              <w:t>投标人须同时具备以下资质：</w:t>
            </w:r>
          </w:p>
          <w:p w14:paraId="32DB690F">
            <w:pPr>
              <w:pageBreakBefore w:val="0"/>
              <w:kinsoku/>
              <w:wordWrap/>
              <w:overflowPunct/>
              <w:topLinePunct w:val="0"/>
              <w:bidi w:val="0"/>
              <w:adjustRightInd w:val="0"/>
              <w:snapToGrid w:val="0"/>
              <w:spacing w:line="360" w:lineRule="exact"/>
              <w:ind w:firstLine="420" w:firstLineChars="200"/>
              <w:textAlignment w:val="auto"/>
              <w:rPr>
                <w:rFonts w:ascii="宋体" w:hAnsi="宋体"/>
                <w:sz w:val="21"/>
                <w:szCs w:val="21"/>
              </w:rPr>
            </w:pPr>
            <w:r>
              <w:rPr>
                <w:rFonts w:hint="eastAsia" w:ascii="宋体" w:hAnsi="宋体"/>
                <w:sz w:val="21"/>
                <w:szCs w:val="21"/>
              </w:rPr>
              <w:t>（1）交通运输主管部门颁发的路基路面养护乙级（或甲级）资质；</w:t>
            </w:r>
          </w:p>
          <w:p w14:paraId="265A3DD7">
            <w:pPr>
              <w:pageBreakBefore w:val="0"/>
              <w:kinsoku/>
              <w:wordWrap/>
              <w:overflowPunct/>
              <w:topLinePunct w:val="0"/>
              <w:bidi w:val="0"/>
              <w:adjustRightInd w:val="0"/>
              <w:snapToGrid w:val="0"/>
              <w:spacing w:line="360" w:lineRule="exact"/>
              <w:ind w:firstLine="420" w:firstLineChars="200"/>
              <w:textAlignment w:val="auto"/>
              <w:rPr>
                <w:rFonts w:ascii="宋体" w:hAnsi="宋体"/>
                <w:sz w:val="21"/>
                <w:szCs w:val="21"/>
              </w:rPr>
            </w:pPr>
            <w:r>
              <w:rPr>
                <w:rFonts w:hint="eastAsia" w:ascii="宋体" w:hAnsi="宋体"/>
                <w:sz w:val="21"/>
                <w:szCs w:val="21"/>
              </w:rPr>
              <w:t>（2）交通运输主管部门颁发的桥梁养护乙级（或甲级）资质；</w:t>
            </w:r>
          </w:p>
          <w:p w14:paraId="6F032F54">
            <w:pPr>
              <w:pageBreakBefore w:val="0"/>
              <w:kinsoku/>
              <w:wordWrap/>
              <w:overflowPunct/>
              <w:topLinePunct w:val="0"/>
              <w:bidi w:val="0"/>
              <w:adjustRightInd w:val="0"/>
              <w:snapToGrid w:val="0"/>
              <w:spacing w:line="360" w:lineRule="exact"/>
              <w:ind w:firstLine="420" w:firstLineChars="200"/>
              <w:textAlignment w:val="auto"/>
              <w:rPr>
                <w:rFonts w:ascii="宋体" w:hAnsi="宋体" w:cs="宋体"/>
                <w:kern w:val="0"/>
                <w:sz w:val="21"/>
                <w:szCs w:val="21"/>
              </w:rPr>
            </w:pPr>
            <w:r>
              <w:rPr>
                <w:rFonts w:hint="eastAsia" w:ascii="宋体" w:hAnsi="宋体"/>
                <w:sz w:val="21"/>
                <w:szCs w:val="21"/>
              </w:rPr>
              <w:t>（3）</w:t>
            </w:r>
            <w:r>
              <w:rPr>
                <w:rFonts w:hint="eastAsia" w:ascii="宋体" w:hAnsi="宋体" w:cs="宋体"/>
                <w:kern w:val="0"/>
                <w:sz w:val="21"/>
                <w:szCs w:val="21"/>
              </w:rPr>
              <w:t>交通运输主管部门颁发的交通安全设施养护资质（可以承担各等级公路交通安全设施的各类养护工程）或交通运输主管部门颁发的交通安全设施养护资质（可以承担二级及以下公路交通安全设施的各类养护工程）</w:t>
            </w:r>
          </w:p>
          <w:p w14:paraId="683B9BA1">
            <w:pPr>
              <w:pageBreakBefore w:val="0"/>
              <w:kinsoku/>
              <w:wordWrap/>
              <w:overflowPunct/>
              <w:topLinePunct w:val="0"/>
              <w:bidi w:val="0"/>
              <w:adjustRightInd w:val="0"/>
              <w:snapToGrid w:val="0"/>
              <w:spacing w:line="360" w:lineRule="exact"/>
              <w:ind w:firstLine="420" w:firstLineChars="200"/>
              <w:textAlignment w:val="auto"/>
              <w:rPr>
                <w:rFonts w:ascii="宋体" w:hAnsi="宋体" w:cs="宋体"/>
                <w:kern w:val="0"/>
                <w:sz w:val="21"/>
                <w:szCs w:val="21"/>
              </w:rPr>
            </w:pPr>
            <w:r>
              <w:rPr>
                <w:rFonts w:hint="eastAsia" w:ascii="宋体" w:hAnsi="宋体"/>
                <w:bCs/>
                <w:sz w:val="21"/>
                <w:szCs w:val="21"/>
              </w:rPr>
              <w:t>联合体所有成员数量不得超过3家</w:t>
            </w:r>
          </w:p>
        </w:tc>
      </w:tr>
    </w:tbl>
    <w:p w14:paraId="758EC2C4">
      <w:pPr>
        <w:pStyle w:val="4"/>
        <w:pageBreakBefore w:val="0"/>
        <w:kinsoku/>
        <w:wordWrap/>
        <w:overflowPunct/>
        <w:topLinePunct w:val="0"/>
        <w:bidi w:val="0"/>
        <w:adjustRightInd w:val="0"/>
        <w:snapToGrid w:val="0"/>
        <w:spacing w:before="0" w:after="0" w:line="360" w:lineRule="exact"/>
        <w:ind w:firstLine="210" w:firstLineChars="100"/>
        <w:jc w:val="center"/>
        <w:textAlignment w:val="auto"/>
        <w:rPr>
          <w:rFonts w:ascii="黑体" w:hAnsi="黑体"/>
          <w:sz w:val="21"/>
          <w:szCs w:val="21"/>
          <w:lang w:val="zh-CN"/>
        </w:rPr>
      </w:pPr>
    </w:p>
    <w:p w14:paraId="00D2CFF8">
      <w:pPr>
        <w:pStyle w:val="4"/>
        <w:pageBreakBefore w:val="0"/>
        <w:kinsoku/>
        <w:wordWrap/>
        <w:overflowPunct/>
        <w:topLinePunct w:val="0"/>
        <w:bidi w:val="0"/>
        <w:adjustRightInd w:val="0"/>
        <w:snapToGrid w:val="0"/>
        <w:spacing w:before="0" w:after="0" w:line="360" w:lineRule="exact"/>
        <w:ind w:firstLine="210" w:firstLineChars="100"/>
        <w:jc w:val="center"/>
        <w:textAlignment w:val="auto"/>
        <w:rPr>
          <w:rFonts w:ascii="黑体" w:hAnsi="黑体"/>
          <w:sz w:val="21"/>
          <w:szCs w:val="21"/>
          <w:lang w:val="zh-CN"/>
        </w:rPr>
      </w:pPr>
      <w:r>
        <w:rPr>
          <w:rFonts w:hint="eastAsia" w:ascii="黑体" w:hAnsi="黑体"/>
          <w:sz w:val="21"/>
          <w:szCs w:val="21"/>
          <w:lang w:val="zh-CN"/>
        </w:rPr>
        <w:t>附录2资格审查条件（财务最低要求）</w:t>
      </w:r>
    </w:p>
    <w:tbl>
      <w:tblPr>
        <w:tblStyle w:val="13"/>
        <w:tblW w:w="49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30"/>
      </w:tblGrid>
      <w:tr w14:paraId="1BD5C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000" w:type="pct"/>
            <w:vAlign w:val="center"/>
          </w:tcPr>
          <w:p w14:paraId="32810CD3">
            <w:pPr>
              <w:pageBreakBefore w:val="0"/>
              <w:kinsoku/>
              <w:wordWrap/>
              <w:overflowPunct/>
              <w:topLinePunct w:val="0"/>
              <w:bidi w:val="0"/>
              <w:adjustRightInd w:val="0"/>
              <w:snapToGrid w:val="0"/>
              <w:spacing w:line="360" w:lineRule="exact"/>
              <w:jc w:val="center"/>
              <w:textAlignment w:val="auto"/>
              <w:rPr>
                <w:rFonts w:ascii="宋体" w:hAnsi="宋体"/>
                <w:color w:val="000000"/>
                <w:sz w:val="21"/>
                <w:szCs w:val="21"/>
              </w:rPr>
            </w:pPr>
            <w:r>
              <w:rPr>
                <w:rFonts w:hint="eastAsia" w:ascii="宋体" w:hAnsi="宋体"/>
                <w:color w:val="000000"/>
                <w:sz w:val="21"/>
                <w:szCs w:val="21"/>
              </w:rPr>
              <w:t>财务要求</w:t>
            </w:r>
          </w:p>
        </w:tc>
      </w:tr>
      <w:tr w14:paraId="04CC30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000" w:type="pct"/>
            <w:vAlign w:val="center"/>
          </w:tcPr>
          <w:p w14:paraId="7393B679">
            <w:pPr>
              <w:pStyle w:val="5"/>
              <w:pageBreakBefore w:val="0"/>
              <w:kinsoku/>
              <w:wordWrap/>
              <w:overflowPunct/>
              <w:topLinePunct w:val="0"/>
              <w:bidi w:val="0"/>
              <w:adjustRightInd w:val="0"/>
              <w:snapToGrid w:val="0"/>
              <w:spacing w:line="360" w:lineRule="exact"/>
              <w:ind w:firstLine="420" w:firstLineChars="200"/>
              <w:textAlignment w:val="auto"/>
              <w:rPr>
                <w:rFonts w:ascii="宋体" w:hAnsi="宋体" w:cs="宋体"/>
                <w:color w:val="000000"/>
                <w:kern w:val="0"/>
                <w:sz w:val="21"/>
                <w:szCs w:val="21"/>
              </w:rPr>
            </w:pPr>
            <w:r>
              <w:rPr>
                <w:rFonts w:hint="eastAsia" w:ascii="宋体" w:hAnsi="宋体" w:cs="宋体"/>
                <w:kern w:val="0"/>
                <w:sz w:val="21"/>
                <w:szCs w:val="21"/>
              </w:rPr>
              <w:t>具有健全的财务会计制度。</w:t>
            </w:r>
          </w:p>
        </w:tc>
      </w:tr>
    </w:tbl>
    <w:p w14:paraId="286C01B3">
      <w:pPr>
        <w:pStyle w:val="4"/>
        <w:pageBreakBefore w:val="0"/>
        <w:kinsoku/>
        <w:wordWrap/>
        <w:overflowPunct/>
        <w:topLinePunct w:val="0"/>
        <w:bidi w:val="0"/>
        <w:adjustRightInd w:val="0"/>
        <w:snapToGrid w:val="0"/>
        <w:spacing w:before="0" w:after="0" w:line="360" w:lineRule="exact"/>
        <w:ind w:firstLine="210" w:firstLineChars="100"/>
        <w:jc w:val="center"/>
        <w:textAlignment w:val="auto"/>
        <w:rPr>
          <w:rFonts w:ascii="黑体" w:hAnsi="黑体"/>
          <w:sz w:val="21"/>
          <w:szCs w:val="21"/>
          <w:lang w:val="zh-CN"/>
        </w:rPr>
      </w:pPr>
    </w:p>
    <w:p w14:paraId="5289F9E8">
      <w:pPr>
        <w:pStyle w:val="4"/>
        <w:pageBreakBefore w:val="0"/>
        <w:kinsoku/>
        <w:wordWrap/>
        <w:overflowPunct/>
        <w:topLinePunct w:val="0"/>
        <w:bidi w:val="0"/>
        <w:adjustRightInd w:val="0"/>
        <w:snapToGrid w:val="0"/>
        <w:spacing w:before="0" w:after="0" w:line="360" w:lineRule="exact"/>
        <w:ind w:firstLine="210" w:firstLineChars="100"/>
        <w:jc w:val="center"/>
        <w:textAlignment w:val="auto"/>
        <w:rPr>
          <w:rFonts w:ascii="黑体" w:hAnsi="黑体"/>
          <w:sz w:val="21"/>
          <w:szCs w:val="21"/>
          <w:lang w:val="zh-CN"/>
        </w:rPr>
      </w:pPr>
      <w:r>
        <w:rPr>
          <w:rFonts w:hint="eastAsia" w:ascii="黑体" w:hAnsi="黑体"/>
          <w:sz w:val="21"/>
          <w:szCs w:val="21"/>
          <w:lang w:val="zh-CN"/>
        </w:rPr>
        <w:t>附录3资格审查条件（业绩最低要求）</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8B1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vAlign w:val="center"/>
          </w:tcPr>
          <w:p w14:paraId="124516DF">
            <w:pPr>
              <w:pageBreakBefore w:val="0"/>
              <w:kinsoku/>
              <w:wordWrap/>
              <w:overflowPunct/>
              <w:topLinePunct w:val="0"/>
              <w:bidi w:val="0"/>
              <w:adjustRightInd w:val="0"/>
              <w:snapToGrid w:val="0"/>
              <w:spacing w:line="360" w:lineRule="exact"/>
              <w:jc w:val="center"/>
              <w:textAlignment w:val="auto"/>
              <w:rPr>
                <w:rFonts w:ascii="楷体" w:hAnsi="楷体" w:eastAsia="楷体_GB2312"/>
                <w:color w:val="000000"/>
                <w:sz w:val="21"/>
                <w:szCs w:val="21"/>
              </w:rPr>
            </w:pPr>
            <w:r>
              <w:rPr>
                <w:rFonts w:hint="eastAsia" w:ascii="宋体" w:hAnsi="宋体"/>
                <w:color w:val="000000"/>
                <w:sz w:val="21"/>
                <w:szCs w:val="21"/>
              </w:rPr>
              <w:t>业绩要求</w:t>
            </w:r>
          </w:p>
        </w:tc>
      </w:tr>
      <w:tr w14:paraId="03EB7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vAlign w:val="center"/>
          </w:tcPr>
          <w:p w14:paraId="161021C0">
            <w:pPr>
              <w:pageBreakBefore w:val="0"/>
              <w:kinsoku/>
              <w:wordWrap/>
              <w:overflowPunct/>
              <w:topLinePunct w:val="0"/>
              <w:bidi w:val="0"/>
              <w:adjustRightInd w:val="0"/>
              <w:snapToGrid w:val="0"/>
              <w:spacing w:line="360" w:lineRule="exact"/>
              <w:ind w:firstLine="420" w:firstLineChars="200"/>
              <w:textAlignment w:val="auto"/>
              <w:rPr>
                <w:rFonts w:ascii="楷体" w:hAnsi="楷体" w:eastAsia="楷体" w:cs="宋体"/>
                <w:color w:val="000000"/>
                <w:kern w:val="0"/>
                <w:sz w:val="21"/>
                <w:szCs w:val="21"/>
              </w:rPr>
            </w:pPr>
            <w:r>
              <w:rPr>
                <w:rFonts w:hint="eastAsia" w:ascii="宋体" w:hAnsi="宋体" w:eastAsia="楷体"/>
                <w:sz w:val="21"/>
                <w:szCs w:val="21"/>
              </w:rPr>
              <w:t>/</w:t>
            </w:r>
          </w:p>
        </w:tc>
      </w:tr>
    </w:tbl>
    <w:p w14:paraId="7C375453">
      <w:pPr>
        <w:pStyle w:val="4"/>
        <w:pageBreakBefore w:val="0"/>
        <w:kinsoku/>
        <w:wordWrap/>
        <w:overflowPunct/>
        <w:topLinePunct w:val="0"/>
        <w:bidi w:val="0"/>
        <w:adjustRightInd w:val="0"/>
        <w:snapToGrid w:val="0"/>
        <w:spacing w:before="0" w:after="0" w:line="360" w:lineRule="exact"/>
        <w:ind w:firstLine="210" w:firstLineChars="100"/>
        <w:jc w:val="center"/>
        <w:textAlignment w:val="auto"/>
        <w:rPr>
          <w:rFonts w:ascii="黑体" w:hAnsi="黑体"/>
          <w:sz w:val="21"/>
          <w:szCs w:val="21"/>
          <w:lang w:val="zh-CN"/>
        </w:rPr>
      </w:pPr>
    </w:p>
    <w:p w14:paraId="71AAE7EA">
      <w:pPr>
        <w:pStyle w:val="4"/>
        <w:pageBreakBefore w:val="0"/>
        <w:kinsoku/>
        <w:wordWrap/>
        <w:overflowPunct/>
        <w:topLinePunct w:val="0"/>
        <w:bidi w:val="0"/>
        <w:adjustRightInd w:val="0"/>
        <w:snapToGrid w:val="0"/>
        <w:spacing w:before="0" w:after="0" w:line="360" w:lineRule="exact"/>
        <w:ind w:firstLine="210" w:firstLineChars="100"/>
        <w:jc w:val="center"/>
        <w:textAlignment w:val="auto"/>
        <w:rPr>
          <w:rFonts w:ascii="黑体" w:hAnsi="黑体"/>
          <w:sz w:val="21"/>
          <w:szCs w:val="21"/>
          <w:lang w:val="zh-CN"/>
        </w:rPr>
      </w:pPr>
      <w:r>
        <w:rPr>
          <w:rFonts w:hint="eastAsia" w:ascii="黑体" w:hAnsi="黑体"/>
          <w:sz w:val="21"/>
          <w:szCs w:val="21"/>
          <w:lang w:val="zh-CN"/>
        </w:rPr>
        <w:t>附录4资格审查条件（信誉最低要求）</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0B4C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vAlign w:val="center"/>
          </w:tcPr>
          <w:p w14:paraId="448FEE46">
            <w:pPr>
              <w:pageBreakBefore w:val="0"/>
              <w:kinsoku/>
              <w:wordWrap/>
              <w:overflowPunct/>
              <w:topLinePunct w:val="0"/>
              <w:bidi w:val="0"/>
              <w:adjustRightInd w:val="0"/>
              <w:snapToGrid w:val="0"/>
              <w:spacing w:line="360" w:lineRule="exact"/>
              <w:jc w:val="center"/>
              <w:textAlignment w:val="auto"/>
              <w:rPr>
                <w:rFonts w:ascii="宋体" w:hAnsi="宋体"/>
                <w:color w:val="000000"/>
                <w:sz w:val="21"/>
                <w:szCs w:val="21"/>
              </w:rPr>
            </w:pPr>
            <w:r>
              <w:rPr>
                <w:rFonts w:hint="eastAsia" w:ascii="宋体" w:hAnsi="宋体"/>
                <w:color w:val="000000"/>
                <w:sz w:val="21"/>
                <w:szCs w:val="21"/>
              </w:rPr>
              <w:t>信誉要求</w:t>
            </w:r>
          </w:p>
        </w:tc>
      </w:tr>
      <w:tr w14:paraId="6C8AC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vAlign w:val="center"/>
          </w:tcPr>
          <w:p w14:paraId="1339617C">
            <w:pPr>
              <w:pageBreakBefore w:val="0"/>
              <w:widowControl/>
              <w:shd w:val="clear" w:color="auto" w:fill="FFFFFF"/>
              <w:kinsoku/>
              <w:wordWrap/>
              <w:overflowPunct/>
              <w:topLinePunct w:val="0"/>
              <w:bidi w:val="0"/>
              <w:spacing w:line="360" w:lineRule="exact"/>
              <w:jc w:val="left"/>
              <w:textAlignment w:val="auto"/>
              <w:rPr>
                <w:rFonts w:ascii="宋体" w:hAnsi="宋体" w:cs="宋体"/>
                <w:spacing w:val="11"/>
                <w:kern w:val="0"/>
                <w:sz w:val="21"/>
                <w:szCs w:val="21"/>
                <w:highlight w:val="yellow"/>
              </w:rPr>
            </w:pPr>
          </w:p>
          <w:p w14:paraId="1B5D7CD5">
            <w:pPr>
              <w:pStyle w:val="2"/>
              <w:keepNext w:val="0"/>
              <w:keepLines w:val="0"/>
              <w:pageBreakBefore w:val="0"/>
              <w:widowControl/>
              <w:shd w:val="clear" w:color="auto" w:fill="FFFFFF"/>
              <w:kinsoku/>
              <w:wordWrap/>
              <w:overflowPunct/>
              <w:topLinePunct w:val="0"/>
              <w:bidi w:val="0"/>
              <w:spacing w:before="0" w:after="0" w:line="360" w:lineRule="exact"/>
              <w:ind w:firstLine="420" w:firstLineChars="200"/>
              <w:textAlignment w:val="auto"/>
              <w:rPr>
                <w:rFonts w:ascii="宋体" w:hAnsi="宋体"/>
                <w:sz w:val="21"/>
                <w:szCs w:val="21"/>
                <w:highlight w:val="yellow"/>
              </w:rPr>
            </w:pPr>
            <w:r>
              <w:rPr>
                <w:rFonts w:hint="eastAsia" w:ascii="宋体" w:hAnsi="宋体"/>
                <w:b w:val="0"/>
                <w:bCs w:val="0"/>
                <w:color w:val="000000"/>
                <w:kern w:val="2"/>
                <w:sz w:val="21"/>
                <w:szCs w:val="21"/>
              </w:rPr>
              <w:t>投标人在《吉林省公路管理局2024年度普通干线公路养护工程施工企业信用评价结果》中的信用等级不得为D级。</w:t>
            </w:r>
          </w:p>
        </w:tc>
      </w:tr>
      <w:bookmarkEnd w:id="14"/>
    </w:tbl>
    <w:p w14:paraId="22E855C5">
      <w:pPr>
        <w:pStyle w:val="4"/>
        <w:pageBreakBefore w:val="0"/>
        <w:kinsoku/>
        <w:wordWrap/>
        <w:overflowPunct/>
        <w:topLinePunct w:val="0"/>
        <w:bidi w:val="0"/>
        <w:adjustRightInd w:val="0"/>
        <w:snapToGrid w:val="0"/>
        <w:spacing w:before="0" w:after="0" w:line="360" w:lineRule="exact"/>
        <w:ind w:firstLine="210" w:firstLineChars="100"/>
        <w:jc w:val="center"/>
        <w:textAlignment w:val="auto"/>
        <w:rPr>
          <w:rFonts w:ascii="黑体" w:hAnsi="黑体"/>
          <w:sz w:val="21"/>
          <w:szCs w:val="21"/>
          <w:lang w:val="zh-CN"/>
        </w:rPr>
      </w:pPr>
      <w:r>
        <w:rPr>
          <w:rFonts w:ascii="黑体" w:hAnsi="黑体"/>
          <w:sz w:val="21"/>
          <w:szCs w:val="21"/>
          <w:lang w:val="zh-CN"/>
        </w:rPr>
        <w:br w:type="page"/>
      </w:r>
    </w:p>
    <w:p w14:paraId="462F2FC5">
      <w:pPr>
        <w:pStyle w:val="4"/>
        <w:pageBreakBefore w:val="0"/>
        <w:kinsoku/>
        <w:wordWrap/>
        <w:overflowPunct/>
        <w:topLinePunct w:val="0"/>
        <w:bidi w:val="0"/>
        <w:adjustRightInd w:val="0"/>
        <w:snapToGrid w:val="0"/>
        <w:spacing w:before="0" w:after="0" w:line="360" w:lineRule="exact"/>
        <w:ind w:firstLine="210" w:firstLineChars="100"/>
        <w:jc w:val="center"/>
        <w:textAlignment w:val="auto"/>
        <w:rPr>
          <w:rFonts w:ascii="黑体" w:hAnsi="黑体"/>
          <w:sz w:val="21"/>
          <w:szCs w:val="21"/>
          <w:lang w:val="zh-CN"/>
        </w:rPr>
      </w:pPr>
    </w:p>
    <w:p w14:paraId="1B48842A">
      <w:pPr>
        <w:pStyle w:val="4"/>
        <w:pageBreakBefore w:val="0"/>
        <w:kinsoku/>
        <w:wordWrap/>
        <w:overflowPunct/>
        <w:topLinePunct w:val="0"/>
        <w:bidi w:val="0"/>
        <w:adjustRightInd w:val="0"/>
        <w:snapToGrid w:val="0"/>
        <w:spacing w:before="0" w:after="0" w:line="360" w:lineRule="exact"/>
        <w:ind w:firstLine="210" w:firstLineChars="100"/>
        <w:jc w:val="center"/>
        <w:textAlignment w:val="auto"/>
        <w:rPr>
          <w:rFonts w:ascii="黑体" w:hAnsi="黑体"/>
          <w:sz w:val="21"/>
          <w:szCs w:val="21"/>
          <w:lang w:val="zh-CN"/>
        </w:rPr>
      </w:pPr>
      <w:r>
        <w:rPr>
          <w:rFonts w:hint="eastAsia" w:ascii="黑体" w:hAnsi="黑体"/>
          <w:sz w:val="21"/>
          <w:szCs w:val="21"/>
          <w:lang w:val="zh-CN"/>
        </w:rPr>
        <w:t>附录5资格审查条件（项目经理和项目总工最低要求）</w:t>
      </w:r>
      <w:bookmarkStart w:id="15" w:name="_Hlk175945918"/>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19"/>
        <w:gridCol w:w="888"/>
        <w:gridCol w:w="4215"/>
        <w:gridCol w:w="2297"/>
      </w:tblGrid>
      <w:tr w14:paraId="04CE3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7" w:type="pct"/>
            <w:vAlign w:val="center"/>
          </w:tcPr>
          <w:p w14:paraId="480312CD">
            <w:pPr>
              <w:pageBreakBefore w:val="0"/>
              <w:kinsoku/>
              <w:wordWrap/>
              <w:overflowPunct/>
              <w:topLinePunct w:val="0"/>
              <w:bidi w:val="0"/>
              <w:snapToGrid w:val="0"/>
              <w:spacing w:line="360" w:lineRule="exact"/>
              <w:jc w:val="center"/>
              <w:textAlignment w:val="auto"/>
              <w:rPr>
                <w:rFonts w:ascii="宋体" w:hAnsi="宋体"/>
                <w:color w:val="000000"/>
                <w:sz w:val="21"/>
                <w:szCs w:val="21"/>
              </w:rPr>
            </w:pPr>
            <w:bookmarkStart w:id="16" w:name="_Hlk186012200"/>
            <w:r>
              <w:rPr>
                <w:rFonts w:hint="eastAsia" w:ascii="宋体" w:hAnsi="宋体"/>
                <w:color w:val="000000"/>
                <w:sz w:val="21"/>
                <w:szCs w:val="21"/>
              </w:rPr>
              <w:t>人员</w:t>
            </w:r>
          </w:p>
        </w:tc>
        <w:tc>
          <w:tcPr>
            <w:tcW w:w="521" w:type="pct"/>
            <w:vAlign w:val="center"/>
          </w:tcPr>
          <w:p w14:paraId="38F5309E">
            <w:pPr>
              <w:pageBreakBefore w:val="0"/>
              <w:kinsoku/>
              <w:wordWrap/>
              <w:overflowPunct/>
              <w:topLinePunct w:val="0"/>
              <w:bidi w:val="0"/>
              <w:snapToGrid w:val="0"/>
              <w:spacing w:line="360" w:lineRule="exact"/>
              <w:jc w:val="center"/>
              <w:textAlignment w:val="auto"/>
              <w:rPr>
                <w:rFonts w:ascii="宋体" w:hAnsi="宋体"/>
                <w:color w:val="000000"/>
                <w:sz w:val="21"/>
                <w:szCs w:val="21"/>
              </w:rPr>
            </w:pPr>
            <w:r>
              <w:rPr>
                <w:rFonts w:hint="eastAsia" w:ascii="宋体" w:hAnsi="宋体"/>
                <w:color w:val="000000"/>
                <w:sz w:val="21"/>
                <w:szCs w:val="21"/>
              </w:rPr>
              <w:t>数量</w:t>
            </w:r>
          </w:p>
        </w:tc>
        <w:tc>
          <w:tcPr>
            <w:tcW w:w="2474" w:type="pct"/>
            <w:vAlign w:val="center"/>
          </w:tcPr>
          <w:p w14:paraId="3156F7B0">
            <w:pPr>
              <w:pageBreakBefore w:val="0"/>
              <w:kinsoku/>
              <w:wordWrap/>
              <w:overflowPunct/>
              <w:topLinePunct w:val="0"/>
              <w:bidi w:val="0"/>
              <w:snapToGrid w:val="0"/>
              <w:spacing w:line="360" w:lineRule="exact"/>
              <w:jc w:val="center"/>
              <w:textAlignment w:val="auto"/>
              <w:rPr>
                <w:rFonts w:ascii="宋体" w:hAnsi="宋体"/>
                <w:color w:val="000000"/>
                <w:sz w:val="21"/>
                <w:szCs w:val="21"/>
              </w:rPr>
            </w:pPr>
            <w:r>
              <w:rPr>
                <w:rFonts w:hint="eastAsia" w:ascii="宋体" w:hAnsi="宋体"/>
                <w:color w:val="000000"/>
                <w:sz w:val="21"/>
                <w:szCs w:val="21"/>
              </w:rPr>
              <w:t>资格最低要求</w:t>
            </w:r>
          </w:p>
        </w:tc>
        <w:tc>
          <w:tcPr>
            <w:tcW w:w="1348" w:type="pct"/>
            <w:vAlign w:val="center"/>
          </w:tcPr>
          <w:p w14:paraId="7068F00E">
            <w:pPr>
              <w:pageBreakBefore w:val="0"/>
              <w:kinsoku/>
              <w:wordWrap/>
              <w:overflowPunct/>
              <w:topLinePunct w:val="0"/>
              <w:bidi w:val="0"/>
              <w:snapToGrid w:val="0"/>
              <w:spacing w:line="360" w:lineRule="exact"/>
              <w:jc w:val="center"/>
              <w:textAlignment w:val="auto"/>
              <w:rPr>
                <w:rFonts w:ascii="宋体" w:hAnsi="宋体"/>
                <w:sz w:val="21"/>
                <w:szCs w:val="21"/>
              </w:rPr>
            </w:pPr>
            <w:r>
              <w:rPr>
                <w:rFonts w:hint="eastAsia" w:ascii="宋体" w:hAnsi="宋体"/>
                <w:sz w:val="21"/>
                <w:szCs w:val="21"/>
              </w:rPr>
              <w:t>在岗要求</w:t>
            </w:r>
          </w:p>
        </w:tc>
      </w:tr>
      <w:tr w14:paraId="6A3D7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6" w:hRule="atLeast"/>
          <w:jc w:val="center"/>
        </w:trPr>
        <w:tc>
          <w:tcPr>
            <w:tcW w:w="657" w:type="pct"/>
            <w:tcBorders>
              <w:top w:val="single" w:color="auto" w:sz="4" w:space="0"/>
              <w:bottom w:val="single" w:color="auto" w:sz="4" w:space="0"/>
            </w:tcBorders>
            <w:vAlign w:val="center"/>
          </w:tcPr>
          <w:p w14:paraId="75189915">
            <w:pPr>
              <w:pageBreakBefore w:val="0"/>
              <w:kinsoku/>
              <w:wordWrap/>
              <w:overflowPunct/>
              <w:topLinePunct w:val="0"/>
              <w:bidi w:val="0"/>
              <w:snapToGrid w:val="0"/>
              <w:spacing w:line="360" w:lineRule="exact"/>
              <w:jc w:val="center"/>
              <w:textAlignment w:val="auto"/>
              <w:rPr>
                <w:rFonts w:ascii="宋体" w:hAnsi="宋体"/>
                <w:color w:val="000000"/>
                <w:sz w:val="21"/>
                <w:szCs w:val="21"/>
              </w:rPr>
            </w:pPr>
            <w:r>
              <w:rPr>
                <w:rFonts w:hint="eastAsia" w:ascii="宋体" w:hAnsi="宋体"/>
                <w:color w:val="000000"/>
                <w:sz w:val="21"/>
                <w:szCs w:val="21"/>
              </w:rPr>
              <w:t>项目经理</w:t>
            </w:r>
          </w:p>
        </w:tc>
        <w:tc>
          <w:tcPr>
            <w:tcW w:w="521" w:type="pct"/>
            <w:tcBorders>
              <w:top w:val="single" w:color="auto" w:sz="4" w:space="0"/>
              <w:bottom w:val="single" w:color="auto" w:sz="4" w:space="0"/>
            </w:tcBorders>
            <w:vAlign w:val="center"/>
          </w:tcPr>
          <w:p w14:paraId="4BB59E95">
            <w:pPr>
              <w:pageBreakBefore w:val="0"/>
              <w:kinsoku/>
              <w:wordWrap/>
              <w:overflowPunct/>
              <w:topLinePunct w:val="0"/>
              <w:bidi w:val="0"/>
              <w:snapToGrid w:val="0"/>
              <w:spacing w:line="360" w:lineRule="exact"/>
              <w:jc w:val="center"/>
              <w:textAlignment w:val="auto"/>
              <w:rPr>
                <w:rFonts w:ascii="宋体" w:hAnsi="宋体"/>
                <w:color w:val="000000"/>
                <w:sz w:val="21"/>
                <w:szCs w:val="21"/>
              </w:rPr>
            </w:pPr>
            <w:r>
              <w:rPr>
                <w:rFonts w:hint="eastAsia" w:ascii="宋体" w:hAnsi="宋体"/>
                <w:color w:val="000000"/>
                <w:sz w:val="21"/>
                <w:szCs w:val="21"/>
              </w:rPr>
              <w:t>1</w:t>
            </w:r>
          </w:p>
        </w:tc>
        <w:tc>
          <w:tcPr>
            <w:tcW w:w="2474" w:type="pct"/>
            <w:tcBorders>
              <w:top w:val="single" w:color="auto" w:sz="4" w:space="0"/>
              <w:bottom w:val="single" w:color="auto" w:sz="4" w:space="0"/>
            </w:tcBorders>
            <w:vAlign w:val="center"/>
          </w:tcPr>
          <w:p w14:paraId="11919FF6">
            <w:pPr>
              <w:pageBreakBefore w:val="0"/>
              <w:numPr>
                <w:ilvl w:val="0"/>
                <w:numId w:val="1"/>
              </w:numPr>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投标人自有人员；</w:t>
            </w:r>
          </w:p>
          <w:p w14:paraId="1AB24E13">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（2）具有建设行政主管部门颁发的“公路工程”专业《一级建造师注册证书》，且现注册单位为投标人；</w:t>
            </w:r>
          </w:p>
          <w:p w14:paraId="456A0119">
            <w:pPr>
              <w:pageBreakBefore w:val="0"/>
              <w:kinsoku/>
              <w:wordWrap/>
              <w:overflowPunct/>
              <w:topLinePunct w:val="0"/>
              <w:bidi w:val="0"/>
              <w:adjustRightInd w:val="0"/>
              <w:snapToGrid w:val="0"/>
              <w:spacing w:line="360" w:lineRule="exact"/>
              <w:textAlignment w:val="auto"/>
              <w:rPr>
                <w:rFonts w:hint="eastAsia" w:ascii="宋体" w:hAnsi="宋体"/>
                <w:sz w:val="21"/>
                <w:szCs w:val="21"/>
              </w:rPr>
            </w:pPr>
            <w:r>
              <w:rPr>
                <w:rFonts w:hint="eastAsia" w:ascii="宋体" w:hAnsi="宋体"/>
                <w:sz w:val="21"/>
                <w:szCs w:val="21"/>
              </w:rPr>
              <w:t>（3）具有交通运输主管部门颁发的有效的B类安全生产考核合格证书。</w:t>
            </w:r>
          </w:p>
          <w:p w14:paraId="2D8AB0F1">
            <w:pPr>
              <w:pageBreakBefore w:val="0"/>
              <w:kinsoku/>
              <w:wordWrap/>
              <w:overflowPunct/>
              <w:topLinePunct w:val="0"/>
              <w:bidi w:val="0"/>
              <w:adjustRightInd w:val="0"/>
              <w:snapToGrid w:val="0"/>
              <w:spacing w:line="360" w:lineRule="exact"/>
              <w:textAlignment w:val="auto"/>
              <w:rPr>
                <w:rFonts w:hint="default" w:ascii="宋体" w:hAnsi="宋体" w:eastAsia="宋体"/>
                <w:sz w:val="21"/>
                <w:szCs w:val="21"/>
                <w:lang w:val="en-US" w:eastAsia="zh-CN"/>
              </w:rPr>
            </w:pPr>
            <w:r>
              <w:rPr>
                <w:rFonts w:hint="eastAsia" w:ascii="宋体" w:hAnsi="宋体"/>
                <w:sz w:val="21"/>
                <w:szCs w:val="21"/>
              </w:rPr>
              <w:t>（</w:t>
            </w: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联合体投标时项目经理必须是牵头人单位自有人员</w:t>
            </w:r>
          </w:p>
        </w:tc>
        <w:tc>
          <w:tcPr>
            <w:tcW w:w="1348" w:type="pct"/>
            <w:vMerge w:val="restart"/>
            <w:tcBorders>
              <w:top w:val="single" w:color="auto" w:sz="4" w:space="0"/>
            </w:tcBorders>
            <w:vAlign w:val="center"/>
          </w:tcPr>
          <w:p w14:paraId="0EB8FFE4">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无在岗项目(指目前未在其他项目上任职，或虽在其他项目上任职但本项目中标后能够从该项目撤离)</w:t>
            </w:r>
          </w:p>
        </w:tc>
      </w:tr>
      <w:tr w14:paraId="64250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jc w:val="center"/>
        </w:trPr>
        <w:tc>
          <w:tcPr>
            <w:tcW w:w="657" w:type="pct"/>
            <w:vAlign w:val="center"/>
          </w:tcPr>
          <w:p w14:paraId="5445E2A1">
            <w:pPr>
              <w:pageBreakBefore w:val="0"/>
              <w:kinsoku/>
              <w:wordWrap/>
              <w:overflowPunct/>
              <w:topLinePunct w:val="0"/>
              <w:bidi w:val="0"/>
              <w:snapToGrid w:val="0"/>
              <w:spacing w:line="360" w:lineRule="exact"/>
              <w:jc w:val="center"/>
              <w:textAlignment w:val="auto"/>
              <w:rPr>
                <w:rFonts w:ascii="宋体" w:hAnsi="宋体"/>
                <w:color w:val="000000"/>
                <w:sz w:val="21"/>
                <w:szCs w:val="21"/>
              </w:rPr>
            </w:pPr>
            <w:r>
              <w:rPr>
                <w:rFonts w:hint="eastAsia" w:ascii="宋体" w:hAnsi="宋体"/>
                <w:sz w:val="21"/>
                <w:szCs w:val="21"/>
              </w:rPr>
              <w:t>项目总工</w:t>
            </w:r>
          </w:p>
        </w:tc>
        <w:tc>
          <w:tcPr>
            <w:tcW w:w="521" w:type="pct"/>
            <w:vAlign w:val="center"/>
          </w:tcPr>
          <w:p w14:paraId="1814142E">
            <w:pPr>
              <w:pageBreakBefore w:val="0"/>
              <w:kinsoku/>
              <w:wordWrap/>
              <w:overflowPunct/>
              <w:topLinePunct w:val="0"/>
              <w:bidi w:val="0"/>
              <w:snapToGrid w:val="0"/>
              <w:spacing w:line="360" w:lineRule="exact"/>
              <w:jc w:val="center"/>
              <w:textAlignment w:val="auto"/>
              <w:rPr>
                <w:rFonts w:ascii="宋体" w:hAnsi="宋体"/>
                <w:color w:val="000000"/>
                <w:sz w:val="21"/>
                <w:szCs w:val="21"/>
              </w:rPr>
            </w:pPr>
            <w:r>
              <w:rPr>
                <w:rFonts w:hint="eastAsia" w:ascii="宋体" w:hAnsi="宋体"/>
                <w:sz w:val="21"/>
                <w:szCs w:val="21"/>
              </w:rPr>
              <w:t>1</w:t>
            </w:r>
          </w:p>
        </w:tc>
        <w:tc>
          <w:tcPr>
            <w:tcW w:w="2474" w:type="pct"/>
            <w:vAlign w:val="center"/>
          </w:tcPr>
          <w:p w14:paraId="5556EC72">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（1）投标人自有人员；</w:t>
            </w:r>
          </w:p>
          <w:p w14:paraId="02B9B30D">
            <w:pPr>
              <w:pageBreakBefore w:val="0"/>
              <w:kinsoku/>
              <w:wordWrap/>
              <w:overflowPunct/>
              <w:topLinePunct w:val="0"/>
              <w:bidi w:val="0"/>
              <w:adjustRightInd w:val="0"/>
              <w:snapToGrid w:val="0"/>
              <w:spacing w:line="360" w:lineRule="exact"/>
              <w:textAlignment w:val="auto"/>
              <w:rPr>
                <w:rFonts w:hint="eastAsia" w:ascii="宋体" w:hAnsi="宋体"/>
                <w:sz w:val="21"/>
                <w:szCs w:val="21"/>
              </w:rPr>
            </w:pPr>
            <w:r>
              <w:rPr>
                <w:rFonts w:hint="eastAsia" w:ascii="宋体" w:hAnsi="宋体"/>
                <w:sz w:val="21"/>
                <w:szCs w:val="21"/>
              </w:rPr>
              <w:t>（2）具有公路工程相关专业高级职称。</w:t>
            </w:r>
          </w:p>
          <w:p w14:paraId="18976B1D">
            <w:pPr>
              <w:pageBreakBefore w:val="0"/>
              <w:kinsoku/>
              <w:wordWrap/>
              <w:overflowPunct/>
              <w:topLinePunct w:val="0"/>
              <w:bidi w:val="0"/>
              <w:adjustRightInd w:val="0"/>
              <w:snapToGrid w:val="0"/>
              <w:spacing w:line="360" w:lineRule="exact"/>
              <w:textAlignment w:val="auto"/>
              <w:rPr>
                <w:rFonts w:hint="eastAsia" w:ascii="宋体" w:hAnsi="宋体"/>
                <w:sz w:val="21"/>
                <w:szCs w:val="21"/>
              </w:rPr>
            </w:pP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en-US" w:eastAsia="zh-CN"/>
              </w:rPr>
              <w:t>联合体投标时项目总工必须是牵头人单位自有人员</w:t>
            </w:r>
          </w:p>
        </w:tc>
        <w:tc>
          <w:tcPr>
            <w:tcW w:w="1348" w:type="pct"/>
            <w:vMerge w:val="continue"/>
            <w:vAlign w:val="center"/>
          </w:tcPr>
          <w:p w14:paraId="2916A0D6">
            <w:pPr>
              <w:pageBreakBefore w:val="0"/>
              <w:kinsoku/>
              <w:wordWrap/>
              <w:overflowPunct/>
              <w:topLinePunct w:val="0"/>
              <w:bidi w:val="0"/>
              <w:adjustRightInd w:val="0"/>
              <w:snapToGrid w:val="0"/>
              <w:spacing w:line="360" w:lineRule="exact"/>
              <w:textAlignment w:val="auto"/>
              <w:rPr>
                <w:rFonts w:ascii="宋体" w:hAnsi="宋体"/>
                <w:sz w:val="21"/>
                <w:szCs w:val="21"/>
              </w:rPr>
            </w:pPr>
          </w:p>
        </w:tc>
      </w:tr>
      <w:bookmarkEnd w:id="16"/>
    </w:tbl>
    <w:p w14:paraId="7B2C07F5">
      <w:pPr>
        <w:pageBreakBefore w:val="0"/>
        <w:kinsoku/>
        <w:wordWrap/>
        <w:overflowPunct/>
        <w:topLinePunct w:val="0"/>
        <w:bidi w:val="0"/>
        <w:adjustRightInd w:val="0"/>
        <w:snapToGrid w:val="0"/>
        <w:spacing w:line="360" w:lineRule="exact"/>
        <w:textAlignment w:val="auto"/>
        <w:rPr>
          <w:rFonts w:ascii="宋体" w:hAnsi="宋体"/>
          <w:sz w:val="21"/>
          <w:szCs w:val="21"/>
        </w:rPr>
      </w:pPr>
    </w:p>
    <w:p w14:paraId="633A3C6F">
      <w:pPr>
        <w:pageBreakBefore w:val="0"/>
        <w:kinsoku/>
        <w:wordWrap/>
        <w:overflowPunct/>
        <w:topLinePunct w:val="0"/>
        <w:bidi w:val="0"/>
        <w:adjustRightInd w:val="0"/>
        <w:snapToGrid w:val="0"/>
        <w:spacing w:line="360" w:lineRule="exact"/>
        <w:textAlignment w:val="auto"/>
        <w:rPr>
          <w:rFonts w:ascii="宋体" w:hAnsi="宋体"/>
          <w:sz w:val="21"/>
          <w:szCs w:val="21"/>
        </w:rPr>
      </w:pPr>
      <w:r>
        <w:rPr>
          <w:rFonts w:hint="eastAsia" w:ascii="宋体" w:hAnsi="宋体"/>
          <w:sz w:val="21"/>
          <w:szCs w:val="21"/>
        </w:rPr>
        <w:t>注：①项目经理和项目总工不得兼职。</w:t>
      </w:r>
    </w:p>
    <w:p w14:paraId="4C2D6709">
      <w:pPr>
        <w:pageBreakBefore w:val="0"/>
        <w:kinsoku/>
        <w:wordWrap/>
        <w:overflowPunct/>
        <w:topLinePunct w:val="0"/>
        <w:bidi w:val="0"/>
        <w:adjustRightInd w:val="0"/>
        <w:snapToGrid w:val="0"/>
        <w:spacing w:line="360" w:lineRule="exact"/>
        <w:ind w:firstLine="420" w:firstLineChars="200"/>
        <w:textAlignment w:val="auto"/>
        <w:rPr>
          <w:rFonts w:ascii="宋体" w:hAnsi="宋体"/>
          <w:sz w:val="21"/>
          <w:szCs w:val="21"/>
        </w:rPr>
      </w:pPr>
      <w:r>
        <w:rPr>
          <w:rFonts w:hint="eastAsia" w:ascii="宋体" w:hAnsi="宋体"/>
          <w:sz w:val="21"/>
          <w:szCs w:val="21"/>
        </w:rPr>
        <w:t>②“投标人自有人员”指投标人为其申报社会保险登记，并为其缴纳社会保险费的人员。</w:t>
      </w:r>
      <w:r>
        <w:rPr>
          <w:rFonts w:hint="eastAsia" w:ascii="宋体" w:hAnsi="宋体"/>
          <w:sz w:val="21"/>
          <w:szCs w:val="21"/>
          <w:lang w:val="zh-CN"/>
        </w:rPr>
        <w:t>如果投标人属事业法人单位，则由投标人的上级行政主管部门出具拟委任的项目经理是投标人单位职工的有效书面证明材料。</w:t>
      </w:r>
    </w:p>
    <w:bookmarkEnd w:id="15"/>
    <w:p w14:paraId="04D68FA7">
      <w:pPr>
        <w:pageBreakBefore w:val="0"/>
        <w:kinsoku/>
        <w:wordWrap/>
        <w:overflowPunct/>
        <w:topLinePunct w:val="0"/>
        <w:bidi w:val="0"/>
        <w:adjustRightInd w:val="0"/>
        <w:snapToGrid w:val="0"/>
        <w:spacing w:line="360" w:lineRule="exact"/>
        <w:ind w:firstLine="420" w:firstLineChars="200"/>
        <w:textAlignment w:val="auto"/>
        <w:rPr>
          <w:rFonts w:ascii="宋体" w:hAnsi="宋体"/>
          <w:sz w:val="21"/>
          <w:szCs w:val="21"/>
        </w:rPr>
      </w:pPr>
      <w:r>
        <w:rPr>
          <w:rFonts w:hint="eastAsia" w:ascii="宋体" w:hAnsi="宋体"/>
          <w:sz w:val="21"/>
          <w:szCs w:val="21"/>
        </w:rPr>
        <w:t>③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3651A2CE">
      <w:pPr>
        <w:pageBreakBefore w:val="0"/>
        <w:kinsoku/>
        <w:wordWrap/>
        <w:overflowPunct/>
        <w:topLinePunct w:val="0"/>
        <w:bidi w:val="0"/>
        <w:adjustRightInd w:val="0"/>
        <w:snapToGrid w:val="0"/>
        <w:spacing w:line="360" w:lineRule="exact"/>
        <w:ind w:firstLine="420" w:firstLineChars="200"/>
        <w:textAlignment w:val="auto"/>
        <w:rPr>
          <w:rFonts w:ascii="宋体" w:hAnsi="宋体"/>
          <w:sz w:val="21"/>
          <w:szCs w:val="21"/>
        </w:rPr>
      </w:pPr>
      <w:r>
        <w:rPr>
          <w:rFonts w:ascii="宋体" w:hAnsi="宋体"/>
          <w:sz w:val="21"/>
          <w:szCs w:val="21"/>
        </w:rPr>
        <w:br w:type="page"/>
      </w:r>
    </w:p>
    <w:p w14:paraId="501B9F3F">
      <w:pPr>
        <w:pStyle w:val="2"/>
        <w:keepNext w:val="0"/>
        <w:keepLines w:val="0"/>
        <w:pageBreakBefore w:val="0"/>
        <w:kinsoku/>
        <w:wordWrap/>
        <w:overflowPunct/>
        <w:topLinePunct w:val="0"/>
        <w:bidi w:val="0"/>
        <w:spacing w:before="0" w:after="0" w:line="360" w:lineRule="exact"/>
        <w:ind w:firstLine="210" w:firstLineChars="100"/>
        <w:jc w:val="center"/>
        <w:textAlignment w:val="auto"/>
        <w:rPr>
          <w:rFonts w:ascii="黑体" w:hAnsi="黑体" w:eastAsia="黑体"/>
          <w:b w:val="0"/>
          <w:sz w:val="21"/>
          <w:szCs w:val="21"/>
        </w:rPr>
      </w:pPr>
      <w:bookmarkStart w:id="17" w:name="_Toc258182505"/>
      <w:bookmarkStart w:id="18" w:name="_Toc487803830"/>
      <w:bookmarkStart w:id="19" w:name="_Toc513907885"/>
      <w:bookmarkStart w:id="20" w:name="_Toc185946247"/>
      <w:bookmarkStart w:id="21" w:name="_Toc487803831"/>
      <w:bookmarkStart w:id="22" w:name="_Toc450054099"/>
      <w:bookmarkStart w:id="23" w:name="_Toc197950684"/>
      <w:bookmarkStart w:id="24" w:name="_Toc197965611"/>
      <w:bookmarkStart w:id="25" w:name="_Toc258182506"/>
      <w:bookmarkStart w:id="26" w:name="_Toc197951590"/>
      <w:bookmarkStart w:id="27" w:name="_Toc197967127"/>
      <w:bookmarkStart w:id="28" w:name="_Toc197960547"/>
      <w:bookmarkStart w:id="29" w:name="_Toc355768878"/>
      <w:bookmarkStart w:id="30" w:name="_Toc197967273"/>
      <w:bookmarkStart w:id="31" w:name="_Toc197950805"/>
      <w:bookmarkStart w:id="32" w:name="_Toc197951556"/>
      <w:bookmarkStart w:id="33" w:name="_Toc197960495"/>
      <w:r>
        <w:rPr>
          <w:rFonts w:hint="eastAsia" w:ascii="黑体" w:hAnsi="黑体" w:eastAsia="黑体"/>
          <w:b w:val="0"/>
          <w:sz w:val="21"/>
          <w:szCs w:val="21"/>
        </w:rPr>
        <w:t>第三章  评标办法</w:t>
      </w:r>
      <w:bookmarkEnd w:id="17"/>
      <w:bookmarkEnd w:id="18"/>
      <w:r>
        <w:rPr>
          <w:rFonts w:hint="eastAsia" w:ascii="黑体" w:hAnsi="黑体" w:eastAsia="黑体"/>
          <w:b w:val="0"/>
          <w:sz w:val="21"/>
          <w:szCs w:val="21"/>
        </w:rPr>
        <w:t>（技术评分最低标价法）</w:t>
      </w:r>
      <w:bookmarkEnd w:id="19"/>
      <w:bookmarkEnd w:id="20"/>
      <w:bookmarkEnd w:id="21"/>
      <w:bookmarkEnd w:id="22"/>
    </w:p>
    <w:p w14:paraId="4EB92148">
      <w:pPr>
        <w:pStyle w:val="3"/>
        <w:pageBreakBefore w:val="0"/>
        <w:kinsoku/>
        <w:wordWrap/>
        <w:overflowPunct/>
        <w:topLinePunct w:val="0"/>
        <w:bidi w:val="0"/>
        <w:adjustRightInd w:val="0"/>
        <w:snapToGrid w:val="0"/>
        <w:spacing w:before="0" w:after="0" w:line="360" w:lineRule="exact"/>
        <w:textAlignment w:val="auto"/>
        <w:rPr>
          <w:rFonts w:ascii="宋体" w:hAnsi="宋体"/>
          <w:b w:val="0"/>
          <w:sz w:val="21"/>
          <w:szCs w:val="21"/>
        </w:rPr>
      </w:pPr>
      <w:bookmarkStart w:id="34" w:name="_Toc185946248"/>
      <w:r>
        <w:rPr>
          <w:rFonts w:ascii="黑体" w:hAnsi="黑体" w:eastAsia="黑体"/>
          <w:b w:val="0"/>
          <w:sz w:val="21"/>
          <w:szCs w:val="21"/>
        </w:rPr>
        <w:t>评标办法前附表</w:t>
      </w:r>
      <w:r>
        <w:rPr>
          <w:rFonts w:ascii="宋体" w:hAnsi="宋体"/>
          <w:b w:val="0"/>
          <w:sz w:val="21"/>
          <w:szCs w:val="21"/>
          <w:vertAlign w:val="superscript"/>
        </w:rPr>
        <w:footnoteReference w:id="2"/>
      </w:r>
      <w:bookmarkEnd w:id="34"/>
      <w:bookmarkStart w:id="35" w:name="_Hlk175945986"/>
    </w:p>
    <w:tbl>
      <w:tblPr>
        <w:tblStyle w:val="13"/>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1389"/>
        <w:gridCol w:w="7383"/>
      </w:tblGrid>
      <w:tr w14:paraId="579F9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tblHeader/>
          <w:jc w:val="center"/>
        </w:trPr>
        <w:tc>
          <w:tcPr>
            <w:tcW w:w="2245" w:type="dxa"/>
            <w:gridSpan w:val="2"/>
            <w:shd w:val="clear" w:color="auto" w:fill="auto"/>
            <w:vAlign w:val="center"/>
          </w:tcPr>
          <w:p w14:paraId="2F3EA87D">
            <w:pPr>
              <w:pageBreakBefore w:val="0"/>
              <w:kinsoku/>
              <w:wordWrap/>
              <w:overflowPunct/>
              <w:topLinePunct w:val="0"/>
              <w:bidi w:val="0"/>
              <w:spacing w:line="360" w:lineRule="exact"/>
              <w:jc w:val="center"/>
              <w:textAlignment w:val="auto"/>
              <w:rPr>
                <w:sz w:val="21"/>
                <w:szCs w:val="21"/>
              </w:rPr>
            </w:pPr>
            <w:r>
              <w:rPr>
                <w:sz w:val="21"/>
                <w:szCs w:val="21"/>
              </w:rPr>
              <w:t>条款号</w:t>
            </w:r>
          </w:p>
        </w:tc>
        <w:tc>
          <w:tcPr>
            <w:tcW w:w="7383" w:type="dxa"/>
            <w:shd w:val="clear" w:color="auto" w:fill="auto"/>
            <w:vAlign w:val="center"/>
          </w:tcPr>
          <w:p w14:paraId="11D29B61">
            <w:pPr>
              <w:pageBreakBefore w:val="0"/>
              <w:kinsoku/>
              <w:wordWrap/>
              <w:overflowPunct/>
              <w:topLinePunct w:val="0"/>
              <w:bidi w:val="0"/>
              <w:spacing w:line="360" w:lineRule="exact"/>
              <w:jc w:val="center"/>
              <w:textAlignment w:val="auto"/>
              <w:rPr>
                <w:sz w:val="21"/>
                <w:szCs w:val="21"/>
              </w:rPr>
            </w:pPr>
            <w:r>
              <w:rPr>
                <w:sz w:val="21"/>
                <w:szCs w:val="21"/>
              </w:rPr>
              <w:t>评审因素与评审标准</w:t>
            </w:r>
          </w:p>
        </w:tc>
      </w:tr>
      <w:tr w14:paraId="18560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shd w:val="clear" w:color="auto" w:fill="auto"/>
            <w:vAlign w:val="center"/>
          </w:tcPr>
          <w:p w14:paraId="2029ECDC">
            <w:pPr>
              <w:pageBreakBefore w:val="0"/>
              <w:kinsoku/>
              <w:wordWrap/>
              <w:overflowPunct/>
              <w:topLinePunct w:val="0"/>
              <w:autoSpaceDE w:val="0"/>
              <w:autoSpaceDN w:val="0"/>
              <w:bidi w:val="0"/>
              <w:adjustRightInd w:val="0"/>
              <w:snapToGrid w:val="0"/>
              <w:spacing w:line="360" w:lineRule="exact"/>
              <w:ind w:firstLine="420" w:firstLineChars="200"/>
              <w:textAlignment w:val="auto"/>
              <w:rPr>
                <w:rFonts w:ascii="宋体" w:hAnsi="宋体"/>
                <w:sz w:val="21"/>
                <w:szCs w:val="21"/>
              </w:rPr>
            </w:pPr>
            <w:r>
              <w:rPr>
                <w:rFonts w:hint="eastAsia" w:ascii="宋体" w:hAnsi="宋体"/>
                <w:sz w:val="21"/>
                <w:szCs w:val="21"/>
              </w:rPr>
              <w:t>1</w:t>
            </w:r>
          </w:p>
        </w:tc>
        <w:tc>
          <w:tcPr>
            <w:tcW w:w="1389" w:type="dxa"/>
            <w:shd w:val="clear" w:color="auto" w:fill="auto"/>
            <w:vAlign w:val="center"/>
          </w:tcPr>
          <w:p w14:paraId="037078C9">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评标方法</w:t>
            </w:r>
          </w:p>
        </w:tc>
        <w:tc>
          <w:tcPr>
            <w:tcW w:w="7383" w:type="dxa"/>
            <w:shd w:val="clear" w:color="auto" w:fill="auto"/>
            <w:vAlign w:val="center"/>
          </w:tcPr>
          <w:p w14:paraId="0CD667BA">
            <w:pPr>
              <w:pageBreakBefore w:val="0"/>
              <w:kinsoku/>
              <w:wordWrap/>
              <w:overflowPunct/>
              <w:topLinePunct w:val="0"/>
              <w:bidi w:val="0"/>
              <w:adjustRightInd w:val="0"/>
              <w:snapToGrid w:val="0"/>
              <w:spacing w:line="360" w:lineRule="exact"/>
              <w:ind w:firstLine="210" w:firstLineChars="100"/>
              <w:jc w:val="left"/>
              <w:textAlignment w:val="auto"/>
              <w:rPr>
                <w:rFonts w:ascii="楷体" w:hAnsi="楷体" w:eastAsia="楷体"/>
                <w:sz w:val="21"/>
                <w:szCs w:val="21"/>
              </w:rPr>
            </w:pPr>
            <w:r>
              <w:rPr>
                <w:rFonts w:hint="eastAsia" w:ascii="宋体" w:hAnsi="宋体"/>
                <w:sz w:val="21"/>
                <w:szCs w:val="21"/>
              </w:rPr>
              <w:t>评标价</w:t>
            </w:r>
            <w:r>
              <w:rPr>
                <w:rFonts w:ascii="宋体" w:hAnsi="宋体"/>
                <w:sz w:val="21"/>
                <w:szCs w:val="21"/>
              </w:rPr>
              <w:t>相等时</w:t>
            </w:r>
            <w:r>
              <w:rPr>
                <w:rFonts w:hint="eastAsia" w:ascii="宋体" w:hAnsi="宋体"/>
                <w:sz w:val="21"/>
                <w:szCs w:val="21"/>
              </w:rPr>
              <w:t>，按照第一信封的排序规则和结果</w:t>
            </w:r>
            <w:r>
              <w:rPr>
                <w:rFonts w:ascii="宋体" w:hAnsi="宋体"/>
                <w:sz w:val="21"/>
                <w:szCs w:val="21"/>
              </w:rPr>
              <w:t>推荐中标候选人</w:t>
            </w:r>
            <w:r>
              <w:rPr>
                <w:rFonts w:hint="eastAsia" w:ascii="宋体" w:hAnsi="宋体"/>
                <w:sz w:val="21"/>
                <w:szCs w:val="21"/>
              </w:rPr>
              <w:t>。</w:t>
            </w:r>
          </w:p>
        </w:tc>
      </w:tr>
      <w:tr w14:paraId="4F99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03" w:hRule="atLeast"/>
          <w:jc w:val="center"/>
        </w:trPr>
        <w:tc>
          <w:tcPr>
            <w:tcW w:w="856" w:type="dxa"/>
            <w:tcBorders>
              <w:bottom w:val="single" w:color="auto" w:sz="4" w:space="0"/>
            </w:tcBorders>
            <w:shd w:val="clear" w:color="auto" w:fill="auto"/>
            <w:vAlign w:val="center"/>
          </w:tcPr>
          <w:p w14:paraId="36619FA3">
            <w:pPr>
              <w:pageBreakBefore w:val="0"/>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 w:val="21"/>
                <w:szCs w:val="21"/>
              </w:rPr>
            </w:pPr>
            <w:r>
              <w:rPr>
                <w:rFonts w:ascii="宋体" w:hAnsi="宋体"/>
                <w:sz w:val="21"/>
                <w:szCs w:val="21"/>
              </w:rPr>
              <w:t>2.1.1</w:t>
            </w:r>
          </w:p>
          <w:p w14:paraId="5A35F094">
            <w:pPr>
              <w:pageBreakBefore w:val="0"/>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 w:val="21"/>
                <w:szCs w:val="21"/>
              </w:rPr>
            </w:pPr>
            <w:r>
              <w:rPr>
                <w:rFonts w:ascii="宋体" w:hAnsi="宋体"/>
                <w:sz w:val="21"/>
                <w:szCs w:val="21"/>
              </w:rPr>
              <w:t>2.1.3</w:t>
            </w:r>
          </w:p>
        </w:tc>
        <w:tc>
          <w:tcPr>
            <w:tcW w:w="1389" w:type="dxa"/>
            <w:tcBorders>
              <w:bottom w:val="single" w:color="auto" w:sz="4" w:space="0"/>
            </w:tcBorders>
            <w:shd w:val="clear" w:color="auto" w:fill="auto"/>
            <w:vAlign w:val="center"/>
          </w:tcPr>
          <w:p w14:paraId="625B38BA">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形式评审与</w:t>
            </w:r>
          </w:p>
          <w:p w14:paraId="609C250A">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响应性评审</w:t>
            </w:r>
          </w:p>
          <w:p w14:paraId="6145D8EE">
            <w:pPr>
              <w:pageBreakBefore w:val="0"/>
              <w:kinsoku/>
              <w:wordWrap/>
              <w:overflowPunct/>
              <w:topLinePunct w:val="0"/>
              <w:bidi w:val="0"/>
              <w:adjustRightInd w:val="0"/>
              <w:snapToGrid w:val="0"/>
              <w:spacing w:line="360" w:lineRule="exact"/>
              <w:ind w:firstLine="420" w:firstLineChars="200"/>
              <w:textAlignment w:val="auto"/>
              <w:rPr>
                <w:rFonts w:ascii="宋体" w:hAnsi="宋体"/>
                <w:sz w:val="21"/>
                <w:szCs w:val="21"/>
              </w:rPr>
            </w:pPr>
            <w:r>
              <w:rPr>
                <w:rFonts w:hint="eastAsia" w:ascii="宋体" w:hAnsi="宋体"/>
                <w:sz w:val="21"/>
                <w:szCs w:val="21"/>
              </w:rPr>
              <w:t>标准</w:t>
            </w:r>
          </w:p>
        </w:tc>
        <w:tc>
          <w:tcPr>
            <w:tcW w:w="7383" w:type="dxa"/>
            <w:tcBorders>
              <w:bottom w:val="single" w:color="auto" w:sz="4" w:space="0"/>
            </w:tcBorders>
            <w:shd w:val="clear" w:color="auto" w:fill="auto"/>
          </w:tcPr>
          <w:p w14:paraId="4FA01CAB">
            <w:pPr>
              <w:pageBreakBefore w:val="0"/>
              <w:kinsoku/>
              <w:wordWrap/>
              <w:overflowPunct/>
              <w:topLinePunct w:val="0"/>
              <w:bidi w:val="0"/>
              <w:spacing w:before="120" w:beforeLines="50" w:line="360" w:lineRule="exact"/>
              <w:ind w:firstLine="211" w:firstLineChars="100"/>
              <w:textAlignment w:val="auto"/>
              <w:rPr>
                <w:rFonts w:ascii="宋体" w:hAnsi="宋体"/>
                <w:b/>
                <w:sz w:val="21"/>
                <w:szCs w:val="21"/>
              </w:rPr>
            </w:pPr>
            <w:r>
              <w:rPr>
                <w:rFonts w:hint="eastAsia" w:ascii="宋体" w:hAnsi="宋体"/>
                <w:b/>
                <w:sz w:val="21"/>
                <w:szCs w:val="21"/>
              </w:rPr>
              <w:t>第一个信封（商务及技术文件）评审标准：</w:t>
            </w:r>
          </w:p>
          <w:p w14:paraId="4C78AFC6">
            <w:pPr>
              <w:pageBreakBefore w:val="0"/>
              <w:kinsoku/>
              <w:wordWrap/>
              <w:overflowPunct/>
              <w:topLinePunct w:val="0"/>
              <w:bidi w:val="0"/>
              <w:spacing w:line="360" w:lineRule="exact"/>
              <w:ind w:left="210" w:leftChars="100"/>
              <w:textAlignment w:val="auto"/>
              <w:rPr>
                <w:rFonts w:ascii="宋体" w:hAnsi="宋体"/>
                <w:sz w:val="21"/>
                <w:szCs w:val="21"/>
              </w:rPr>
            </w:pPr>
            <w:r>
              <w:rPr>
                <w:rFonts w:hint="eastAsia" w:ascii="宋体" w:hAnsi="宋体"/>
                <w:sz w:val="21"/>
                <w:szCs w:val="21"/>
              </w:rPr>
              <w:t>（1）投标文件按照招标文件规定的格式、内容填写，字迹清晰可辨：</w:t>
            </w:r>
          </w:p>
          <w:p w14:paraId="4CFC2F19">
            <w:pPr>
              <w:pageBreakBefore w:val="0"/>
              <w:kinsoku/>
              <w:wordWrap/>
              <w:overflowPunct/>
              <w:topLinePunct w:val="0"/>
              <w:bidi w:val="0"/>
              <w:spacing w:line="360" w:lineRule="exact"/>
              <w:ind w:firstLine="420" w:firstLineChars="200"/>
              <w:textAlignment w:val="auto"/>
              <w:rPr>
                <w:rFonts w:ascii="宋体" w:hAnsi="宋体"/>
                <w:sz w:val="21"/>
                <w:szCs w:val="21"/>
              </w:rPr>
            </w:pPr>
            <w:r>
              <w:rPr>
                <w:rFonts w:hint="eastAsia" w:ascii="宋体" w:hAnsi="宋体"/>
                <w:sz w:val="21"/>
                <w:szCs w:val="21"/>
              </w:rPr>
              <w:t>a.投标函按招标文件规定填报了项目名称、标段号、补遗书编号（如有）、工期、工程质量要求及安全目标；</w:t>
            </w:r>
          </w:p>
          <w:p w14:paraId="01A7A8B4">
            <w:pPr>
              <w:pageBreakBefore w:val="0"/>
              <w:kinsoku/>
              <w:wordWrap/>
              <w:overflowPunct/>
              <w:topLinePunct w:val="0"/>
              <w:bidi w:val="0"/>
              <w:spacing w:line="360" w:lineRule="exact"/>
              <w:ind w:firstLine="420" w:firstLineChars="200"/>
              <w:textAlignment w:val="auto"/>
              <w:rPr>
                <w:rFonts w:ascii="宋体" w:hAnsi="宋体"/>
                <w:sz w:val="21"/>
                <w:szCs w:val="21"/>
              </w:rPr>
            </w:pPr>
            <w:r>
              <w:rPr>
                <w:rFonts w:hint="eastAsia" w:ascii="宋体" w:hAnsi="宋体"/>
                <w:sz w:val="21"/>
                <w:szCs w:val="21"/>
              </w:rPr>
              <w:t>b.投标函附录的所有数据均符合招标文件规定；</w:t>
            </w:r>
          </w:p>
          <w:p w14:paraId="17FFB3F8">
            <w:pPr>
              <w:pageBreakBefore w:val="0"/>
              <w:kinsoku/>
              <w:wordWrap/>
              <w:overflowPunct/>
              <w:topLinePunct w:val="0"/>
              <w:bidi w:val="0"/>
              <w:spacing w:line="360" w:lineRule="exact"/>
              <w:ind w:firstLine="420" w:firstLineChars="200"/>
              <w:textAlignment w:val="auto"/>
              <w:rPr>
                <w:rFonts w:ascii="宋体" w:hAnsi="宋体"/>
                <w:sz w:val="21"/>
                <w:szCs w:val="21"/>
              </w:rPr>
            </w:pPr>
            <w:r>
              <w:rPr>
                <w:rFonts w:hint="eastAsia" w:ascii="宋体" w:hAnsi="宋体"/>
                <w:sz w:val="21"/>
                <w:szCs w:val="21"/>
              </w:rPr>
              <w:t xml:space="preserve">c.投标文件组成齐全完整，内容均按规定填写。 </w:t>
            </w:r>
          </w:p>
          <w:p w14:paraId="47A7FBE0">
            <w:pPr>
              <w:pageBreakBefore w:val="0"/>
              <w:kinsoku/>
              <w:wordWrap/>
              <w:overflowPunct/>
              <w:topLinePunct w:val="0"/>
              <w:bidi w:val="0"/>
              <w:spacing w:line="360" w:lineRule="exact"/>
              <w:ind w:left="210" w:leftChars="100"/>
              <w:textAlignment w:val="auto"/>
              <w:rPr>
                <w:rFonts w:ascii="宋体" w:hAnsi="宋体"/>
                <w:sz w:val="21"/>
                <w:szCs w:val="21"/>
              </w:rPr>
            </w:pPr>
            <w:r>
              <w:rPr>
                <w:rFonts w:hint="eastAsia" w:ascii="宋体" w:hAnsi="宋体"/>
                <w:sz w:val="21"/>
                <w:szCs w:val="21"/>
              </w:rPr>
              <w:t>（2）投标文件上法定代表人或其授权代理人的签字、投标人的单位章盖章齐全，符合招标文件规定。</w:t>
            </w:r>
          </w:p>
          <w:p w14:paraId="127689FF">
            <w:pPr>
              <w:pageBreakBefore w:val="0"/>
              <w:kinsoku/>
              <w:wordWrap/>
              <w:overflowPunct/>
              <w:topLinePunct w:val="0"/>
              <w:bidi w:val="0"/>
              <w:spacing w:line="360" w:lineRule="exact"/>
              <w:ind w:left="210" w:leftChars="100"/>
              <w:textAlignment w:val="auto"/>
              <w:rPr>
                <w:rFonts w:ascii="宋体" w:hAnsi="宋体"/>
                <w:sz w:val="21"/>
                <w:szCs w:val="21"/>
              </w:rPr>
            </w:pPr>
            <w:r>
              <w:rPr>
                <w:rFonts w:hint="eastAsia" w:ascii="宋体" w:hAnsi="宋体"/>
                <w:sz w:val="21"/>
                <w:szCs w:val="21"/>
              </w:rPr>
              <w:t>（3）投标人按照招标文件的规定提供了投标保证金：</w:t>
            </w:r>
          </w:p>
          <w:p w14:paraId="6898ADB0">
            <w:pPr>
              <w:pageBreakBefore w:val="0"/>
              <w:kinsoku/>
              <w:wordWrap/>
              <w:overflowPunct/>
              <w:topLinePunct w:val="0"/>
              <w:bidi w:val="0"/>
              <w:spacing w:line="360" w:lineRule="exact"/>
              <w:ind w:firstLine="420" w:firstLineChars="200"/>
              <w:textAlignment w:val="auto"/>
              <w:rPr>
                <w:rFonts w:ascii="宋体" w:hAnsi="宋体"/>
                <w:sz w:val="21"/>
                <w:szCs w:val="21"/>
              </w:rPr>
            </w:pPr>
            <w:r>
              <w:rPr>
                <w:rFonts w:hint="eastAsia" w:ascii="宋体" w:hAnsi="宋体"/>
                <w:sz w:val="21"/>
                <w:szCs w:val="21"/>
              </w:rPr>
              <w:t>a.投标保证金金额符合招标文件规定的金额，且投标保证金有效期不少于投标有效期；</w:t>
            </w:r>
          </w:p>
          <w:p w14:paraId="444C1FAA">
            <w:pPr>
              <w:pageBreakBefore w:val="0"/>
              <w:kinsoku/>
              <w:wordWrap/>
              <w:overflowPunct/>
              <w:topLinePunct w:val="0"/>
              <w:bidi w:val="0"/>
              <w:spacing w:line="360" w:lineRule="exact"/>
              <w:ind w:firstLine="420" w:firstLineChars="200"/>
              <w:textAlignment w:val="auto"/>
              <w:rPr>
                <w:rFonts w:ascii="宋体" w:hAnsi="宋体"/>
                <w:sz w:val="21"/>
                <w:szCs w:val="21"/>
              </w:rPr>
            </w:pPr>
            <w:r>
              <w:rPr>
                <w:rFonts w:hint="eastAsia" w:ascii="宋体" w:hAnsi="宋体"/>
                <w:sz w:val="21"/>
                <w:szCs w:val="21"/>
              </w:rPr>
              <w:t>b.若投标保证金采用现金或支票形式提交，投标人应在递交投标文件截止时间之前，将投标保证金由投标人的基本账户转入招标人指定账户；</w:t>
            </w:r>
          </w:p>
          <w:p w14:paraId="376797B9">
            <w:pPr>
              <w:pageBreakBefore w:val="0"/>
              <w:kinsoku/>
              <w:wordWrap/>
              <w:overflowPunct/>
              <w:topLinePunct w:val="0"/>
              <w:bidi w:val="0"/>
              <w:spacing w:line="360" w:lineRule="exact"/>
              <w:ind w:firstLine="420" w:firstLineChars="200"/>
              <w:textAlignment w:val="auto"/>
              <w:rPr>
                <w:rFonts w:ascii="宋体" w:hAnsi="宋体"/>
                <w:sz w:val="21"/>
                <w:szCs w:val="21"/>
              </w:rPr>
            </w:pPr>
            <w:r>
              <w:rPr>
                <w:rFonts w:hint="eastAsia" w:ascii="宋体" w:hAnsi="宋体"/>
                <w:sz w:val="21"/>
                <w:szCs w:val="21"/>
              </w:rPr>
              <w:t>c.</w:t>
            </w:r>
            <w:r>
              <w:rPr>
                <w:rStyle w:val="19"/>
                <w:rFonts w:hint="eastAsia" w:ascii="宋体" w:hAnsi="宋体" w:eastAsia="宋体"/>
                <w:color w:val="auto"/>
                <w:sz w:val="21"/>
                <w:szCs w:val="21"/>
              </w:rPr>
              <w:t>若投标保证金采用保函形式提交，应满足一体化平台相关要求。</w:t>
            </w:r>
          </w:p>
          <w:p w14:paraId="1C345B51">
            <w:pPr>
              <w:pageBreakBefore w:val="0"/>
              <w:kinsoku/>
              <w:wordWrap/>
              <w:overflowPunct/>
              <w:topLinePunct w:val="0"/>
              <w:bidi w:val="0"/>
              <w:spacing w:line="360" w:lineRule="exact"/>
              <w:ind w:left="210" w:leftChars="100"/>
              <w:textAlignment w:val="auto"/>
              <w:rPr>
                <w:rFonts w:ascii="宋体" w:hAnsi="宋体"/>
                <w:sz w:val="21"/>
                <w:szCs w:val="21"/>
              </w:rPr>
            </w:pPr>
            <w:r>
              <w:rPr>
                <w:rFonts w:hint="eastAsia" w:ascii="宋体" w:hAnsi="宋体"/>
                <w:sz w:val="21"/>
                <w:szCs w:val="21"/>
              </w:rPr>
              <w:t>（4）</w:t>
            </w:r>
            <w:r>
              <w:rPr>
                <w:rFonts w:ascii="宋体" w:hAnsi="宋体"/>
                <w:sz w:val="21"/>
                <w:szCs w:val="21"/>
              </w:rPr>
              <w:t>投标人法定代表人授权委托代理人签署投标文件的，需提交授权委托书，且授权人和被授权人均在授权委托书上签名。</w:t>
            </w:r>
          </w:p>
          <w:p w14:paraId="1F9FF45D">
            <w:pPr>
              <w:pageBreakBefore w:val="0"/>
              <w:kinsoku/>
              <w:wordWrap/>
              <w:overflowPunct/>
              <w:topLinePunct w:val="0"/>
              <w:bidi w:val="0"/>
              <w:spacing w:line="360" w:lineRule="exact"/>
              <w:ind w:left="210" w:leftChars="100"/>
              <w:textAlignment w:val="auto"/>
              <w:rPr>
                <w:rFonts w:ascii="宋体" w:hAnsi="宋体"/>
                <w:sz w:val="21"/>
                <w:szCs w:val="21"/>
              </w:rPr>
            </w:pPr>
            <w:r>
              <w:rPr>
                <w:rFonts w:hint="eastAsia" w:ascii="宋体" w:hAnsi="宋体"/>
                <w:sz w:val="21"/>
                <w:szCs w:val="21"/>
              </w:rPr>
              <w:t>（5）</w:t>
            </w:r>
            <w:r>
              <w:rPr>
                <w:rFonts w:ascii="宋体" w:hAnsi="宋体"/>
                <w:sz w:val="21"/>
                <w:szCs w:val="21"/>
              </w:rPr>
              <w:t>投标人法定代表人亲自签署投标文件的，提供了法定代表人身份证明，且法定代表人在法定代表人身份证明上签名。</w:t>
            </w:r>
          </w:p>
          <w:p w14:paraId="566E67A1">
            <w:pPr>
              <w:pageBreakBefore w:val="0"/>
              <w:kinsoku/>
              <w:wordWrap/>
              <w:overflowPunct/>
              <w:topLinePunct w:val="0"/>
              <w:bidi w:val="0"/>
              <w:spacing w:line="360" w:lineRule="exact"/>
              <w:ind w:firstLine="210" w:firstLineChars="100"/>
              <w:textAlignment w:val="auto"/>
              <w:rPr>
                <w:rFonts w:ascii="宋体" w:hAnsi="宋体"/>
                <w:sz w:val="21"/>
                <w:szCs w:val="21"/>
              </w:rPr>
            </w:pPr>
            <w:r>
              <w:rPr>
                <w:rFonts w:hint="eastAsia" w:ascii="宋体" w:hAnsi="宋体"/>
                <w:sz w:val="21"/>
                <w:szCs w:val="21"/>
              </w:rPr>
              <w:t>（6）</w:t>
            </w:r>
            <w:r>
              <w:rPr>
                <w:rStyle w:val="20"/>
                <w:rFonts w:ascii="宋体" w:hAnsi="宋体" w:eastAsia="宋体"/>
                <w:color w:val="auto"/>
                <w:sz w:val="21"/>
                <w:szCs w:val="21"/>
                <w:shd w:val="clear" w:color="auto" w:fill="auto"/>
              </w:rPr>
              <w:t>投标人以联合体形式投标时，投标人按照招标文件提供的格式签订了联合体协议书，明确各方承担连带责任，并明确了联合体牵头人；</w:t>
            </w:r>
          </w:p>
          <w:p w14:paraId="648A6F24">
            <w:pPr>
              <w:pageBreakBefore w:val="0"/>
              <w:kinsoku/>
              <w:wordWrap/>
              <w:overflowPunct/>
              <w:topLinePunct w:val="0"/>
              <w:bidi w:val="0"/>
              <w:spacing w:line="360" w:lineRule="exact"/>
              <w:ind w:firstLine="210" w:firstLineChars="100"/>
              <w:textAlignment w:val="auto"/>
              <w:rPr>
                <w:rFonts w:ascii="宋体" w:hAnsi="宋体"/>
                <w:sz w:val="21"/>
                <w:szCs w:val="21"/>
              </w:rPr>
            </w:pPr>
            <w:r>
              <w:rPr>
                <w:rFonts w:hint="eastAsia" w:ascii="宋体" w:hAnsi="宋体"/>
                <w:sz w:val="21"/>
                <w:szCs w:val="21"/>
              </w:rPr>
              <w:t>（7）投</w:t>
            </w:r>
            <w:r>
              <w:rPr>
                <w:rFonts w:ascii="宋体" w:hAnsi="宋体"/>
                <w:sz w:val="21"/>
                <w:szCs w:val="21"/>
              </w:rPr>
              <w:t>标人</w:t>
            </w:r>
            <w:r>
              <w:rPr>
                <w:rFonts w:hint="eastAsia" w:ascii="宋体" w:hAnsi="宋体"/>
                <w:sz w:val="21"/>
                <w:szCs w:val="21"/>
              </w:rPr>
              <w:t>未提出</w:t>
            </w:r>
            <w:r>
              <w:rPr>
                <w:rFonts w:ascii="宋体" w:hAnsi="宋体"/>
                <w:sz w:val="21"/>
                <w:szCs w:val="21"/>
              </w:rPr>
              <w:t>分包计划。</w:t>
            </w:r>
          </w:p>
          <w:p w14:paraId="2DD6A83F">
            <w:pPr>
              <w:pageBreakBefore w:val="0"/>
              <w:kinsoku/>
              <w:wordWrap/>
              <w:overflowPunct/>
              <w:topLinePunct w:val="0"/>
              <w:bidi w:val="0"/>
              <w:spacing w:line="360" w:lineRule="exact"/>
              <w:ind w:firstLine="210" w:firstLineChars="100"/>
              <w:textAlignment w:val="auto"/>
              <w:rPr>
                <w:rFonts w:ascii="宋体" w:hAnsi="宋体"/>
                <w:sz w:val="21"/>
                <w:szCs w:val="21"/>
              </w:rPr>
            </w:pPr>
            <w:r>
              <w:rPr>
                <w:rFonts w:hint="eastAsia" w:ascii="宋体" w:hAnsi="宋体"/>
                <w:sz w:val="21"/>
                <w:szCs w:val="21"/>
              </w:rPr>
              <w:t>（8）</w:t>
            </w:r>
            <w:r>
              <w:rPr>
                <w:rFonts w:ascii="宋体" w:hAnsi="宋体"/>
                <w:sz w:val="21"/>
                <w:szCs w:val="21"/>
              </w:rPr>
              <w:t>同一投标人未提交两个以上不同的投标文件，但招标文件要求提交备选投标的除外。</w:t>
            </w:r>
          </w:p>
          <w:p w14:paraId="1F014F82">
            <w:pPr>
              <w:pageBreakBefore w:val="0"/>
              <w:kinsoku/>
              <w:wordWrap/>
              <w:overflowPunct/>
              <w:topLinePunct w:val="0"/>
              <w:bidi w:val="0"/>
              <w:spacing w:line="360" w:lineRule="exact"/>
              <w:ind w:left="210" w:leftChars="100"/>
              <w:textAlignment w:val="auto"/>
              <w:rPr>
                <w:rFonts w:ascii="宋体" w:hAnsi="宋体"/>
                <w:sz w:val="21"/>
                <w:szCs w:val="21"/>
              </w:rPr>
            </w:pPr>
            <w:r>
              <w:rPr>
                <w:rFonts w:hint="eastAsia" w:ascii="宋体" w:hAnsi="宋体"/>
                <w:sz w:val="21"/>
                <w:szCs w:val="21"/>
              </w:rPr>
              <w:t>（9）投标文件中未出现有关投标报价的内容。</w:t>
            </w:r>
          </w:p>
          <w:p w14:paraId="1053E0CE">
            <w:pPr>
              <w:pageBreakBefore w:val="0"/>
              <w:kinsoku/>
              <w:wordWrap/>
              <w:overflowPunct/>
              <w:topLinePunct w:val="0"/>
              <w:bidi w:val="0"/>
              <w:spacing w:line="360" w:lineRule="exact"/>
              <w:ind w:left="210" w:leftChars="100"/>
              <w:textAlignment w:val="auto"/>
              <w:rPr>
                <w:rFonts w:ascii="宋体" w:hAnsi="宋体"/>
                <w:sz w:val="21"/>
                <w:szCs w:val="21"/>
              </w:rPr>
            </w:pPr>
            <w:r>
              <w:rPr>
                <w:rFonts w:hint="eastAsia" w:ascii="宋体" w:hAnsi="宋体"/>
                <w:sz w:val="21"/>
                <w:szCs w:val="21"/>
              </w:rPr>
              <w:t>（10）投标文件载明的招标项目完成期限未超过招标文件规定的时限。</w:t>
            </w:r>
          </w:p>
          <w:p w14:paraId="7CE4099C">
            <w:pPr>
              <w:pageBreakBefore w:val="0"/>
              <w:kinsoku/>
              <w:wordWrap/>
              <w:overflowPunct/>
              <w:topLinePunct w:val="0"/>
              <w:bidi w:val="0"/>
              <w:spacing w:line="360" w:lineRule="exact"/>
              <w:ind w:left="210" w:leftChars="100"/>
              <w:textAlignment w:val="auto"/>
              <w:rPr>
                <w:rFonts w:ascii="宋体" w:hAnsi="宋体"/>
                <w:sz w:val="21"/>
                <w:szCs w:val="21"/>
              </w:rPr>
            </w:pPr>
            <w:r>
              <w:rPr>
                <w:rFonts w:hint="eastAsia" w:ascii="宋体" w:hAnsi="宋体"/>
                <w:sz w:val="21"/>
                <w:szCs w:val="21"/>
              </w:rPr>
              <w:t>（11）投标文件对招标文件的实质性要求和条件作出响应。</w:t>
            </w:r>
          </w:p>
          <w:p w14:paraId="5351B083">
            <w:pPr>
              <w:pageBreakBefore w:val="0"/>
              <w:kinsoku/>
              <w:wordWrap/>
              <w:overflowPunct/>
              <w:topLinePunct w:val="0"/>
              <w:bidi w:val="0"/>
              <w:spacing w:line="360" w:lineRule="exact"/>
              <w:ind w:left="210" w:leftChars="100"/>
              <w:textAlignment w:val="auto"/>
              <w:rPr>
                <w:rFonts w:ascii="宋体" w:hAnsi="宋体"/>
                <w:sz w:val="21"/>
                <w:szCs w:val="21"/>
              </w:rPr>
            </w:pPr>
            <w:r>
              <w:rPr>
                <w:rFonts w:hint="eastAsia" w:ascii="宋体" w:hAnsi="宋体"/>
                <w:sz w:val="21"/>
                <w:szCs w:val="21"/>
              </w:rPr>
              <w:t>（12）权利义务符合招标文件规定：</w:t>
            </w:r>
          </w:p>
          <w:p w14:paraId="7FED81C1">
            <w:pPr>
              <w:pageBreakBefore w:val="0"/>
              <w:kinsoku/>
              <w:wordWrap/>
              <w:overflowPunct/>
              <w:topLinePunct w:val="0"/>
              <w:bidi w:val="0"/>
              <w:spacing w:line="360" w:lineRule="exact"/>
              <w:ind w:firstLine="420" w:firstLineChars="200"/>
              <w:textAlignment w:val="auto"/>
              <w:rPr>
                <w:rFonts w:ascii="宋体" w:hAnsi="宋体"/>
                <w:sz w:val="21"/>
                <w:szCs w:val="21"/>
              </w:rPr>
            </w:pPr>
            <w:r>
              <w:rPr>
                <w:rFonts w:hint="eastAsia" w:ascii="宋体" w:hAnsi="宋体"/>
                <w:sz w:val="21"/>
                <w:szCs w:val="21"/>
              </w:rPr>
              <w:t>a.投标人应接受招标文件规定的风险划分原则，未提出新的风险划分办法；</w:t>
            </w:r>
          </w:p>
          <w:p w14:paraId="5597C618">
            <w:pPr>
              <w:pageBreakBefore w:val="0"/>
              <w:kinsoku/>
              <w:wordWrap/>
              <w:overflowPunct/>
              <w:topLinePunct w:val="0"/>
              <w:bidi w:val="0"/>
              <w:spacing w:line="360" w:lineRule="exact"/>
              <w:ind w:firstLine="420" w:firstLineChars="200"/>
              <w:textAlignment w:val="auto"/>
              <w:rPr>
                <w:rFonts w:ascii="宋体" w:hAnsi="宋体"/>
                <w:sz w:val="21"/>
                <w:szCs w:val="21"/>
              </w:rPr>
            </w:pPr>
            <w:r>
              <w:rPr>
                <w:rFonts w:hint="eastAsia" w:ascii="宋体" w:hAnsi="宋体"/>
                <w:sz w:val="21"/>
                <w:szCs w:val="21"/>
              </w:rPr>
              <w:t>b.投标人未增加发包人的责任范围，或减少投标人义务；</w:t>
            </w:r>
          </w:p>
          <w:p w14:paraId="3A975FA9">
            <w:pPr>
              <w:pageBreakBefore w:val="0"/>
              <w:kinsoku/>
              <w:wordWrap/>
              <w:overflowPunct/>
              <w:topLinePunct w:val="0"/>
              <w:bidi w:val="0"/>
              <w:spacing w:line="360" w:lineRule="exact"/>
              <w:ind w:firstLine="420" w:firstLineChars="200"/>
              <w:textAlignment w:val="auto"/>
              <w:rPr>
                <w:rFonts w:ascii="宋体" w:hAnsi="宋体"/>
                <w:sz w:val="21"/>
                <w:szCs w:val="21"/>
              </w:rPr>
            </w:pPr>
            <w:r>
              <w:rPr>
                <w:rFonts w:hint="eastAsia" w:ascii="宋体" w:hAnsi="宋体"/>
                <w:sz w:val="21"/>
                <w:szCs w:val="21"/>
              </w:rPr>
              <w:t>c.投标人未提出不同的工程验收、计量、支付办法；</w:t>
            </w:r>
          </w:p>
          <w:p w14:paraId="5C3DA12C">
            <w:pPr>
              <w:pageBreakBefore w:val="0"/>
              <w:kinsoku/>
              <w:wordWrap/>
              <w:overflowPunct/>
              <w:topLinePunct w:val="0"/>
              <w:bidi w:val="0"/>
              <w:spacing w:line="360" w:lineRule="exact"/>
              <w:ind w:firstLine="420" w:firstLineChars="200"/>
              <w:textAlignment w:val="auto"/>
              <w:rPr>
                <w:rFonts w:ascii="宋体" w:hAnsi="宋体"/>
                <w:sz w:val="21"/>
                <w:szCs w:val="21"/>
              </w:rPr>
            </w:pPr>
            <w:r>
              <w:rPr>
                <w:rFonts w:hint="eastAsia" w:ascii="宋体" w:hAnsi="宋体"/>
                <w:sz w:val="21"/>
                <w:szCs w:val="21"/>
              </w:rPr>
              <w:t>d.投标人对合同纠纷、事故处理办法未提出异议；</w:t>
            </w:r>
          </w:p>
          <w:p w14:paraId="435CF977">
            <w:pPr>
              <w:pageBreakBefore w:val="0"/>
              <w:kinsoku/>
              <w:wordWrap/>
              <w:overflowPunct/>
              <w:topLinePunct w:val="0"/>
              <w:bidi w:val="0"/>
              <w:spacing w:line="360" w:lineRule="exact"/>
              <w:ind w:firstLine="420" w:firstLineChars="200"/>
              <w:textAlignment w:val="auto"/>
              <w:rPr>
                <w:rFonts w:ascii="宋体" w:hAnsi="宋体"/>
                <w:sz w:val="21"/>
                <w:szCs w:val="21"/>
              </w:rPr>
            </w:pPr>
            <w:r>
              <w:rPr>
                <w:rFonts w:hint="eastAsia" w:ascii="宋体" w:hAnsi="宋体"/>
                <w:sz w:val="21"/>
                <w:szCs w:val="21"/>
              </w:rPr>
              <w:t>e.投标人在投标活动中无欺诈行为；</w:t>
            </w:r>
          </w:p>
          <w:p w14:paraId="60DB13F5">
            <w:pPr>
              <w:pageBreakBefore w:val="0"/>
              <w:kinsoku/>
              <w:wordWrap/>
              <w:overflowPunct/>
              <w:topLinePunct w:val="0"/>
              <w:bidi w:val="0"/>
              <w:spacing w:line="360" w:lineRule="exact"/>
              <w:ind w:firstLine="420" w:firstLineChars="200"/>
              <w:textAlignment w:val="auto"/>
              <w:rPr>
                <w:rFonts w:ascii="宋体" w:hAnsi="宋体"/>
                <w:sz w:val="21"/>
                <w:szCs w:val="21"/>
              </w:rPr>
            </w:pPr>
            <w:r>
              <w:rPr>
                <w:rFonts w:hint="eastAsia" w:ascii="宋体" w:hAnsi="宋体"/>
                <w:sz w:val="21"/>
                <w:szCs w:val="21"/>
              </w:rPr>
              <w:t>f.投标人未对合同条款有重要保留。</w:t>
            </w:r>
          </w:p>
        </w:tc>
      </w:tr>
      <w:tr w14:paraId="319FC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67" w:hRule="atLeast"/>
          <w:jc w:val="center"/>
        </w:trPr>
        <w:tc>
          <w:tcPr>
            <w:tcW w:w="856" w:type="dxa"/>
            <w:tcBorders>
              <w:top w:val="single" w:color="auto" w:sz="4" w:space="0"/>
            </w:tcBorders>
            <w:shd w:val="clear" w:color="auto" w:fill="auto"/>
            <w:vAlign w:val="center"/>
          </w:tcPr>
          <w:p w14:paraId="51D03A83">
            <w:pPr>
              <w:pageBreakBefore w:val="0"/>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 w:val="21"/>
                <w:szCs w:val="21"/>
              </w:rPr>
            </w:pPr>
            <w:r>
              <w:rPr>
                <w:rFonts w:ascii="宋体" w:hAnsi="宋体"/>
                <w:sz w:val="21"/>
                <w:szCs w:val="21"/>
              </w:rPr>
              <w:t>2.1.1</w:t>
            </w:r>
          </w:p>
          <w:p w14:paraId="3C61A45C">
            <w:pPr>
              <w:pageBreakBefore w:val="0"/>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 w:val="21"/>
                <w:szCs w:val="21"/>
              </w:rPr>
            </w:pPr>
            <w:r>
              <w:rPr>
                <w:rFonts w:ascii="宋体" w:hAnsi="宋体"/>
                <w:sz w:val="21"/>
                <w:szCs w:val="21"/>
              </w:rPr>
              <w:t>2.1.3</w:t>
            </w:r>
          </w:p>
        </w:tc>
        <w:tc>
          <w:tcPr>
            <w:tcW w:w="1389" w:type="dxa"/>
            <w:tcBorders>
              <w:top w:val="single" w:color="auto" w:sz="4" w:space="0"/>
            </w:tcBorders>
            <w:shd w:val="clear" w:color="auto" w:fill="auto"/>
            <w:vAlign w:val="center"/>
          </w:tcPr>
          <w:p w14:paraId="08EB1F10">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形式评审与</w:t>
            </w:r>
          </w:p>
          <w:p w14:paraId="3F1360C9">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响应性评审</w:t>
            </w:r>
          </w:p>
          <w:p w14:paraId="6574CCCB">
            <w:pPr>
              <w:pageBreakBefore w:val="0"/>
              <w:kinsoku/>
              <w:wordWrap/>
              <w:overflowPunct/>
              <w:topLinePunct w:val="0"/>
              <w:bidi w:val="0"/>
              <w:adjustRightInd w:val="0"/>
              <w:snapToGrid w:val="0"/>
              <w:spacing w:line="360" w:lineRule="exact"/>
              <w:ind w:firstLine="420" w:firstLineChars="200"/>
              <w:textAlignment w:val="auto"/>
              <w:rPr>
                <w:rFonts w:ascii="宋体" w:hAnsi="宋体"/>
                <w:sz w:val="21"/>
                <w:szCs w:val="21"/>
              </w:rPr>
            </w:pPr>
            <w:r>
              <w:rPr>
                <w:rFonts w:hint="eastAsia" w:ascii="宋体" w:hAnsi="宋体"/>
                <w:sz w:val="21"/>
                <w:szCs w:val="21"/>
              </w:rPr>
              <w:t>标准</w:t>
            </w:r>
          </w:p>
        </w:tc>
        <w:tc>
          <w:tcPr>
            <w:tcW w:w="7383" w:type="dxa"/>
            <w:tcBorders>
              <w:top w:val="single" w:color="auto" w:sz="4" w:space="0"/>
            </w:tcBorders>
            <w:shd w:val="clear" w:color="auto" w:fill="auto"/>
          </w:tcPr>
          <w:p w14:paraId="4CE1766A">
            <w:pPr>
              <w:pageBreakBefore w:val="0"/>
              <w:kinsoku/>
              <w:wordWrap/>
              <w:overflowPunct/>
              <w:topLinePunct w:val="0"/>
              <w:bidi w:val="0"/>
              <w:adjustRightInd w:val="0"/>
              <w:snapToGrid w:val="0"/>
              <w:spacing w:line="360" w:lineRule="exact"/>
              <w:ind w:firstLine="211" w:firstLineChars="100"/>
              <w:textAlignment w:val="auto"/>
              <w:rPr>
                <w:rFonts w:ascii="宋体" w:hAnsi="宋体"/>
                <w:b/>
                <w:sz w:val="21"/>
                <w:szCs w:val="21"/>
              </w:rPr>
            </w:pPr>
            <w:r>
              <w:rPr>
                <w:rFonts w:hint="eastAsia" w:ascii="宋体" w:hAnsi="宋体"/>
                <w:b/>
                <w:sz w:val="21"/>
                <w:szCs w:val="21"/>
              </w:rPr>
              <w:t>第二个信封（报价文件）评审标准：</w:t>
            </w:r>
          </w:p>
          <w:p w14:paraId="0088A537">
            <w:pPr>
              <w:pageBreakBefore w:val="0"/>
              <w:numPr>
                <w:ilvl w:val="0"/>
                <w:numId w:val="2"/>
              </w:numPr>
              <w:kinsoku/>
              <w:wordWrap/>
              <w:overflowPunct/>
              <w:topLinePunct w:val="0"/>
              <w:bidi w:val="0"/>
              <w:adjustRightInd w:val="0"/>
              <w:snapToGrid w:val="0"/>
              <w:spacing w:line="360" w:lineRule="exact"/>
              <w:ind w:left="0" w:firstLine="210" w:firstLineChars="100"/>
              <w:textAlignment w:val="auto"/>
              <w:rPr>
                <w:rFonts w:ascii="宋体" w:hAnsi="宋体"/>
                <w:sz w:val="21"/>
                <w:szCs w:val="21"/>
              </w:rPr>
            </w:pPr>
            <w:r>
              <w:rPr>
                <w:rFonts w:hint="eastAsia" w:ascii="宋体" w:hAnsi="宋体"/>
                <w:sz w:val="21"/>
                <w:szCs w:val="21"/>
              </w:rPr>
              <w:t>投标文件按照招标文件规定的格式、内容填写，字迹清晰可辨：</w:t>
            </w:r>
          </w:p>
          <w:p w14:paraId="1536E741">
            <w:pPr>
              <w:pageBreakBefore w:val="0"/>
              <w:numPr>
                <w:ilvl w:val="0"/>
                <w:numId w:val="3"/>
              </w:numPr>
              <w:kinsoku/>
              <w:wordWrap/>
              <w:overflowPunct/>
              <w:topLinePunct w:val="0"/>
              <w:bidi w:val="0"/>
              <w:adjustRightInd w:val="0"/>
              <w:snapToGrid w:val="0"/>
              <w:spacing w:line="360" w:lineRule="exact"/>
              <w:ind w:firstLine="420" w:firstLineChars="200"/>
              <w:textAlignment w:val="auto"/>
              <w:rPr>
                <w:rFonts w:ascii="宋体" w:hAnsi="宋体"/>
                <w:sz w:val="21"/>
                <w:szCs w:val="21"/>
              </w:rPr>
            </w:pPr>
            <w:r>
              <w:rPr>
                <w:rFonts w:hint="eastAsia" w:ascii="宋体" w:hAnsi="宋体"/>
                <w:sz w:val="21"/>
                <w:szCs w:val="21"/>
              </w:rPr>
              <w:t>投标函按招标文件规定填报了项目名称、标段号、补遗书编号（如有）、投标价（包括大写金额和小写金额）；</w:t>
            </w:r>
          </w:p>
          <w:p w14:paraId="76526BE6">
            <w:pPr>
              <w:pageBreakBefore w:val="0"/>
              <w:numPr>
                <w:ilvl w:val="0"/>
                <w:numId w:val="3"/>
              </w:numPr>
              <w:kinsoku/>
              <w:wordWrap/>
              <w:overflowPunct/>
              <w:topLinePunct w:val="0"/>
              <w:bidi w:val="0"/>
              <w:adjustRightInd w:val="0"/>
              <w:snapToGrid w:val="0"/>
              <w:spacing w:line="360" w:lineRule="exact"/>
              <w:ind w:firstLine="420" w:firstLineChars="200"/>
              <w:textAlignment w:val="auto"/>
              <w:rPr>
                <w:rFonts w:ascii="宋体" w:hAnsi="宋体"/>
                <w:sz w:val="21"/>
                <w:szCs w:val="21"/>
              </w:rPr>
            </w:pPr>
            <w:r>
              <w:rPr>
                <w:rFonts w:ascii="宋体" w:hAnsi="宋体"/>
                <w:sz w:val="21"/>
                <w:szCs w:val="21"/>
              </w:rPr>
              <w:t>已标价工程量清单说明文字与招标文件规定一致，未进行实质性修改和删减；</w:t>
            </w:r>
          </w:p>
          <w:p w14:paraId="5302403D">
            <w:pPr>
              <w:pageBreakBefore w:val="0"/>
              <w:numPr>
                <w:ilvl w:val="0"/>
                <w:numId w:val="3"/>
              </w:numPr>
              <w:kinsoku/>
              <w:wordWrap/>
              <w:overflowPunct/>
              <w:topLinePunct w:val="0"/>
              <w:bidi w:val="0"/>
              <w:adjustRightInd w:val="0"/>
              <w:snapToGrid w:val="0"/>
              <w:spacing w:line="360" w:lineRule="exact"/>
              <w:ind w:firstLine="420" w:firstLineChars="200"/>
              <w:textAlignment w:val="auto"/>
              <w:rPr>
                <w:rFonts w:ascii="宋体" w:hAnsi="宋体"/>
                <w:sz w:val="21"/>
                <w:szCs w:val="21"/>
              </w:rPr>
            </w:pPr>
            <w:r>
              <w:rPr>
                <w:rFonts w:hint="eastAsia" w:ascii="宋体" w:hAnsi="宋体"/>
                <w:sz w:val="21"/>
                <w:szCs w:val="21"/>
              </w:rPr>
              <w:t>投标文件组成齐全完整，内容均按规定填写。</w:t>
            </w:r>
          </w:p>
          <w:p w14:paraId="18675920">
            <w:pPr>
              <w:pageBreakBefore w:val="0"/>
              <w:numPr>
                <w:ilvl w:val="0"/>
                <w:numId w:val="2"/>
              </w:numPr>
              <w:kinsoku/>
              <w:wordWrap/>
              <w:overflowPunct/>
              <w:topLinePunct w:val="0"/>
              <w:bidi w:val="0"/>
              <w:adjustRightInd w:val="0"/>
              <w:snapToGrid w:val="0"/>
              <w:spacing w:line="360" w:lineRule="exact"/>
              <w:ind w:left="0" w:firstLine="210" w:firstLineChars="100"/>
              <w:textAlignment w:val="auto"/>
              <w:rPr>
                <w:rFonts w:ascii="宋体" w:hAnsi="宋体"/>
                <w:sz w:val="21"/>
                <w:szCs w:val="21"/>
              </w:rPr>
            </w:pPr>
            <w:r>
              <w:rPr>
                <w:rFonts w:hint="eastAsia" w:ascii="宋体" w:hAnsi="宋体"/>
                <w:sz w:val="21"/>
                <w:szCs w:val="21"/>
              </w:rPr>
              <w:t>投标文件上法定代表人或其委托代理人的签字、投标人的单位章盖章齐全，符合招标文件规定。</w:t>
            </w:r>
          </w:p>
          <w:p w14:paraId="4FD2E8DB">
            <w:pPr>
              <w:pageBreakBefore w:val="0"/>
              <w:numPr>
                <w:ilvl w:val="0"/>
                <w:numId w:val="2"/>
              </w:numPr>
              <w:kinsoku/>
              <w:wordWrap/>
              <w:overflowPunct/>
              <w:topLinePunct w:val="0"/>
              <w:bidi w:val="0"/>
              <w:adjustRightInd w:val="0"/>
              <w:snapToGrid w:val="0"/>
              <w:spacing w:line="360" w:lineRule="exact"/>
              <w:ind w:left="0" w:firstLine="210" w:firstLineChars="100"/>
              <w:textAlignment w:val="auto"/>
              <w:rPr>
                <w:rFonts w:ascii="宋体" w:hAnsi="宋体"/>
                <w:sz w:val="21"/>
                <w:szCs w:val="21"/>
              </w:rPr>
            </w:pPr>
            <w:r>
              <w:rPr>
                <w:rFonts w:hint="eastAsia" w:ascii="宋体" w:hAnsi="宋体"/>
                <w:sz w:val="21"/>
                <w:szCs w:val="21"/>
              </w:rPr>
              <w:t>投标报价未超过招标文件设定的最高投标限价。</w:t>
            </w:r>
          </w:p>
          <w:p w14:paraId="693BF74B">
            <w:pPr>
              <w:pageBreakBefore w:val="0"/>
              <w:numPr>
                <w:ilvl w:val="0"/>
                <w:numId w:val="2"/>
              </w:numPr>
              <w:kinsoku/>
              <w:wordWrap/>
              <w:overflowPunct/>
              <w:topLinePunct w:val="0"/>
              <w:bidi w:val="0"/>
              <w:adjustRightInd w:val="0"/>
              <w:snapToGrid w:val="0"/>
              <w:spacing w:line="360" w:lineRule="exact"/>
              <w:ind w:left="0" w:firstLine="210" w:firstLineChars="100"/>
              <w:textAlignment w:val="auto"/>
              <w:rPr>
                <w:rFonts w:ascii="宋体" w:hAnsi="宋体"/>
                <w:sz w:val="21"/>
                <w:szCs w:val="21"/>
              </w:rPr>
            </w:pPr>
            <w:r>
              <w:rPr>
                <w:rFonts w:hint="eastAsia" w:ascii="宋体" w:hAnsi="宋体"/>
                <w:sz w:val="21"/>
                <w:szCs w:val="21"/>
              </w:rPr>
              <w:t>投标报价的大写金额能够确定具体数值。</w:t>
            </w:r>
          </w:p>
          <w:p w14:paraId="3C8ADB01">
            <w:pPr>
              <w:pageBreakBefore w:val="0"/>
              <w:numPr>
                <w:ilvl w:val="0"/>
                <w:numId w:val="2"/>
              </w:numPr>
              <w:kinsoku/>
              <w:wordWrap/>
              <w:overflowPunct/>
              <w:topLinePunct w:val="0"/>
              <w:bidi w:val="0"/>
              <w:adjustRightInd w:val="0"/>
              <w:snapToGrid w:val="0"/>
              <w:spacing w:line="360" w:lineRule="exact"/>
              <w:ind w:left="0" w:firstLine="210" w:firstLineChars="100"/>
              <w:textAlignment w:val="auto"/>
              <w:rPr>
                <w:rFonts w:ascii="宋体" w:hAnsi="宋体"/>
                <w:b/>
                <w:sz w:val="21"/>
                <w:szCs w:val="21"/>
              </w:rPr>
            </w:pPr>
            <w:r>
              <w:rPr>
                <w:rFonts w:hint="eastAsia" w:ascii="宋体" w:hAnsi="宋体"/>
                <w:sz w:val="21"/>
                <w:szCs w:val="21"/>
              </w:rPr>
              <w:t>同一投标人未提交两个以上不同的投标报价。</w:t>
            </w:r>
          </w:p>
          <w:p w14:paraId="36007846">
            <w:pPr>
              <w:pageBreakBefore w:val="0"/>
              <w:numPr>
                <w:ilvl w:val="0"/>
                <w:numId w:val="2"/>
              </w:numPr>
              <w:kinsoku/>
              <w:wordWrap/>
              <w:overflowPunct/>
              <w:topLinePunct w:val="0"/>
              <w:bidi w:val="0"/>
              <w:adjustRightInd w:val="0"/>
              <w:snapToGrid w:val="0"/>
              <w:spacing w:line="360" w:lineRule="exact"/>
              <w:ind w:left="0" w:firstLine="210" w:firstLineChars="100"/>
              <w:textAlignment w:val="auto"/>
              <w:rPr>
                <w:rFonts w:ascii="宋体" w:hAnsi="宋体"/>
                <w:b/>
                <w:sz w:val="21"/>
                <w:szCs w:val="21"/>
              </w:rPr>
            </w:pPr>
            <w:r>
              <w:rPr>
                <w:rFonts w:ascii="宋体" w:hAnsi="宋体"/>
                <w:sz w:val="21"/>
                <w:szCs w:val="21"/>
              </w:rPr>
              <w:t>投标人</w:t>
            </w:r>
            <w:r>
              <w:rPr>
                <w:rFonts w:hint="eastAsia" w:ascii="宋体" w:hAnsi="宋体"/>
                <w:sz w:val="21"/>
                <w:szCs w:val="21"/>
              </w:rPr>
              <w:t>未</w:t>
            </w:r>
            <w:r>
              <w:rPr>
                <w:rFonts w:ascii="宋体" w:hAnsi="宋体"/>
                <w:sz w:val="21"/>
                <w:szCs w:val="21"/>
              </w:rPr>
              <w:t>提交调价函</w:t>
            </w:r>
            <w:r>
              <w:rPr>
                <w:rFonts w:hint="eastAsia" w:ascii="宋体" w:hAnsi="宋体"/>
                <w:sz w:val="21"/>
                <w:szCs w:val="21"/>
              </w:rPr>
              <w:t>。</w:t>
            </w:r>
          </w:p>
          <w:p w14:paraId="4B12F723">
            <w:pPr>
              <w:pageBreakBefore w:val="0"/>
              <w:numPr>
                <w:ilvl w:val="0"/>
                <w:numId w:val="2"/>
              </w:numPr>
              <w:kinsoku/>
              <w:wordWrap/>
              <w:overflowPunct/>
              <w:topLinePunct w:val="0"/>
              <w:bidi w:val="0"/>
              <w:adjustRightInd w:val="0"/>
              <w:snapToGrid w:val="0"/>
              <w:spacing w:line="360" w:lineRule="exact"/>
              <w:ind w:left="0" w:firstLine="210" w:firstLineChars="100"/>
              <w:textAlignment w:val="auto"/>
              <w:rPr>
                <w:rFonts w:ascii="宋体" w:hAnsi="宋体"/>
                <w:b/>
                <w:sz w:val="21"/>
                <w:szCs w:val="21"/>
              </w:rPr>
            </w:pPr>
            <w:r>
              <w:rPr>
                <w:rFonts w:hint="eastAsia" w:ascii="宋体" w:hAnsi="宋体"/>
                <w:sz w:val="21"/>
                <w:szCs w:val="21"/>
              </w:rPr>
              <w:t>投标人填写工程量固化清单，填写完毕的工程量固化清单未对工程量固化清单电子文件中的数据、格式和运算定义进行修改；工程量固化清单中的投标报价和投标函大写金额报价一致。</w:t>
            </w:r>
          </w:p>
        </w:tc>
      </w:tr>
      <w:tr w14:paraId="7FDE3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86" w:hRule="atLeast"/>
          <w:jc w:val="center"/>
        </w:trPr>
        <w:tc>
          <w:tcPr>
            <w:tcW w:w="856" w:type="dxa"/>
            <w:tcBorders>
              <w:bottom w:val="single" w:color="auto" w:sz="4" w:space="0"/>
            </w:tcBorders>
            <w:shd w:val="clear" w:color="auto" w:fill="auto"/>
            <w:vAlign w:val="center"/>
          </w:tcPr>
          <w:p w14:paraId="5AB4C991">
            <w:pPr>
              <w:pageBreakBefore w:val="0"/>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 w:val="21"/>
                <w:szCs w:val="21"/>
              </w:rPr>
            </w:pPr>
            <w:r>
              <w:rPr>
                <w:rFonts w:ascii="宋体" w:hAnsi="宋体"/>
                <w:sz w:val="21"/>
                <w:szCs w:val="21"/>
              </w:rPr>
              <w:t>2.1.2</w:t>
            </w:r>
          </w:p>
        </w:tc>
        <w:tc>
          <w:tcPr>
            <w:tcW w:w="1389" w:type="dxa"/>
            <w:tcBorders>
              <w:bottom w:val="single" w:color="auto" w:sz="4" w:space="0"/>
            </w:tcBorders>
            <w:shd w:val="clear" w:color="auto" w:fill="auto"/>
            <w:vAlign w:val="center"/>
          </w:tcPr>
          <w:p w14:paraId="64A5B53D">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资格评审</w:t>
            </w:r>
          </w:p>
          <w:p w14:paraId="4426BEC6">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标准</w:t>
            </w:r>
          </w:p>
        </w:tc>
        <w:tc>
          <w:tcPr>
            <w:tcW w:w="7383" w:type="dxa"/>
            <w:tcBorders>
              <w:bottom w:val="single" w:color="auto" w:sz="4" w:space="0"/>
            </w:tcBorders>
            <w:shd w:val="clear" w:color="auto" w:fill="auto"/>
          </w:tcPr>
          <w:p w14:paraId="1D719510">
            <w:pPr>
              <w:pageBreakBefore w:val="0"/>
              <w:numPr>
                <w:ilvl w:val="0"/>
                <w:numId w:val="4"/>
              </w:numPr>
              <w:kinsoku/>
              <w:wordWrap/>
              <w:overflowPunct/>
              <w:topLinePunct w:val="0"/>
              <w:bidi w:val="0"/>
              <w:adjustRightInd w:val="0"/>
              <w:snapToGrid w:val="0"/>
              <w:spacing w:line="360" w:lineRule="exact"/>
              <w:ind w:left="0" w:firstLine="210" w:firstLineChars="100"/>
              <w:textAlignment w:val="auto"/>
              <w:rPr>
                <w:rFonts w:ascii="宋体" w:hAnsi="宋体"/>
                <w:sz w:val="21"/>
                <w:szCs w:val="21"/>
              </w:rPr>
            </w:pPr>
            <w:r>
              <w:rPr>
                <w:rFonts w:ascii="宋体" w:hAnsi="宋体" w:cs="PMingLiU"/>
                <w:sz w:val="21"/>
                <w:szCs w:val="21"/>
              </w:rPr>
              <w:t>投标人具备有效的营业执照、组织机构代码证</w:t>
            </w:r>
            <w:r>
              <w:rPr>
                <w:rFonts w:hint="eastAsia" w:ascii="宋体" w:hAnsi="宋体" w:cs="PMingLiU"/>
                <w:sz w:val="21"/>
                <w:szCs w:val="21"/>
              </w:rPr>
              <w:t>（如有）</w:t>
            </w:r>
            <w:r>
              <w:rPr>
                <w:rFonts w:ascii="宋体" w:hAnsi="宋体" w:cs="PMingLiU"/>
                <w:sz w:val="21"/>
                <w:szCs w:val="21"/>
              </w:rPr>
              <w:t>、资质证书、安全生产许可证和基本账户开户</w:t>
            </w:r>
            <w:r>
              <w:rPr>
                <w:rFonts w:hint="eastAsia" w:ascii="宋体" w:hAnsi="宋体" w:cs="PMingLiU"/>
                <w:sz w:val="21"/>
                <w:szCs w:val="21"/>
              </w:rPr>
              <w:t>证明材料</w:t>
            </w:r>
            <w:r>
              <w:rPr>
                <w:rFonts w:ascii="宋体" w:hAnsi="宋体" w:cs="PMingLiU"/>
                <w:sz w:val="21"/>
                <w:szCs w:val="21"/>
              </w:rPr>
              <w:t>；</w:t>
            </w:r>
          </w:p>
          <w:p w14:paraId="29704634">
            <w:pPr>
              <w:pageBreakBefore w:val="0"/>
              <w:numPr>
                <w:ilvl w:val="0"/>
                <w:numId w:val="4"/>
              </w:numPr>
              <w:kinsoku/>
              <w:wordWrap/>
              <w:overflowPunct/>
              <w:topLinePunct w:val="0"/>
              <w:bidi w:val="0"/>
              <w:adjustRightInd w:val="0"/>
              <w:snapToGrid w:val="0"/>
              <w:spacing w:line="360" w:lineRule="exact"/>
              <w:ind w:left="0" w:firstLine="210" w:firstLineChars="100"/>
              <w:textAlignment w:val="auto"/>
              <w:rPr>
                <w:rFonts w:ascii="宋体" w:hAnsi="宋体"/>
                <w:sz w:val="21"/>
                <w:szCs w:val="21"/>
              </w:rPr>
            </w:pPr>
            <w:r>
              <w:rPr>
                <w:rFonts w:hint="eastAsia" w:ascii="宋体" w:hAnsi="宋体"/>
                <w:sz w:val="21"/>
                <w:szCs w:val="21"/>
              </w:rPr>
              <w:t>投标人的资质等级符合招标文件规定。</w:t>
            </w:r>
          </w:p>
          <w:p w14:paraId="534205FE">
            <w:pPr>
              <w:pageBreakBefore w:val="0"/>
              <w:numPr>
                <w:ilvl w:val="0"/>
                <w:numId w:val="4"/>
              </w:numPr>
              <w:kinsoku/>
              <w:wordWrap/>
              <w:overflowPunct/>
              <w:topLinePunct w:val="0"/>
              <w:bidi w:val="0"/>
              <w:adjustRightInd w:val="0"/>
              <w:snapToGrid w:val="0"/>
              <w:spacing w:line="360" w:lineRule="exact"/>
              <w:ind w:left="0" w:firstLine="210" w:firstLineChars="100"/>
              <w:textAlignment w:val="auto"/>
              <w:rPr>
                <w:rFonts w:ascii="宋体" w:hAnsi="宋体"/>
                <w:sz w:val="21"/>
                <w:szCs w:val="21"/>
              </w:rPr>
            </w:pPr>
            <w:r>
              <w:rPr>
                <w:rFonts w:hint="eastAsia" w:ascii="宋体" w:hAnsi="宋体"/>
                <w:sz w:val="21"/>
                <w:szCs w:val="21"/>
              </w:rPr>
              <w:t>投标人的财务状况符合招标文件规定。</w:t>
            </w:r>
          </w:p>
          <w:p w14:paraId="26ECB798">
            <w:pPr>
              <w:pageBreakBefore w:val="0"/>
              <w:numPr>
                <w:ilvl w:val="0"/>
                <w:numId w:val="4"/>
              </w:numPr>
              <w:kinsoku/>
              <w:wordWrap/>
              <w:overflowPunct/>
              <w:topLinePunct w:val="0"/>
              <w:bidi w:val="0"/>
              <w:adjustRightInd w:val="0"/>
              <w:snapToGrid w:val="0"/>
              <w:spacing w:line="360" w:lineRule="exact"/>
              <w:ind w:left="0" w:firstLine="210" w:firstLineChars="100"/>
              <w:textAlignment w:val="auto"/>
              <w:rPr>
                <w:rFonts w:ascii="宋体" w:hAnsi="宋体"/>
                <w:sz w:val="21"/>
                <w:szCs w:val="21"/>
              </w:rPr>
            </w:pPr>
            <w:r>
              <w:rPr>
                <w:rFonts w:ascii="宋体" w:hAnsi="宋体"/>
                <w:sz w:val="21"/>
                <w:szCs w:val="21"/>
              </w:rPr>
              <w:t>投标人的类似项目业绩符合招标文件规定。</w:t>
            </w:r>
          </w:p>
          <w:p w14:paraId="624BFF49">
            <w:pPr>
              <w:pageBreakBefore w:val="0"/>
              <w:numPr>
                <w:ilvl w:val="0"/>
                <w:numId w:val="4"/>
              </w:numPr>
              <w:kinsoku/>
              <w:wordWrap/>
              <w:overflowPunct/>
              <w:topLinePunct w:val="0"/>
              <w:bidi w:val="0"/>
              <w:adjustRightInd w:val="0"/>
              <w:snapToGrid w:val="0"/>
              <w:spacing w:line="360" w:lineRule="exact"/>
              <w:ind w:left="0" w:firstLine="210" w:firstLineChars="100"/>
              <w:textAlignment w:val="auto"/>
              <w:rPr>
                <w:rFonts w:ascii="宋体" w:hAnsi="宋体"/>
                <w:sz w:val="21"/>
                <w:szCs w:val="21"/>
              </w:rPr>
            </w:pPr>
            <w:r>
              <w:rPr>
                <w:rFonts w:hint="eastAsia" w:ascii="宋体" w:hAnsi="宋体"/>
                <w:sz w:val="21"/>
                <w:szCs w:val="21"/>
              </w:rPr>
              <w:t>投标人的信誉符合招标文件规定。</w:t>
            </w:r>
          </w:p>
          <w:p w14:paraId="188D6EC9">
            <w:pPr>
              <w:pageBreakBefore w:val="0"/>
              <w:numPr>
                <w:ilvl w:val="0"/>
                <w:numId w:val="4"/>
              </w:numPr>
              <w:kinsoku/>
              <w:wordWrap/>
              <w:overflowPunct/>
              <w:topLinePunct w:val="0"/>
              <w:bidi w:val="0"/>
              <w:adjustRightInd w:val="0"/>
              <w:snapToGrid w:val="0"/>
              <w:spacing w:line="360" w:lineRule="exact"/>
              <w:ind w:left="0" w:firstLine="210" w:firstLineChars="100"/>
              <w:textAlignment w:val="auto"/>
              <w:rPr>
                <w:rFonts w:ascii="宋体" w:hAnsi="宋体"/>
                <w:sz w:val="21"/>
                <w:szCs w:val="21"/>
              </w:rPr>
            </w:pPr>
            <w:r>
              <w:rPr>
                <w:rFonts w:hint="eastAsia" w:ascii="宋体" w:hAnsi="宋体"/>
                <w:sz w:val="21"/>
                <w:szCs w:val="21"/>
              </w:rPr>
              <w:t>投标人的项目经理和项目总工资格、在岗情况符合招标文件规定。</w:t>
            </w:r>
          </w:p>
          <w:p w14:paraId="04DFD1A4">
            <w:pPr>
              <w:pageBreakBefore w:val="0"/>
              <w:numPr>
                <w:ilvl w:val="0"/>
                <w:numId w:val="4"/>
              </w:numPr>
              <w:kinsoku/>
              <w:wordWrap/>
              <w:overflowPunct/>
              <w:topLinePunct w:val="0"/>
              <w:bidi w:val="0"/>
              <w:adjustRightInd w:val="0"/>
              <w:snapToGrid w:val="0"/>
              <w:spacing w:line="360" w:lineRule="exact"/>
              <w:ind w:left="0" w:firstLine="210" w:firstLineChars="100"/>
              <w:textAlignment w:val="auto"/>
              <w:rPr>
                <w:rFonts w:ascii="宋体" w:hAnsi="宋体"/>
                <w:sz w:val="21"/>
                <w:szCs w:val="21"/>
              </w:rPr>
            </w:pPr>
            <w:r>
              <w:rPr>
                <w:rFonts w:hint="eastAsia" w:ascii="宋体" w:hAnsi="宋体"/>
                <w:sz w:val="21"/>
                <w:szCs w:val="21"/>
              </w:rPr>
              <w:t>投标人不存在第二章“投标人须知”第1.4.3项或第1.4.4项规定的任何一种情形。</w:t>
            </w:r>
          </w:p>
          <w:p w14:paraId="197A3209">
            <w:pPr>
              <w:pageBreakBefore w:val="0"/>
              <w:kinsoku/>
              <w:wordWrap/>
              <w:overflowPunct/>
              <w:topLinePunct w:val="0"/>
              <w:bidi w:val="0"/>
              <w:adjustRightInd w:val="0"/>
              <w:snapToGrid w:val="0"/>
              <w:spacing w:line="360" w:lineRule="exact"/>
              <w:ind w:left="210" w:leftChars="100"/>
              <w:textAlignment w:val="auto"/>
              <w:rPr>
                <w:rFonts w:ascii="宋体" w:hAnsi="宋体"/>
                <w:sz w:val="21"/>
                <w:szCs w:val="21"/>
              </w:rPr>
            </w:pPr>
            <w:r>
              <w:rPr>
                <w:rFonts w:hint="eastAsia" w:ascii="宋体" w:hAnsi="宋体"/>
                <w:sz w:val="21"/>
                <w:szCs w:val="21"/>
              </w:rPr>
              <w:t>（8）</w:t>
            </w:r>
            <w:r>
              <w:rPr>
                <w:rStyle w:val="19"/>
                <w:rFonts w:hint="eastAsia" w:ascii="宋体" w:hAnsi="宋体" w:eastAsia="宋体"/>
                <w:color w:val="auto"/>
                <w:sz w:val="21"/>
                <w:szCs w:val="21"/>
              </w:rPr>
              <w:t>以联合体形式参与投标的，联合体各方均未再以自己名义单独或参加其他联合体在同一标段中投标。</w:t>
            </w:r>
          </w:p>
        </w:tc>
      </w:tr>
      <w:tr w14:paraId="40C6F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0A3A96D2">
            <w:pPr>
              <w:pageBreakBefore w:val="0"/>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 w:val="21"/>
                <w:szCs w:val="21"/>
              </w:rPr>
            </w:pPr>
            <w:r>
              <w:rPr>
                <w:rFonts w:ascii="宋体" w:hAnsi="宋体"/>
                <w:sz w:val="21"/>
                <w:szCs w:val="21"/>
              </w:rPr>
              <w:t>2.2.1</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04B8BA8D">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第一个信封</w:t>
            </w:r>
          </w:p>
          <w:p w14:paraId="3DD978E8">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评分分值构成（总分</w:t>
            </w:r>
            <w:r>
              <w:rPr>
                <w:rFonts w:ascii="宋体" w:hAnsi="宋体"/>
                <w:sz w:val="21"/>
                <w:szCs w:val="21"/>
              </w:rPr>
              <w:t>100</w:t>
            </w:r>
            <w:r>
              <w:rPr>
                <w:rFonts w:hint="eastAsia" w:ascii="宋体" w:hAnsi="宋体"/>
                <w:sz w:val="21"/>
                <w:szCs w:val="21"/>
              </w:rPr>
              <w:t>分）</w:t>
            </w:r>
          </w:p>
        </w:tc>
        <w:tc>
          <w:tcPr>
            <w:tcW w:w="7383" w:type="dxa"/>
            <w:tcBorders>
              <w:top w:val="single" w:color="000000" w:sz="4" w:space="0"/>
              <w:left w:val="single" w:color="000000" w:sz="4" w:space="0"/>
              <w:bottom w:val="single" w:color="auto" w:sz="4" w:space="0"/>
              <w:right w:val="single" w:color="000000" w:sz="4" w:space="0"/>
            </w:tcBorders>
            <w:shd w:val="clear" w:color="auto" w:fill="auto"/>
          </w:tcPr>
          <w:p w14:paraId="5B003346">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施工组织设计：40分</w:t>
            </w:r>
          </w:p>
          <w:p w14:paraId="31BBD9D9">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主要人员：</w:t>
            </w:r>
            <w:r>
              <w:rPr>
                <w:rFonts w:ascii="宋体" w:hAnsi="宋体"/>
                <w:sz w:val="21"/>
                <w:szCs w:val="21"/>
              </w:rPr>
              <w:t>25</w:t>
            </w:r>
            <w:r>
              <w:rPr>
                <w:rFonts w:hint="eastAsia" w:ascii="宋体" w:hAnsi="宋体"/>
                <w:sz w:val="21"/>
                <w:szCs w:val="21"/>
              </w:rPr>
              <w:t>分</w:t>
            </w:r>
          </w:p>
          <w:p w14:paraId="0EA1365F">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企业业绩：20分</w:t>
            </w:r>
          </w:p>
          <w:p w14:paraId="59AF9A80">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履约信誉：15分</w:t>
            </w:r>
          </w:p>
        </w:tc>
      </w:tr>
      <w:tr w14:paraId="3C4FC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5" w:hRule="atLeast"/>
          <w:jc w:val="center"/>
        </w:trPr>
        <w:tc>
          <w:tcPr>
            <w:tcW w:w="856" w:type="dxa"/>
            <w:tcBorders>
              <w:top w:val="single" w:color="000000" w:sz="4" w:space="0"/>
              <w:left w:val="single" w:color="000000" w:sz="4" w:space="0"/>
              <w:bottom w:val="single" w:color="auto" w:sz="4" w:space="0"/>
              <w:right w:val="single" w:color="000000" w:sz="4" w:space="0"/>
            </w:tcBorders>
            <w:shd w:val="clear" w:color="auto" w:fill="auto"/>
            <w:vAlign w:val="center"/>
          </w:tcPr>
          <w:p w14:paraId="2D30E543">
            <w:pPr>
              <w:pageBreakBefore w:val="0"/>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2.2.</w:t>
            </w:r>
            <w:r>
              <w:rPr>
                <w:rFonts w:ascii="宋体" w:hAnsi="宋体"/>
                <w:sz w:val="21"/>
                <w:szCs w:val="21"/>
              </w:rPr>
              <w:t>3</w:t>
            </w:r>
          </w:p>
        </w:tc>
        <w:tc>
          <w:tcPr>
            <w:tcW w:w="1389" w:type="dxa"/>
            <w:tcBorders>
              <w:top w:val="single" w:color="000000" w:sz="4" w:space="0"/>
              <w:left w:val="single" w:color="000000" w:sz="4" w:space="0"/>
              <w:bottom w:val="single" w:color="auto" w:sz="4" w:space="0"/>
              <w:right w:val="single" w:color="000000" w:sz="4" w:space="0"/>
            </w:tcBorders>
            <w:shd w:val="clear" w:color="auto" w:fill="auto"/>
            <w:vAlign w:val="center"/>
          </w:tcPr>
          <w:p w14:paraId="47D7FB67">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第二个信封</w:t>
            </w:r>
          </w:p>
          <w:p w14:paraId="43D483DF">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详细评审标准</w:t>
            </w:r>
          </w:p>
        </w:tc>
        <w:tc>
          <w:tcPr>
            <w:tcW w:w="7383" w:type="dxa"/>
            <w:tcBorders>
              <w:top w:val="single" w:color="000000" w:sz="4" w:space="0"/>
              <w:left w:val="single" w:color="000000" w:sz="4" w:space="0"/>
              <w:bottom w:val="single" w:color="auto" w:sz="4" w:space="0"/>
              <w:right w:val="single" w:color="000000" w:sz="4" w:space="0"/>
            </w:tcBorders>
            <w:shd w:val="clear" w:color="auto" w:fill="auto"/>
            <w:vAlign w:val="center"/>
          </w:tcPr>
          <w:p w14:paraId="4AD3D99A">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评标价计算公式：评标价=投标函文字报价</w:t>
            </w:r>
          </w:p>
        </w:tc>
      </w:tr>
      <w:tr w14:paraId="234A2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 w:hRule="atLeast"/>
          <w:jc w:val="center"/>
        </w:trPr>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B451">
            <w:pPr>
              <w:pageBreakBefore w:val="0"/>
              <w:kinsoku/>
              <w:wordWrap/>
              <w:overflowPunct/>
              <w:topLinePunct w:val="0"/>
              <w:autoSpaceDE w:val="0"/>
              <w:autoSpaceDN w:val="0"/>
              <w:bidi w:val="0"/>
              <w:adjustRightInd w:val="0"/>
              <w:snapToGrid w:val="0"/>
              <w:spacing w:line="360" w:lineRule="exact"/>
              <w:ind w:firstLine="210" w:firstLineChars="100"/>
              <w:textAlignment w:val="auto"/>
              <w:rPr>
                <w:rFonts w:ascii="宋体" w:hAnsi="宋体"/>
                <w:sz w:val="21"/>
                <w:szCs w:val="21"/>
              </w:rPr>
            </w:pPr>
            <w:r>
              <w:rPr>
                <w:rFonts w:hint="eastAsia" w:ascii="宋体" w:hAnsi="宋体"/>
                <w:sz w:val="21"/>
                <w:szCs w:val="21"/>
              </w:rPr>
              <w:t>3.2.4</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70C6">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通过第一个</w:t>
            </w:r>
          </w:p>
          <w:p w14:paraId="0626449C">
            <w:pPr>
              <w:pageBreakBefore w:val="0"/>
              <w:kinsoku/>
              <w:wordWrap/>
              <w:overflowPunct/>
              <w:topLinePunct w:val="0"/>
              <w:bidi w:val="0"/>
              <w:adjustRightInd w:val="0"/>
              <w:snapToGrid w:val="0"/>
              <w:spacing w:line="360" w:lineRule="exact"/>
              <w:jc w:val="center"/>
              <w:textAlignment w:val="auto"/>
              <w:rPr>
                <w:rFonts w:ascii="宋体" w:hAnsi="宋体"/>
                <w:sz w:val="21"/>
                <w:szCs w:val="21"/>
              </w:rPr>
            </w:pPr>
            <w:r>
              <w:rPr>
                <w:rFonts w:hint="eastAsia" w:ascii="宋体" w:hAnsi="宋体"/>
                <w:sz w:val="21"/>
                <w:szCs w:val="21"/>
              </w:rPr>
              <w:t>信封详细评审的投标人数量</w:t>
            </w:r>
          </w:p>
        </w:tc>
        <w:tc>
          <w:tcPr>
            <w:tcW w:w="7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BEA3">
            <w:pPr>
              <w:pageBreakBefore w:val="0"/>
              <w:kinsoku/>
              <w:wordWrap/>
              <w:overflowPunct/>
              <w:topLinePunct w:val="0"/>
              <w:autoSpaceDE w:val="0"/>
              <w:autoSpaceDN w:val="0"/>
              <w:bidi w:val="0"/>
              <w:adjustRightInd w:val="0"/>
              <w:spacing w:line="360" w:lineRule="exact"/>
              <w:ind w:firstLine="420" w:firstLineChars="200"/>
              <w:textAlignment w:val="auto"/>
              <w:rPr>
                <w:sz w:val="21"/>
                <w:szCs w:val="21"/>
              </w:rPr>
            </w:pPr>
            <w:r>
              <w:rPr>
                <w:rFonts w:hint="eastAsia"/>
                <w:sz w:val="21"/>
                <w:szCs w:val="21"/>
              </w:rPr>
              <w:t>按照投标人的商务和技术得分由高到低排序，选择前</w:t>
            </w:r>
            <w:r>
              <w:rPr>
                <w:rFonts w:hint="eastAsia"/>
                <w:sz w:val="21"/>
                <w:szCs w:val="21"/>
                <w:u w:val="single"/>
              </w:rPr>
              <w:t xml:space="preserve"> </w:t>
            </w:r>
            <w:r>
              <w:rPr>
                <w:rFonts w:hint="eastAsia" w:ascii="黑体" w:hAnsi="黑体" w:eastAsia="黑体"/>
                <w:b/>
                <w:sz w:val="21"/>
                <w:szCs w:val="21"/>
                <w:u w:val="single"/>
              </w:rPr>
              <w:t xml:space="preserve">3 </w:t>
            </w:r>
            <w:r>
              <w:rPr>
                <w:rFonts w:hint="eastAsia"/>
                <w:sz w:val="21"/>
                <w:szCs w:val="21"/>
              </w:rPr>
              <w:t>名通过详细评审。</w:t>
            </w:r>
          </w:p>
          <w:p w14:paraId="20F81BE7">
            <w:pPr>
              <w:pageBreakBefore w:val="0"/>
              <w:kinsoku/>
              <w:wordWrap/>
              <w:overflowPunct/>
              <w:topLinePunct w:val="0"/>
              <w:bidi w:val="0"/>
              <w:adjustRightInd w:val="0"/>
              <w:snapToGrid w:val="0"/>
              <w:spacing w:line="360" w:lineRule="exact"/>
              <w:ind w:firstLine="420" w:firstLineChars="200"/>
              <w:textAlignment w:val="auto"/>
              <w:rPr>
                <w:rFonts w:ascii="宋体" w:hAnsi="宋体"/>
                <w:sz w:val="21"/>
                <w:szCs w:val="21"/>
              </w:rPr>
            </w:pPr>
            <w:r>
              <w:rPr>
                <w:rFonts w:ascii="宋体" w:hAnsi="宋体"/>
                <w:sz w:val="21"/>
                <w:szCs w:val="21"/>
              </w:rPr>
              <w:t>如同一标段出现多名投标人的</w:t>
            </w:r>
            <w:r>
              <w:rPr>
                <w:rFonts w:hint="eastAsia" w:ascii="宋体" w:hAnsi="宋体"/>
                <w:sz w:val="21"/>
                <w:szCs w:val="21"/>
              </w:rPr>
              <w:t>第一信封（商务及技术文件）综合评分</w:t>
            </w:r>
            <w:r>
              <w:rPr>
                <w:rFonts w:ascii="宋体" w:hAnsi="宋体"/>
                <w:sz w:val="21"/>
                <w:szCs w:val="21"/>
              </w:rPr>
              <w:t>相等时，则按照以下所列</w:t>
            </w:r>
            <w:r>
              <w:rPr>
                <w:rFonts w:hint="eastAsia" w:ascii="宋体" w:hAnsi="宋体"/>
                <w:sz w:val="21"/>
                <w:szCs w:val="21"/>
              </w:rPr>
              <w:t>顺序</w:t>
            </w:r>
            <w:r>
              <w:rPr>
                <w:rFonts w:ascii="宋体" w:hAnsi="宋体"/>
                <w:sz w:val="21"/>
                <w:szCs w:val="21"/>
              </w:rPr>
              <w:t>在前的优先：</w:t>
            </w:r>
          </w:p>
          <w:p w14:paraId="69533898">
            <w:pPr>
              <w:pageBreakBefore w:val="0"/>
              <w:kinsoku/>
              <w:wordWrap/>
              <w:overflowPunct/>
              <w:topLinePunct w:val="0"/>
              <w:bidi w:val="0"/>
              <w:adjustRightInd w:val="0"/>
              <w:snapToGrid w:val="0"/>
              <w:spacing w:line="360" w:lineRule="exact"/>
              <w:ind w:firstLine="422" w:firstLineChars="201"/>
              <w:textAlignment w:val="auto"/>
              <w:rPr>
                <w:rFonts w:ascii="宋体" w:hAnsi="宋体"/>
                <w:sz w:val="21"/>
                <w:szCs w:val="21"/>
              </w:rPr>
            </w:pPr>
            <w:r>
              <w:rPr>
                <w:rFonts w:hint="eastAsia" w:ascii="宋体" w:hAnsi="宋体"/>
                <w:sz w:val="21"/>
                <w:szCs w:val="21"/>
              </w:rPr>
              <w:t>a</w:t>
            </w:r>
            <w:r>
              <w:rPr>
                <w:rFonts w:ascii="宋体" w:hAnsi="宋体"/>
                <w:sz w:val="21"/>
                <w:szCs w:val="21"/>
              </w:rPr>
              <w:t>.</w:t>
            </w:r>
            <w:r>
              <w:rPr>
                <w:rFonts w:hint="eastAsia"/>
                <w:sz w:val="21"/>
                <w:szCs w:val="21"/>
              </w:rPr>
              <w:t>信用评价得分较高者；</w:t>
            </w:r>
          </w:p>
          <w:p w14:paraId="38AF0A97">
            <w:pPr>
              <w:pageBreakBefore w:val="0"/>
              <w:kinsoku/>
              <w:wordWrap/>
              <w:overflowPunct/>
              <w:topLinePunct w:val="0"/>
              <w:bidi w:val="0"/>
              <w:adjustRightInd w:val="0"/>
              <w:snapToGrid w:val="0"/>
              <w:spacing w:line="360" w:lineRule="exact"/>
              <w:ind w:firstLine="422" w:firstLineChars="201"/>
              <w:textAlignment w:val="auto"/>
              <w:rPr>
                <w:rFonts w:ascii="宋体" w:hAnsi="宋体"/>
                <w:sz w:val="21"/>
                <w:szCs w:val="21"/>
              </w:rPr>
            </w:pPr>
            <w:r>
              <w:rPr>
                <w:rFonts w:hint="eastAsia" w:ascii="宋体" w:hAnsi="宋体"/>
                <w:sz w:val="21"/>
                <w:szCs w:val="21"/>
              </w:rPr>
              <w:t>b</w:t>
            </w:r>
            <w:r>
              <w:rPr>
                <w:rFonts w:ascii="宋体" w:hAnsi="宋体"/>
                <w:sz w:val="21"/>
                <w:szCs w:val="21"/>
              </w:rPr>
              <w:t>.</w:t>
            </w:r>
            <w:r>
              <w:rPr>
                <w:rFonts w:hint="eastAsia" w:ascii="宋体" w:hAnsi="宋体"/>
                <w:sz w:val="21"/>
                <w:szCs w:val="21"/>
              </w:rPr>
              <w:t>主要人员</w:t>
            </w:r>
            <w:r>
              <w:rPr>
                <w:rFonts w:ascii="宋体" w:hAnsi="宋体"/>
                <w:sz w:val="21"/>
                <w:szCs w:val="21"/>
              </w:rPr>
              <w:t>得分较高者；</w:t>
            </w:r>
          </w:p>
          <w:p w14:paraId="2E3627DC">
            <w:pPr>
              <w:pageBreakBefore w:val="0"/>
              <w:kinsoku/>
              <w:wordWrap/>
              <w:overflowPunct/>
              <w:topLinePunct w:val="0"/>
              <w:bidi w:val="0"/>
              <w:adjustRightInd w:val="0"/>
              <w:snapToGrid w:val="0"/>
              <w:spacing w:line="360" w:lineRule="exact"/>
              <w:ind w:firstLine="422" w:firstLineChars="201"/>
              <w:textAlignment w:val="auto"/>
              <w:rPr>
                <w:rFonts w:ascii="宋体" w:hAnsi="宋体"/>
                <w:sz w:val="21"/>
                <w:szCs w:val="21"/>
              </w:rPr>
            </w:pPr>
            <w:r>
              <w:rPr>
                <w:rFonts w:hint="eastAsia" w:ascii="宋体" w:hAnsi="宋体"/>
                <w:sz w:val="21"/>
                <w:szCs w:val="21"/>
              </w:rPr>
              <w:t>c</w:t>
            </w:r>
            <w:r>
              <w:rPr>
                <w:rFonts w:ascii="宋体" w:hAnsi="宋体"/>
                <w:sz w:val="21"/>
                <w:szCs w:val="21"/>
              </w:rPr>
              <w:t>.施工组织设计得分较高者；</w:t>
            </w:r>
          </w:p>
          <w:p w14:paraId="6EA3F710">
            <w:pPr>
              <w:pageBreakBefore w:val="0"/>
              <w:kinsoku/>
              <w:wordWrap/>
              <w:overflowPunct/>
              <w:topLinePunct w:val="0"/>
              <w:bidi w:val="0"/>
              <w:adjustRightInd w:val="0"/>
              <w:snapToGrid w:val="0"/>
              <w:spacing w:line="360" w:lineRule="exact"/>
              <w:ind w:firstLine="210" w:firstLineChars="100"/>
              <w:textAlignment w:val="auto"/>
              <w:rPr>
                <w:rFonts w:ascii="宋体" w:hAnsi="宋体"/>
                <w:sz w:val="21"/>
                <w:szCs w:val="21"/>
              </w:rPr>
            </w:pPr>
            <w:r>
              <w:rPr>
                <w:rFonts w:ascii="宋体" w:hAnsi="宋体"/>
                <w:sz w:val="21"/>
                <w:szCs w:val="21"/>
              </w:rPr>
              <w:t>若以上各项评分因素得分都相等，则通过评委会投票表决，推荐票数多的投标人评分排序在先</w:t>
            </w:r>
            <w:r>
              <w:rPr>
                <w:rFonts w:hint="eastAsia" w:ascii="宋体" w:hAnsi="宋体"/>
                <w:sz w:val="21"/>
                <w:szCs w:val="21"/>
              </w:rPr>
              <w:t>。</w:t>
            </w:r>
          </w:p>
        </w:tc>
      </w:tr>
    </w:tbl>
    <w:p w14:paraId="6DC78970">
      <w:pPr>
        <w:pageBreakBefore w:val="0"/>
        <w:kinsoku/>
        <w:wordWrap/>
        <w:overflowPunct/>
        <w:topLinePunct w:val="0"/>
        <w:bidi w:val="0"/>
        <w:spacing w:line="360" w:lineRule="exact"/>
        <w:textAlignment w:val="auto"/>
        <w:rPr>
          <w:sz w:val="21"/>
          <w:szCs w:val="21"/>
        </w:rPr>
      </w:pPr>
      <w:r>
        <w:rPr>
          <w:sz w:val="21"/>
          <w:szCs w:val="21"/>
        </w:rPr>
        <w:br w:type="page"/>
      </w:r>
    </w:p>
    <w:p w14:paraId="1AF073BE">
      <w:pPr>
        <w:pageBreakBefore w:val="0"/>
        <w:kinsoku/>
        <w:wordWrap/>
        <w:overflowPunct/>
        <w:topLinePunct w:val="0"/>
        <w:bidi w:val="0"/>
        <w:spacing w:line="360" w:lineRule="exact"/>
        <w:jc w:val="right"/>
        <w:textAlignment w:val="auto"/>
        <w:rPr>
          <w:sz w:val="21"/>
          <w:szCs w:val="21"/>
        </w:rPr>
      </w:pPr>
      <w:r>
        <w:rPr>
          <w:sz w:val="21"/>
          <w:szCs w:val="21"/>
        </w:rPr>
        <w:t>续上表</w:t>
      </w:r>
      <w:bookmarkEnd w:id="23"/>
      <w:bookmarkEnd w:id="24"/>
      <w:bookmarkEnd w:id="25"/>
      <w:bookmarkEnd w:id="26"/>
      <w:bookmarkEnd w:id="27"/>
      <w:bookmarkEnd w:id="28"/>
      <w:bookmarkEnd w:id="29"/>
      <w:bookmarkEnd w:id="30"/>
      <w:bookmarkEnd w:id="31"/>
      <w:bookmarkEnd w:id="32"/>
      <w:bookmarkEnd w:id="33"/>
    </w:p>
    <w:tbl>
      <w:tblPr>
        <w:tblStyle w:val="13"/>
        <w:tblW w:w="96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7"/>
        <w:gridCol w:w="1002"/>
        <w:gridCol w:w="993"/>
        <w:gridCol w:w="1264"/>
        <w:gridCol w:w="877"/>
        <w:gridCol w:w="4972"/>
      </w:tblGrid>
      <w:tr w14:paraId="25133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0" w:hRule="atLeast"/>
          <w:tblHeader/>
        </w:trPr>
        <w:tc>
          <w:tcPr>
            <w:tcW w:w="587" w:type="dxa"/>
            <w:vMerge w:val="restart"/>
            <w:tcBorders>
              <w:top w:val="single" w:color="auto" w:sz="4" w:space="0"/>
              <w:left w:val="single" w:color="auto" w:sz="4" w:space="0"/>
              <w:right w:val="single" w:color="auto" w:sz="4" w:space="0"/>
            </w:tcBorders>
            <w:vAlign w:val="center"/>
          </w:tcPr>
          <w:p w14:paraId="159502CA">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条款</w:t>
            </w:r>
          </w:p>
          <w:p w14:paraId="1098ACCB">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号</w:t>
            </w:r>
          </w:p>
        </w:tc>
        <w:tc>
          <w:tcPr>
            <w:tcW w:w="4136" w:type="dxa"/>
            <w:gridSpan w:val="4"/>
            <w:tcBorders>
              <w:top w:val="single" w:color="auto" w:sz="4" w:space="0"/>
              <w:left w:val="single" w:color="auto" w:sz="4" w:space="0"/>
              <w:right w:val="single" w:color="auto" w:sz="4" w:space="0"/>
            </w:tcBorders>
            <w:vAlign w:val="center"/>
          </w:tcPr>
          <w:p w14:paraId="4C299E12">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评分因素与拟定权重分值</w:t>
            </w:r>
          </w:p>
        </w:tc>
        <w:tc>
          <w:tcPr>
            <w:tcW w:w="4972" w:type="dxa"/>
            <w:vMerge w:val="restart"/>
            <w:tcBorders>
              <w:top w:val="single" w:color="auto" w:sz="4" w:space="0"/>
              <w:left w:val="single" w:color="auto" w:sz="4" w:space="0"/>
              <w:right w:val="single" w:color="auto" w:sz="4" w:space="0"/>
            </w:tcBorders>
            <w:vAlign w:val="center"/>
          </w:tcPr>
          <w:p w14:paraId="73A1E676">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评分标准</w:t>
            </w:r>
          </w:p>
        </w:tc>
      </w:tr>
      <w:tr w14:paraId="2E5E7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40" w:hRule="atLeast"/>
          <w:tblHeader/>
        </w:trPr>
        <w:tc>
          <w:tcPr>
            <w:tcW w:w="587" w:type="dxa"/>
            <w:vMerge w:val="continue"/>
            <w:tcBorders>
              <w:left w:val="single" w:color="auto" w:sz="4" w:space="0"/>
              <w:right w:val="single" w:color="auto" w:sz="4" w:space="0"/>
            </w:tcBorders>
            <w:vAlign w:val="center"/>
          </w:tcPr>
          <w:p w14:paraId="6D90B37E">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002" w:type="dxa"/>
            <w:tcBorders>
              <w:left w:val="single" w:color="auto" w:sz="4" w:space="0"/>
            </w:tcBorders>
            <w:vAlign w:val="center"/>
          </w:tcPr>
          <w:p w14:paraId="6342CF20">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评分</w:t>
            </w:r>
            <w:r>
              <w:rPr>
                <w:rFonts w:ascii="宋体" w:hAnsi="宋体"/>
                <w:sz w:val="21"/>
                <w:szCs w:val="21"/>
              </w:rPr>
              <w:br w:type="textWrapping"/>
            </w:r>
            <w:r>
              <w:rPr>
                <w:rFonts w:ascii="宋体" w:hAnsi="宋体"/>
                <w:sz w:val="21"/>
                <w:szCs w:val="21"/>
              </w:rPr>
              <w:t>因素</w:t>
            </w:r>
          </w:p>
        </w:tc>
        <w:tc>
          <w:tcPr>
            <w:tcW w:w="993" w:type="dxa"/>
            <w:vAlign w:val="center"/>
          </w:tcPr>
          <w:p w14:paraId="1510DD43">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评分因素</w:t>
            </w:r>
            <w:r>
              <w:rPr>
                <w:rFonts w:ascii="宋体" w:hAnsi="宋体"/>
                <w:sz w:val="21"/>
                <w:szCs w:val="21"/>
              </w:rPr>
              <w:br w:type="textWrapping"/>
            </w:r>
            <w:r>
              <w:rPr>
                <w:rFonts w:ascii="宋体" w:hAnsi="宋体"/>
                <w:sz w:val="21"/>
                <w:szCs w:val="21"/>
              </w:rPr>
              <w:t>权重分值</w:t>
            </w:r>
          </w:p>
        </w:tc>
        <w:tc>
          <w:tcPr>
            <w:tcW w:w="1264" w:type="dxa"/>
            <w:vAlign w:val="center"/>
          </w:tcPr>
          <w:p w14:paraId="430516A0">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各评分因</w:t>
            </w:r>
          </w:p>
          <w:p w14:paraId="3541D650">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素细分项</w:t>
            </w:r>
          </w:p>
        </w:tc>
        <w:tc>
          <w:tcPr>
            <w:tcW w:w="877" w:type="dxa"/>
            <w:tcBorders>
              <w:right w:val="single" w:color="auto" w:sz="4" w:space="0"/>
            </w:tcBorders>
            <w:vAlign w:val="center"/>
          </w:tcPr>
          <w:p w14:paraId="39C77AE7">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分值</w:t>
            </w:r>
          </w:p>
        </w:tc>
        <w:tc>
          <w:tcPr>
            <w:tcW w:w="4972" w:type="dxa"/>
            <w:vMerge w:val="continue"/>
            <w:tcBorders>
              <w:left w:val="single" w:color="auto" w:sz="4" w:space="0"/>
              <w:right w:val="single" w:color="auto" w:sz="4" w:space="0"/>
            </w:tcBorders>
            <w:vAlign w:val="center"/>
          </w:tcPr>
          <w:p w14:paraId="34C2C078">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r>
      <w:tr w14:paraId="4C3A0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restart"/>
            <w:tcBorders>
              <w:left w:val="single" w:color="auto" w:sz="4" w:space="0"/>
            </w:tcBorders>
            <w:vAlign w:val="center"/>
          </w:tcPr>
          <w:p w14:paraId="795BE5C0">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2.2.</w:t>
            </w:r>
            <w:r>
              <w:rPr>
                <w:rFonts w:hint="eastAsia" w:ascii="宋体" w:hAnsi="宋体"/>
                <w:sz w:val="21"/>
                <w:szCs w:val="21"/>
              </w:rPr>
              <w:t>2</w:t>
            </w:r>
            <w:r>
              <w:rPr>
                <w:rFonts w:ascii="宋体" w:hAnsi="宋体"/>
                <w:sz w:val="21"/>
                <w:szCs w:val="21"/>
              </w:rPr>
              <w:t>（1）</w:t>
            </w:r>
          </w:p>
        </w:tc>
        <w:tc>
          <w:tcPr>
            <w:tcW w:w="1002" w:type="dxa"/>
            <w:vMerge w:val="restart"/>
            <w:vAlign w:val="center"/>
          </w:tcPr>
          <w:p w14:paraId="5589E33F">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施工组织设计</w:t>
            </w:r>
          </w:p>
        </w:tc>
        <w:tc>
          <w:tcPr>
            <w:tcW w:w="993" w:type="dxa"/>
            <w:vMerge w:val="restart"/>
            <w:vAlign w:val="center"/>
          </w:tcPr>
          <w:p w14:paraId="25DFC254">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hint="eastAsia" w:ascii="宋体" w:hAnsi="宋体"/>
                <w:sz w:val="21"/>
                <w:szCs w:val="21"/>
              </w:rPr>
              <w:t>40</w:t>
            </w:r>
            <w:r>
              <w:rPr>
                <w:rFonts w:ascii="宋体" w:hAnsi="宋体"/>
                <w:sz w:val="21"/>
                <w:szCs w:val="21"/>
              </w:rPr>
              <w:t>分</w:t>
            </w:r>
          </w:p>
        </w:tc>
        <w:tc>
          <w:tcPr>
            <w:tcW w:w="1264" w:type="dxa"/>
            <w:vMerge w:val="restart"/>
            <w:vAlign w:val="center"/>
          </w:tcPr>
          <w:p w14:paraId="142ECD36">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hint="eastAsia" w:ascii="宋体" w:hAnsi="宋体"/>
                <w:sz w:val="21"/>
                <w:szCs w:val="21"/>
              </w:rPr>
              <w:t>总体施工组织布置及规划</w:t>
            </w:r>
          </w:p>
        </w:tc>
        <w:tc>
          <w:tcPr>
            <w:tcW w:w="877" w:type="dxa"/>
            <w:vMerge w:val="restart"/>
            <w:vAlign w:val="center"/>
          </w:tcPr>
          <w:p w14:paraId="62834909">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hint="eastAsia" w:ascii="宋体" w:hAnsi="宋体"/>
                <w:sz w:val="21"/>
                <w:szCs w:val="21"/>
              </w:rPr>
              <w:t>10分</w:t>
            </w:r>
          </w:p>
        </w:tc>
        <w:tc>
          <w:tcPr>
            <w:tcW w:w="4972" w:type="dxa"/>
            <w:tcBorders>
              <w:bottom w:val="single" w:color="auto" w:sz="4" w:space="0"/>
              <w:right w:val="single" w:color="auto" w:sz="4" w:space="0"/>
            </w:tcBorders>
            <w:vAlign w:val="center"/>
          </w:tcPr>
          <w:p w14:paraId="6195D5DA">
            <w:pPr>
              <w:pageBreakBefore w:val="0"/>
              <w:widowControl/>
              <w:kinsoku/>
              <w:wordWrap/>
              <w:overflowPunct/>
              <w:topLinePunct w:val="0"/>
              <w:bidi w:val="0"/>
              <w:spacing w:line="360" w:lineRule="exact"/>
              <w:jc w:val="left"/>
              <w:textAlignment w:val="auto"/>
              <w:rPr>
                <w:rFonts w:ascii="宋体" w:hAnsi="宋体"/>
                <w:sz w:val="21"/>
                <w:szCs w:val="21"/>
              </w:rPr>
            </w:pPr>
            <w:r>
              <w:rPr>
                <w:rFonts w:hint="eastAsia"/>
                <w:sz w:val="21"/>
                <w:szCs w:val="21"/>
                <w:shd w:val="clear" w:color="auto" w:fill="FFFFFF"/>
              </w:rPr>
              <w:t>总体方案切实可行，对本项目具有针对性</w:t>
            </w:r>
            <w:r>
              <w:rPr>
                <w:rFonts w:hint="eastAsia" w:ascii="宋体" w:hAnsi="宋体"/>
                <w:kern w:val="0"/>
                <w:sz w:val="21"/>
                <w:szCs w:val="21"/>
              </w:rPr>
              <w:t>，8</w:t>
            </w:r>
            <w:r>
              <w:rPr>
                <w:rFonts w:ascii="宋体" w:hAnsi="宋体"/>
                <w:kern w:val="0"/>
                <w:sz w:val="21"/>
                <w:szCs w:val="21"/>
              </w:rPr>
              <w:t>.</w:t>
            </w:r>
            <w:r>
              <w:rPr>
                <w:rFonts w:hint="eastAsia" w:ascii="宋体" w:hAnsi="宋体"/>
                <w:kern w:val="0"/>
                <w:sz w:val="21"/>
                <w:szCs w:val="21"/>
              </w:rPr>
              <w:t>0</w:t>
            </w:r>
            <w:r>
              <w:rPr>
                <w:rFonts w:ascii="宋体" w:hAnsi="宋体"/>
                <w:kern w:val="0"/>
                <w:sz w:val="21"/>
                <w:szCs w:val="21"/>
              </w:rPr>
              <w:t>-</w:t>
            </w:r>
            <w:r>
              <w:rPr>
                <w:rFonts w:hint="eastAsia" w:ascii="宋体" w:hAnsi="宋体"/>
                <w:kern w:val="0"/>
                <w:sz w:val="21"/>
                <w:szCs w:val="21"/>
              </w:rPr>
              <w:t>10</w:t>
            </w:r>
            <w:r>
              <w:rPr>
                <w:rFonts w:ascii="宋体" w:hAnsi="宋体"/>
                <w:kern w:val="0"/>
                <w:sz w:val="21"/>
                <w:szCs w:val="21"/>
              </w:rPr>
              <w:t>.0</w:t>
            </w:r>
            <w:r>
              <w:rPr>
                <w:rFonts w:hint="eastAsia" w:ascii="宋体" w:hAnsi="宋体"/>
                <w:kern w:val="0"/>
                <w:sz w:val="21"/>
                <w:szCs w:val="21"/>
              </w:rPr>
              <w:t>分</w:t>
            </w:r>
          </w:p>
        </w:tc>
      </w:tr>
      <w:tr w14:paraId="5010C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6964FD73">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002" w:type="dxa"/>
            <w:vMerge w:val="continue"/>
            <w:vAlign w:val="center"/>
          </w:tcPr>
          <w:p w14:paraId="625C14A5">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993" w:type="dxa"/>
            <w:vMerge w:val="continue"/>
            <w:vAlign w:val="center"/>
          </w:tcPr>
          <w:p w14:paraId="0190DF0D">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264" w:type="dxa"/>
            <w:vMerge w:val="continue"/>
            <w:vAlign w:val="center"/>
          </w:tcPr>
          <w:p w14:paraId="2DC9B8C9">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877" w:type="dxa"/>
            <w:vMerge w:val="continue"/>
            <w:vAlign w:val="center"/>
          </w:tcPr>
          <w:p w14:paraId="2EC2C04D">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4972" w:type="dxa"/>
            <w:tcBorders>
              <w:bottom w:val="single" w:color="auto" w:sz="4" w:space="0"/>
              <w:right w:val="single" w:color="auto" w:sz="4" w:space="0"/>
            </w:tcBorders>
            <w:vAlign w:val="center"/>
          </w:tcPr>
          <w:p w14:paraId="005821AE">
            <w:pPr>
              <w:pageBreakBefore w:val="0"/>
              <w:widowControl/>
              <w:kinsoku/>
              <w:wordWrap/>
              <w:overflowPunct/>
              <w:topLinePunct w:val="0"/>
              <w:bidi w:val="0"/>
              <w:spacing w:line="360" w:lineRule="exact"/>
              <w:jc w:val="left"/>
              <w:textAlignment w:val="auto"/>
              <w:rPr>
                <w:rFonts w:ascii="宋体" w:hAnsi="宋体"/>
                <w:sz w:val="21"/>
                <w:szCs w:val="21"/>
              </w:rPr>
            </w:pPr>
            <w:r>
              <w:rPr>
                <w:rFonts w:hint="eastAsia"/>
                <w:sz w:val="21"/>
                <w:szCs w:val="21"/>
                <w:shd w:val="clear" w:color="auto" w:fill="FFFFFF"/>
              </w:rPr>
              <w:t>总体方案较满足要求</w:t>
            </w:r>
            <w:r>
              <w:rPr>
                <w:rFonts w:hint="eastAsia" w:ascii="宋体" w:hAnsi="宋体"/>
                <w:kern w:val="0"/>
                <w:sz w:val="21"/>
                <w:szCs w:val="21"/>
              </w:rPr>
              <w:t>，6</w:t>
            </w:r>
            <w:r>
              <w:rPr>
                <w:rFonts w:ascii="宋体" w:hAnsi="宋体"/>
                <w:kern w:val="0"/>
                <w:sz w:val="21"/>
                <w:szCs w:val="21"/>
              </w:rPr>
              <w:t>.</w:t>
            </w:r>
            <w:r>
              <w:rPr>
                <w:rFonts w:hint="eastAsia" w:ascii="宋体" w:hAnsi="宋体"/>
                <w:kern w:val="0"/>
                <w:sz w:val="21"/>
                <w:szCs w:val="21"/>
              </w:rPr>
              <w:t>0</w:t>
            </w:r>
            <w:r>
              <w:rPr>
                <w:rFonts w:ascii="宋体" w:hAnsi="宋体"/>
                <w:kern w:val="0"/>
                <w:sz w:val="21"/>
                <w:szCs w:val="21"/>
              </w:rPr>
              <w:t>-</w:t>
            </w:r>
            <w:r>
              <w:rPr>
                <w:rFonts w:hint="eastAsia" w:ascii="宋体" w:hAnsi="宋体"/>
                <w:kern w:val="0"/>
                <w:sz w:val="21"/>
                <w:szCs w:val="21"/>
              </w:rPr>
              <w:t>8</w:t>
            </w:r>
            <w:r>
              <w:rPr>
                <w:rFonts w:ascii="宋体" w:hAnsi="宋体"/>
                <w:kern w:val="0"/>
                <w:sz w:val="21"/>
                <w:szCs w:val="21"/>
              </w:rPr>
              <w:t>.</w:t>
            </w:r>
            <w:r>
              <w:rPr>
                <w:rFonts w:hint="eastAsia" w:ascii="宋体" w:hAnsi="宋体"/>
                <w:kern w:val="0"/>
                <w:sz w:val="21"/>
                <w:szCs w:val="21"/>
              </w:rPr>
              <w:t>0分</w:t>
            </w:r>
          </w:p>
        </w:tc>
      </w:tr>
      <w:tr w14:paraId="192E0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2ED2714E">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002" w:type="dxa"/>
            <w:vMerge w:val="continue"/>
            <w:vAlign w:val="center"/>
          </w:tcPr>
          <w:p w14:paraId="5A518F3B">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993" w:type="dxa"/>
            <w:vMerge w:val="continue"/>
            <w:vAlign w:val="center"/>
          </w:tcPr>
          <w:p w14:paraId="05F0B8BB">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264" w:type="dxa"/>
            <w:vMerge w:val="continue"/>
            <w:vAlign w:val="center"/>
          </w:tcPr>
          <w:p w14:paraId="7EEB9FCB">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877" w:type="dxa"/>
            <w:vMerge w:val="continue"/>
            <w:tcBorders>
              <w:bottom w:val="single" w:color="auto" w:sz="4" w:space="0"/>
            </w:tcBorders>
            <w:vAlign w:val="center"/>
          </w:tcPr>
          <w:p w14:paraId="305E21FD">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4972" w:type="dxa"/>
            <w:tcBorders>
              <w:bottom w:val="single" w:color="auto" w:sz="4" w:space="0"/>
              <w:right w:val="single" w:color="auto" w:sz="4" w:space="0"/>
            </w:tcBorders>
            <w:vAlign w:val="center"/>
          </w:tcPr>
          <w:p w14:paraId="264AA879">
            <w:pPr>
              <w:pageBreakBefore w:val="0"/>
              <w:widowControl/>
              <w:kinsoku/>
              <w:wordWrap/>
              <w:overflowPunct/>
              <w:topLinePunct w:val="0"/>
              <w:bidi w:val="0"/>
              <w:spacing w:line="360" w:lineRule="exact"/>
              <w:jc w:val="left"/>
              <w:textAlignment w:val="auto"/>
              <w:rPr>
                <w:rFonts w:ascii="宋体" w:hAnsi="宋体"/>
                <w:sz w:val="21"/>
                <w:szCs w:val="21"/>
              </w:rPr>
            </w:pPr>
            <w:r>
              <w:rPr>
                <w:rFonts w:hint="eastAsia"/>
                <w:sz w:val="21"/>
                <w:szCs w:val="21"/>
                <w:shd w:val="clear" w:color="auto" w:fill="FFFFFF"/>
              </w:rPr>
              <w:t>总体方案基本满足要求</w:t>
            </w:r>
            <w:r>
              <w:rPr>
                <w:rFonts w:hint="eastAsia" w:ascii="宋体" w:hAnsi="宋体"/>
                <w:kern w:val="0"/>
                <w:sz w:val="21"/>
                <w:szCs w:val="21"/>
              </w:rPr>
              <w:t>，6</w:t>
            </w:r>
            <w:r>
              <w:rPr>
                <w:rFonts w:ascii="宋体" w:hAnsi="宋体"/>
                <w:kern w:val="0"/>
                <w:sz w:val="21"/>
                <w:szCs w:val="21"/>
              </w:rPr>
              <w:t>.</w:t>
            </w:r>
            <w:r>
              <w:rPr>
                <w:rFonts w:hint="eastAsia" w:ascii="宋体" w:hAnsi="宋体"/>
                <w:kern w:val="0"/>
                <w:sz w:val="21"/>
                <w:szCs w:val="21"/>
              </w:rPr>
              <w:t>0分</w:t>
            </w:r>
          </w:p>
        </w:tc>
      </w:tr>
      <w:tr w14:paraId="02DD2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14F59F0D">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002" w:type="dxa"/>
            <w:vMerge w:val="continue"/>
            <w:vAlign w:val="center"/>
          </w:tcPr>
          <w:p w14:paraId="2DE37DA8">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993" w:type="dxa"/>
            <w:vMerge w:val="continue"/>
            <w:vAlign w:val="center"/>
          </w:tcPr>
          <w:p w14:paraId="0B5857E6">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264" w:type="dxa"/>
            <w:vMerge w:val="restart"/>
            <w:tcBorders>
              <w:top w:val="single" w:color="auto" w:sz="4" w:space="0"/>
            </w:tcBorders>
            <w:vAlign w:val="center"/>
          </w:tcPr>
          <w:p w14:paraId="5730B911">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r>
              <w:rPr>
                <w:rFonts w:hint="eastAsia" w:ascii="宋体" w:hAnsi="宋体" w:cs="宋体"/>
                <w:bCs/>
                <w:sz w:val="21"/>
                <w:szCs w:val="21"/>
                <w:lang w:val="zh-CN"/>
              </w:rPr>
              <w:t>主要工程项目的施工方案、方法与技术措施</w:t>
            </w:r>
          </w:p>
        </w:tc>
        <w:tc>
          <w:tcPr>
            <w:tcW w:w="877" w:type="dxa"/>
            <w:vMerge w:val="restart"/>
            <w:vAlign w:val="center"/>
          </w:tcPr>
          <w:p w14:paraId="0338A8F5">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r>
              <w:rPr>
                <w:rFonts w:hint="eastAsia" w:ascii="宋体" w:hAnsi="宋体"/>
                <w:sz w:val="21"/>
                <w:szCs w:val="21"/>
              </w:rPr>
              <w:t>15分</w:t>
            </w:r>
          </w:p>
        </w:tc>
        <w:tc>
          <w:tcPr>
            <w:tcW w:w="4972" w:type="dxa"/>
            <w:tcBorders>
              <w:right w:val="single" w:color="auto" w:sz="4" w:space="0"/>
            </w:tcBorders>
            <w:vAlign w:val="center"/>
          </w:tcPr>
          <w:p w14:paraId="2FB66212">
            <w:pPr>
              <w:pageBreakBefore w:val="0"/>
              <w:widowControl/>
              <w:kinsoku/>
              <w:wordWrap/>
              <w:overflowPunct/>
              <w:topLinePunct w:val="0"/>
              <w:bidi w:val="0"/>
              <w:spacing w:line="360" w:lineRule="exact"/>
              <w:jc w:val="left"/>
              <w:textAlignment w:val="auto"/>
              <w:rPr>
                <w:rFonts w:ascii="宋体" w:hAnsi="宋体"/>
                <w:sz w:val="21"/>
                <w:szCs w:val="21"/>
              </w:rPr>
            </w:pPr>
            <w:r>
              <w:rPr>
                <w:rFonts w:hint="eastAsia"/>
                <w:sz w:val="21"/>
                <w:szCs w:val="21"/>
                <w:shd w:val="clear" w:color="auto" w:fill="FFFFFF"/>
              </w:rPr>
              <w:t>内容齐全、完善；方案和措施具有操作性、先进、合理</w:t>
            </w:r>
            <w:r>
              <w:rPr>
                <w:rFonts w:hint="eastAsia" w:ascii="宋体" w:hAnsi="宋体"/>
                <w:kern w:val="0"/>
                <w:sz w:val="21"/>
                <w:szCs w:val="21"/>
              </w:rPr>
              <w:t>，12.0</w:t>
            </w:r>
            <w:r>
              <w:rPr>
                <w:rFonts w:ascii="宋体" w:hAnsi="宋体"/>
                <w:kern w:val="0"/>
                <w:sz w:val="21"/>
                <w:szCs w:val="21"/>
              </w:rPr>
              <w:t>-</w:t>
            </w:r>
            <w:r>
              <w:rPr>
                <w:rFonts w:hint="eastAsia" w:ascii="宋体" w:hAnsi="宋体"/>
                <w:kern w:val="0"/>
                <w:sz w:val="21"/>
                <w:szCs w:val="21"/>
              </w:rPr>
              <w:t>15.0分</w:t>
            </w:r>
          </w:p>
        </w:tc>
      </w:tr>
      <w:tr w14:paraId="4E108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7921BF65">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002" w:type="dxa"/>
            <w:vMerge w:val="continue"/>
            <w:vAlign w:val="center"/>
          </w:tcPr>
          <w:p w14:paraId="1EB86BE6">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993" w:type="dxa"/>
            <w:vMerge w:val="continue"/>
            <w:vAlign w:val="center"/>
          </w:tcPr>
          <w:p w14:paraId="241017D2">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264" w:type="dxa"/>
            <w:vMerge w:val="continue"/>
            <w:vAlign w:val="center"/>
          </w:tcPr>
          <w:p w14:paraId="186E8EC9">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p>
        </w:tc>
        <w:tc>
          <w:tcPr>
            <w:tcW w:w="877" w:type="dxa"/>
            <w:vMerge w:val="continue"/>
            <w:vAlign w:val="center"/>
          </w:tcPr>
          <w:p w14:paraId="64687109">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p>
        </w:tc>
        <w:tc>
          <w:tcPr>
            <w:tcW w:w="4972" w:type="dxa"/>
            <w:tcBorders>
              <w:right w:val="single" w:color="auto" w:sz="4" w:space="0"/>
            </w:tcBorders>
            <w:vAlign w:val="center"/>
          </w:tcPr>
          <w:p w14:paraId="15C55311">
            <w:pPr>
              <w:pageBreakBefore w:val="0"/>
              <w:widowControl/>
              <w:kinsoku/>
              <w:wordWrap/>
              <w:overflowPunct/>
              <w:topLinePunct w:val="0"/>
              <w:bidi w:val="0"/>
              <w:spacing w:line="360" w:lineRule="exact"/>
              <w:jc w:val="left"/>
              <w:textAlignment w:val="auto"/>
              <w:rPr>
                <w:rFonts w:ascii="宋体" w:hAnsi="宋体"/>
                <w:sz w:val="21"/>
                <w:szCs w:val="21"/>
              </w:rPr>
            </w:pPr>
            <w:r>
              <w:rPr>
                <w:rFonts w:hint="eastAsia"/>
                <w:sz w:val="21"/>
                <w:szCs w:val="21"/>
                <w:shd w:val="clear" w:color="auto" w:fill="FFFFFF"/>
              </w:rPr>
              <w:t>内容较完整；方案与措施满足施工要求</w:t>
            </w:r>
            <w:r>
              <w:rPr>
                <w:rFonts w:hint="eastAsia" w:ascii="宋体" w:hAnsi="宋体"/>
                <w:kern w:val="0"/>
                <w:sz w:val="21"/>
                <w:szCs w:val="21"/>
              </w:rPr>
              <w:t>，9.0</w:t>
            </w:r>
            <w:r>
              <w:rPr>
                <w:rFonts w:ascii="宋体" w:hAnsi="宋体"/>
                <w:kern w:val="0"/>
                <w:sz w:val="21"/>
                <w:szCs w:val="21"/>
              </w:rPr>
              <w:t>-</w:t>
            </w:r>
            <w:r>
              <w:rPr>
                <w:rFonts w:hint="eastAsia" w:ascii="宋体" w:hAnsi="宋体"/>
                <w:kern w:val="0"/>
                <w:sz w:val="21"/>
                <w:szCs w:val="21"/>
              </w:rPr>
              <w:t>12.0分</w:t>
            </w:r>
          </w:p>
        </w:tc>
      </w:tr>
      <w:tr w14:paraId="50740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6A833532">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002" w:type="dxa"/>
            <w:vMerge w:val="continue"/>
            <w:vAlign w:val="center"/>
          </w:tcPr>
          <w:p w14:paraId="469C9F72">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993" w:type="dxa"/>
            <w:vMerge w:val="continue"/>
            <w:vAlign w:val="center"/>
          </w:tcPr>
          <w:p w14:paraId="019DC1EB">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264" w:type="dxa"/>
            <w:vMerge w:val="continue"/>
            <w:vAlign w:val="center"/>
          </w:tcPr>
          <w:p w14:paraId="1C24FE42">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p>
        </w:tc>
        <w:tc>
          <w:tcPr>
            <w:tcW w:w="877" w:type="dxa"/>
            <w:vMerge w:val="continue"/>
            <w:tcBorders>
              <w:bottom w:val="single" w:color="auto" w:sz="4" w:space="0"/>
            </w:tcBorders>
            <w:vAlign w:val="center"/>
          </w:tcPr>
          <w:p w14:paraId="523AF20F">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p>
        </w:tc>
        <w:tc>
          <w:tcPr>
            <w:tcW w:w="4972" w:type="dxa"/>
            <w:tcBorders>
              <w:right w:val="single" w:color="auto" w:sz="4" w:space="0"/>
            </w:tcBorders>
            <w:vAlign w:val="center"/>
          </w:tcPr>
          <w:p w14:paraId="3A6504C0">
            <w:pPr>
              <w:pageBreakBefore w:val="0"/>
              <w:widowControl/>
              <w:kinsoku/>
              <w:wordWrap/>
              <w:overflowPunct/>
              <w:topLinePunct w:val="0"/>
              <w:bidi w:val="0"/>
              <w:spacing w:line="360" w:lineRule="exact"/>
              <w:jc w:val="left"/>
              <w:textAlignment w:val="auto"/>
              <w:rPr>
                <w:rFonts w:ascii="宋体" w:hAnsi="宋体"/>
                <w:sz w:val="21"/>
                <w:szCs w:val="21"/>
              </w:rPr>
            </w:pPr>
            <w:r>
              <w:rPr>
                <w:rFonts w:hint="eastAsia"/>
                <w:sz w:val="21"/>
                <w:szCs w:val="21"/>
                <w:shd w:val="clear" w:color="auto" w:fill="FFFFFF"/>
              </w:rPr>
              <w:t>内容完整；方案与措施基本满足施工要求</w:t>
            </w:r>
            <w:r>
              <w:rPr>
                <w:rFonts w:hint="eastAsia" w:ascii="宋体" w:hAnsi="宋体"/>
                <w:kern w:val="0"/>
                <w:sz w:val="21"/>
                <w:szCs w:val="21"/>
              </w:rPr>
              <w:t>，9.0分</w:t>
            </w:r>
          </w:p>
        </w:tc>
      </w:tr>
      <w:tr w14:paraId="3DAD9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0F2644C8">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002" w:type="dxa"/>
            <w:vMerge w:val="continue"/>
            <w:vAlign w:val="center"/>
          </w:tcPr>
          <w:p w14:paraId="4A296CF2">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993" w:type="dxa"/>
            <w:vMerge w:val="continue"/>
            <w:vAlign w:val="center"/>
          </w:tcPr>
          <w:p w14:paraId="324553E9">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264" w:type="dxa"/>
            <w:vMerge w:val="restart"/>
            <w:tcBorders>
              <w:top w:val="single" w:color="auto" w:sz="4" w:space="0"/>
            </w:tcBorders>
            <w:vAlign w:val="center"/>
          </w:tcPr>
          <w:p w14:paraId="28B0DCE0">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r>
              <w:rPr>
                <w:rFonts w:hint="eastAsia" w:ascii="宋体" w:hAnsi="宋体" w:cs="宋体"/>
                <w:bCs/>
                <w:sz w:val="21"/>
                <w:szCs w:val="21"/>
              </w:rPr>
              <w:t>各类</w:t>
            </w:r>
            <w:r>
              <w:rPr>
                <w:rFonts w:hint="eastAsia" w:ascii="宋体" w:hAnsi="宋体" w:cs="宋体"/>
                <w:bCs/>
                <w:sz w:val="21"/>
                <w:szCs w:val="21"/>
                <w:lang w:val="zh-CN"/>
              </w:rPr>
              <w:t>保证体系及保证措施</w:t>
            </w:r>
          </w:p>
        </w:tc>
        <w:tc>
          <w:tcPr>
            <w:tcW w:w="877" w:type="dxa"/>
            <w:vMerge w:val="restart"/>
            <w:vAlign w:val="center"/>
          </w:tcPr>
          <w:p w14:paraId="24163EF0">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hint="eastAsia" w:ascii="宋体" w:hAnsi="宋体"/>
                <w:sz w:val="21"/>
                <w:szCs w:val="21"/>
              </w:rPr>
              <w:t>10分</w:t>
            </w:r>
          </w:p>
        </w:tc>
        <w:tc>
          <w:tcPr>
            <w:tcW w:w="4972" w:type="dxa"/>
            <w:tcBorders>
              <w:right w:val="single" w:color="auto" w:sz="4" w:space="0"/>
            </w:tcBorders>
            <w:vAlign w:val="center"/>
          </w:tcPr>
          <w:p w14:paraId="0479548F">
            <w:pPr>
              <w:pageBreakBefore w:val="0"/>
              <w:widowControl/>
              <w:kinsoku/>
              <w:wordWrap/>
              <w:overflowPunct/>
              <w:topLinePunct w:val="0"/>
              <w:bidi w:val="0"/>
              <w:spacing w:line="360" w:lineRule="exact"/>
              <w:jc w:val="left"/>
              <w:textAlignment w:val="auto"/>
              <w:rPr>
                <w:rFonts w:ascii="宋体" w:hAnsi="宋体"/>
                <w:sz w:val="21"/>
                <w:szCs w:val="21"/>
              </w:rPr>
            </w:pPr>
            <w:r>
              <w:rPr>
                <w:rFonts w:hint="eastAsia"/>
                <w:sz w:val="21"/>
                <w:szCs w:val="21"/>
                <w:shd w:val="clear" w:color="auto" w:fill="FFFFFF"/>
              </w:rPr>
              <w:t>保证体系和保证措施具有操作性、先进、合理</w:t>
            </w:r>
            <w:r>
              <w:rPr>
                <w:rFonts w:hint="eastAsia" w:ascii="宋体" w:hAnsi="宋体"/>
                <w:kern w:val="0"/>
                <w:sz w:val="21"/>
                <w:szCs w:val="21"/>
              </w:rPr>
              <w:t>，8</w:t>
            </w:r>
            <w:r>
              <w:rPr>
                <w:rFonts w:ascii="宋体" w:hAnsi="宋体"/>
                <w:kern w:val="0"/>
                <w:sz w:val="21"/>
                <w:szCs w:val="21"/>
              </w:rPr>
              <w:t>.</w:t>
            </w:r>
            <w:r>
              <w:rPr>
                <w:rFonts w:hint="eastAsia" w:ascii="宋体" w:hAnsi="宋体"/>
                <w:kern w:val="0"/>
                <w:sz w:val="21"/>
                <w:szCs w:val="21"/>
              </w:rPr>
              <w:t>0</w:t>
            </w:r>
            <w:r>
              <w:rPr>
                <w:rFonts w:ascii="宋体" w:hAnsi="宋体"/>
                <w:kern w:val="0"/>
                <w:sz w:val="21"/>
                <w:szCs w:val="21"/>
              </w:rPr>
              <w:t>-</w:t>
            </w:r>
            <w:r>
              <w:rPr>
                <w:rFonts w:hint="eastAsia" w:ascii="宋体" w:hAnsi="宋体"/>
                <w:kern w:val="0"/>
                <w:sz w:val="21"/>
                <w:szCs w:val="21"/>
              </w:rPr>
              <w:t>10</w:t>
            </w:r>
            <w:r>
              <w:rPr>
                <w:rFonts w:ascii="宋体" w:hAnsi="宋体"/>
                <w:kern w:val="0"/>
                <w:sz w:val="21"/>
                <w:szCs w:val="21"/>
              </w:rPr>
              <w:t>.0</w:t>
            </w:r>
            <w:r>
              <w:rPr>
                <w:rFonts w:hint="eastAsia" w:ascii="宋体" w:hAnsi="宋体"/>
                <w:kern w:val="0"/>
                <w:sz w:val="21"/>
                <w:szCs w:val="21"/>
              </w:rPr>
              <w:t>分</w:t>
            </w:r>
          </w:p>
        </w:tc>
      </w:tr>
      <w:tr w14:paraId="163DC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487F65FA">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002" w:type="dxa"/>
            <w:vMerge w:val="continue"/>
            <w:vAlign w:val="center"/>
          </w:tcPr>
          <w:p w14:paraId="5A78100B">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993" w:type="dxa"/>
            <w:vMerge w:val="continue"/>
            <w:vAlign w:val="center"/>
          </w:tcPr>
          <w:p w14:paraId="4B0C693C">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264" w:type="dxa"/>
            <w:vMerge w:val="continue"/>
            <w:vAlign w:val="center"/>
          </w:tcPr>
          <w:p w14:paraId="362E0A93">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p>
        </w:tc>
        <w:tc>
          <w:tcPr>
            <w:tcW w:w="877" w:type="dxa"/>
            <w:vMerge w:val="continue"/>
            <w:vAlign w:val="center"/>
          </w:tcPr>
          <w:p w14:paraId="1F5872D6">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4972" w:type="dxa"/>
            <w:tcBorders>
              <w:right w:val="single" w:color="auto" w:sz="4" w:space="0"/>
            </w:tcBorders>
            <w:vAlign w:val="center"/>
          </w:tcPr>
          <w:p w14:paraId="1F3A2F85">
            <w:pPr>
              <w:pageBreakBefore w:val="0"/>
              <w:widowControl/>
              <w:kinsoku/>
              <w:wordWrap/>
              <w:overflowPunct/>
              <w:topLinePunct w:val="0"/>
              <w:bidi w:val="0"/>
              <w:spacing w:line="360" w:lineRule="exact"/>
              <w:jc w:val="left"/>
              <w:textAlignment w:val="auto"/>
              <w:rPr>
                <w:rFonts w:ascii="宋体" w:hAnsi="宋体"/>
                <w:sz w:val="21"/>
                <w:szCs w:val="21"/>
              </w:rPr>
            </w:pPr>
            <w:r>
              <w:rPr>
                <w:rFonts w:hint="eastAsia"/>
                <w:sz w:val="21"/>
                <w:szCs w:val="21"/>
                <w:shd w:val="clear" w:color="auto" w:fill="FFFFFF"/>
              </w:rPr>
              <w:t>方案与措施满足施工要求</w:t>
            </w:r>
            <w:r>
              <w:rPr>
                <w:rFonts w:hint="eastAsia" w:ascii="宋体" w:hAnsi="宋体"/>
                <w:kern w:val="0"/>
                <w:sz w:val="21"/>
                <w:szCs w:val="21"/>
              </w:rPr>
              <w:t>，6</w:t>
            </w:r>
            <w:r>
              <w:rPr>
                <w:rFonts w:ascii="宋体" w:hAnsi="宋体"/>
                <w:kern w:val="0"/>
                <w:sz w:val="21"/>
                <w:szCs w:val="21"/>
              </w:rPr>
              <w:t>.</w:t>
            </w:r>
            <w:r>
              <w:rPr>
                <w:rFonts w:hint="eastAsia" w:ascii="宋体" w:hAnsi="宋体"/>
                <w:kern w:val="0"/>
                <w:sz w:val="21"/>
                <w:szCs w:val="21"/>
              </w:rPr>
              <w:t>0</w:t>
            </w:r>
            <w:r>
              <w:rPr>
                <w:rFonts w:ascii="宋体" w:hAnsi="宋体"/>
                <w:kern w:val="0"/>
                <w:sz w:val="21"/>
                <w:szCs w:val="21"/>
              </w:rPr>
              <w:t>-</w:t>
            </w:r>
            <w:r>
              <w:rPr>
                <w:rFonts w:hint="eastAsia" w:ascii="宋体" w:hAnsi="宋体"/>
                <w:kern w:val="0"/>
                <w:sz w:val="21"/>
                <w:szCs w:val="21"/>
              </w:rPr>
              <w:t>8</w:t>
            </w:r>
            <w:r>
              <w:rPr>
                <w:rFonts w:ascii="宋体" w:hAnsi="宋体"/>
                <w:kern w:val="0"/>
                <w:sz w:val="21"/>
                <w:szCs w:val="21"/>
              </w:rPr>
              <w:t>.</w:t>
            </w:r>
            <w:r>
              <w:rPr>
                <w:rFonts w:hint="eastAsia" w:ascii="宋体" w:hAnsi="宋体"/>
                <w:kern w:val="0"/>
                <w:sz w:val="21"/>
                <w:szCs w:val="21"/>
              </w:rPr>
              <w:t>0分</w:t>
            </w:r>
          </w:p>
        </w:tc>
      </w:tr>
      <w:tr w14:paraId="40B75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5B419F67">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002" w:type="dxa"/>
            <w:vMerge w:val="continue"/>
            <w:vAlign w:val="center"/>
          </w:tcPr>
          <w:p w14:paraId="7F8D2880">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993" w:type="dxa"/>
            <w:vMerge w:val="continue"/>
            <w:vAlign w:val="center"/>
          </w:tcPr>
          <w:p w14:paraId="6557C0E4">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264" w:type="dxa"/>
            <w:vMerge w:val="continue"/>
            <w:vAlign w:val="center"/>
          </w:tcPr>
          <w:p w14:paraId="728FD78C">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p>
        </w:tc>
        <w:tc>
          <w:tcPr>
            <w:tcW w:w="877" w:type="dxa"/>
            <w:vMerge w:val="continue"/>
            <w:tcBorders>
              <w:bottom w:val="single" w:color="auto" w:sz="4" w:space="0"/>
            </w:tcBorders>
            <w:vAlign w:val="center"/>
          </w:tcPr>
          <w:p w14:paraId="134D0535">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4972" w:type="dxa"/>
            <w:tcBorders>
              <w:right w:val="single" w:color="auto" w:sz="4" w:space="0"/>
            </w:tcBorders>
            <w:vAlign w:val="center"/>
          </w:tcPr>
          <w:p w14:paraId="0CCD72BC">
            <w:pPr>
              <w:pageBreakBefore w:val="0"/>
              <w:widowControl/>
              <w:kinsoku/>
              <w:wordWrap/>
              <w:overflowPunct/>
              <w:topLinePunct w:val="0"/>
              <w:bidi w:val="0"/>
              <w:spacing w:line="360" w:lineRule="exact"/>
              <w:jc w:val="left"/>
              <w:textAlignment w:val="auto"/>
              <w:rPr>
                <w:rFonts w:ascii="宋体" w:hAnsi="宋体"/>
                <w:sz w:val="21"/>
                <w:szCs w:val="21"/>
              </w:rPr>
            </w:pPr>
            <w:r>
              <w:rPr>
                <w:rFonts w:hint="eastAsia"/>
                <w:sz w:val="21"/>
                <w:szCs w:val="21"/>
                <w:shd w:val="clear" w:color="auto" w:fill="FFFFFF"/>
              </w:rPr>
              <w:t>方案与措施基本满足施工要求</w:t>
            </w:r>
            <w:r>
              <w:rPr>
                <w:rFonts w:hint="eastAsia" w:ascii="宋体" w:hAnsi="宋体"/>
                <w:kern w:val="0"/>
                <w:sz w:val="21"/>
                <w:szCs w:val="21"/>
              </w:rPr>
              <w:t>，6</w:t>
            </w:r>
            <w:r>
              <w:rPr>
                <w:rFonts w:ascii="宋体" w:hAnsi="宋体"/>
                <w:kern w:val="0"/>
                <w:sz w:val="21"/>
                <w:szCs w:val="21"/>
              </w:rPr>
              <w:t>.</w:t>
            </w:r>
            <w:r>
              <w:rPr>
                <w:rFonts w:hint="eastAsia" w:ascii="宋体" w:hAnsi="宋体"/>
                <w:kern w:val="0"/>
                <w:sz w:val="21"/>
                <w:szCs w:val="21"/>
              </w:rPr>
              <w:t>0分</w:t>
            </w:r>
          </w:p>
        </w:tc>
      </w:tr>
      <w:tr w14:paraId="1B16A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55958012">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002" w:type="dxa"/>
            <w:vMerge w:val="continue"/>
            <w:vAlign w:val="center"/>
          </w:tcPr>
          <w:p w14:paraId="635F1824">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993" w:type="dxa"/>
            <w:vMerge w:val="continue"/>
            <w:vAlign w:val="center"/>
          </w:tcPr>
          <w:p w14:paraId="522E029B">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264" w:type="dxa"/>
            <w:vMerge w:val="restart"/>
            <w:tcBorders>
              <w:top w:val="single" w:color="auto" w:sz="4" w:space="0"/>
            </w:tcBorders>
            <w:vAlign w:val="center"/>
          </w:tcPr>
          <w:p w14:paraId="4A26D2DE">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hint="eastAsia" w:ascii="宋体" w:hAnsi="宋体"/>
                <w:sz w:val="21"/>
                <w:szCs w:val="21"/>
              </w:rPr>
              <w:t>项目风险预测与防范，事故应急预案</w:t>
            </w:r>
          </w:p>
        </w:tc>
        <w:tc>
          <w:tcPr>
            <w:tcW w:w="877" w:type="dxa"/>
            <w:vMerge w:val="restart"/>
            <w:vAlign w:val="center"/>
          </w:tcPr>
          <w:p w14:paraId="4E747154">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hint="eastAsia" w:ascii="宋体" w:hAnsi="宋体"/>
                <w:sz w:val="21"/>
                <w:szCs w:val="21"/>
              </w:rPr>
              <w:t>5分</w:t>
            </w:r>
          </w:p>
        </w:tc>
        <w:tc>
          <w:tcPr>
            <w:tcW w:w="4972" w:type="dxa"/>
            <w:tcBorders>
              <w:right w:val="single" w:color="auto" w:sz="4" w:space="0"/>
            </w:tcBorders>
            <w:vAlign w:val="center"/>
          </w:tcPr>
          <w:p w14:paraId="642C85D2">
            <w:pPr>
              <w:pageBreakBefore w:val="0"/>
              <w:kinsoku/>
              <w:wordWrap/>
              <w:overflowPunct/>
              <w:topLinePunct w:val="0"/>
              <w:bidi w:val="0"/>
              <w:spacing w:line="360" w:lineRule="exact"/>
              <w:textAlignment w:val="auto"/>
              <w:rPr>
                <w:rFonts w:ascii="宋体" w:hAnsi="宋体"/>
                <w:sz w:val="21"/>
                <w:szCs w:val="21"/>
              </w:rPr>
            </w:pPr>
            <w:r>
              <w:rPr>
                <w:rFonts w:hint="eastAsia"/>
                <w:sz w:val="21"/>
                <w:szCs w:val="21"/>
                <w:shd w:val="clear" w:color="auto" w:fill="FFFFFF"/>
              </w:rPr>
              <w:t>项目风险预测与防范具体，预案具有操作性、先进、合理</w:t>
            </w:r>
            <w:r>
              <w:rPr>
                <w:rFonts w:hint="eastAsia" w:ascii="宋体" w:hAnsi="宋体"/>
                <w:sz w:val="21"/>
                <w:szCs w:val="21"/>
              </w:rPr>
              <w:t>，4</w:t>
            </w:r>
            <w:r>
              <w:rPr>
                <w:rFonts w:ascii="宋体" w:hAnsi="宋体"/>
                <w:sz w:val="21"/>
                <w:szCs w:val="21"/>
              </w:rPr>
              <w:t>.</w:t>
            </w:r>
            <w:r>
              <w:rPr>
                <w:rFonts w:hint="eastAsia" w:ascii="宋体" w:hAnsi="宋体"/>
                <w:sz w:val="21"/>
                <w:szCs w:val="21"/>
              </w:rPr>
              <w:t>0-5.0 分</w:t>
            </w:r>
          </w:p>
        </w:tc>
      </w:tr>
      <w:tr w14:paraId="526ED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5048E5F8">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002" w:type="dxa"/>
            <w:vMerge w:val="continue"/>
            <w:vAlign w:val="center"/>
          </w:tcPr>
          <w:p w14:paraId="17AB2D4B">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993" w:type="dxa"/>
            <w:vMerge w:val="continue"/>
            <w:vAlign w:val="center"/>
          </w:tcPr>
          <w:p w14:paraId="1CF553B1">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264" w:type="dxa"/>
            <w:vMerge w:val="continue"/>
            <w:vAlign w:val="center"/>
          </w:tcPr>
          <w:p w14:paraId="0A985EAF">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877" w:type="dxa"/>
            <w:vMerge w:val="continue"/>
            <w:vAlign w:val="center"/>
          </w:tcPr>
          <w:p w14:paraId="12750797">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4972" w:type="dxa"/>
            <w:tcBorders>
              <w:right w:val="single" w:color="auto" w:sz="4" w:space="0"/>
            </w:tcBorders>
            <w:vAlign w:val="center"/>
          </w:tcPr>
          <w:p w14:paraId="2EB0DF2F">
            <w:pPr>
              <w:pageBreakBefore w:val="0"/>
              <w:kinsoku/>
              <w:wordWrap/>
              <w:overflowPunct/>
              <w:topLinePunct w:val="0"/>
              <w:bidi w:val="0"/>
              <w:spacing w:line="360" w:lineRule="exact"/>
              <w:textAlignment w:val="auto"/>
              <w:rPr>
                <w:rFonts w:ascii="宋体" w:hAnsi="宋体"/>
                <w:sz w:val="21"/>
                <w:szCs w:val="21"/>
              </w:rPr>
            </w:pPr>
            <w:r>
              <w:rPr>
                <w:rFonts w:hint="eastAsia"/>
                <w:sz w:val="21"/>
                <w:szCs w:val="21"/>
                <w:shd w:val="clear" w:color="auto" w:fill="FFFFFF"/>
              </w:rPr>
              <w:t>事故应急预案满足施工要求</w:t>
            </w:r>
            <w:r>
              <w:rPr>
                <w:rFonts w:hint="eastAsia" w:ascii="宋体" w:hAnsi="宋体"/>
                <w:sz w:val="21"/>
                <w:szCs w:val="21"/>
              </w:rPr>
              <w:t>，3.0-4.0分</w:t>
            </w:r>
          </w:p>
        </w:tc>
      </w:tr>
      <w:tr w14:paraId="45BEB4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atLeast"/>
        </w:trPr>
        <w:tc>
          <w:tcPr>
            <w:tcW w:w="587" w:type="dxa"/>
            <w:vMerge w:val="continue"/>
            <w:tcBorders>
              <w:left w:val="single" w:color="auto" w:sz="4" w:space="0"/>
            </w:tcBorders>
            <w:vAlign w:val="center"/>
          </w:tcPr>
          <w:p w14:paraId="0073D3D6">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002" w:type="dxa"/>
            <w:vMerge w:val="continue"/>
            <w:vAlign w:val="center"/>
          </w:tcPr>
          <w:p w14:paraId="76925FDA">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993" w:type="dxa"/>
            <w:vMerge w:val="continue"/>
            <w:vAlign w:val="center"/>
          </w:tcPr>
          <w:p w14:paraId="6874275A">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264" w:type="dxa"/>
            <w:vMerge w:val="continue"/>
            <w:vAlign w:val="center"/>
          </w:tcPr>
          <w:p w14:paraId="4B16A87F">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877" w:type="dxa"/>
            <w:vMerge w:val="continue"/>
            <w:tcBorders>
              <w:bottom w:val="single" w:color="auto" w:sz="4" w:space="0"/>
            </w:tcBorders>
            <w:vAlign w:val="center"/>
          </w:tcPr>
          <w:p w14:paraId="3F4AF331">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4972" w:type="dxa"/>
            <w:tcBorders>
              <w:right w:val="single" w:color="auto" w:sz="4" w:space="0"/>
            </w:tcBorders>
            <w:vAlign w:val="center"/>
          </w:tcPr>
          <w:p w14:paraId="39607D96">
            <w:pPr>
              <w:pageBreakBefore w:val="0"/>
              <w:kinsoku/>
              <w:wordWrap/>
              <w:overflowPunct/>
              <w:topLinePunct w:val="0"/>
              <w:bidi w:val="0"/>
              <w:spacing w:line="360" w:lineRule="exact"/>
              <w:textAlignment w:val="auto"/>
              <w:rPr>
                <w:rFonts w:ascii="宋体" w:hAnsi="宋体"/>
                <w:sz w:val="21"/>
                <w:szCs w:val="21"/>
              </w:rPr>
            </w:pPr>
            <w:r>
              <w:rPr>
                <w:rFonts w:hint="eastAsia"/>
                <w:sz w:val="21"/>
                <w:szCs w:val="21"/>
                <w:shd w:val="clear" w:color="auto" w:fill="FFFFFF"/>
              </w:rPr>
              <w:t>事故应急预案基本满足施工要求</w:t>
            </w:r>
            <w:r>
              <w:rPr>
                <w:rFonts w:hint="eastAsia" w:ascii="宋体" w:hAnsi="宋体"/>
                <w:sz w:val="21"/>
                <w:szCs w:val="21"/>
              </w:rPr>
              <w:t>，3.0分</w:t>
            </w:r>
          </w:p>
        </w:tc>
      </w:tr>
      <w:tr w14:paraId="669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27" w:hRule="atLeast"/>
        </w:trPr>
        <w:tc>
          <w:tcPr>
            <w:tcW w:w="587" w:type="dxa"/>
            <w:vMerge w:val="restart"/>
            <w:vAlign w:val="center"/>
          </w:tcPr>
          <w:p w14:paraId="4027A66C">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2.2.</w:t>
            </w:r>
            <w:r>
              <w:rPr>
                <w:rFonts w:hint="eastAsia" w:ascii="宋体" w:hAnsi="宋体"/>
                <w:sz w:val="21"/>
                <w:szCs w:val="21"/>
              </w:rPr>
              <w:t>2</w:t>
            </w:r>
            <w:r>
              <w:rPr>
                <w:rFonts w:ascii="宋体" w:hAnsi="宋体"/>
                <w:sz w:val="21"/>
                <w:szCs w:val="21"/>
              </w:rPr>
              <w:t>（2）</w:t>
            </w:r>
          </w:p>
        </w:tc>
        <w:tc>
          <w:tcPr>
            <w:tcW w:w="1002" w:type="dxa"/>
            <w:vMerge w:val="restart"/>
            <w:vAlign w:val="center"/>
          </w:tcPr>
          <w:p w14:paraId="4C28642F">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hint="eastAsia" w:ascii="宋体" w:hAnsi="宋体"/>
                <w:sz w:val="21"/>
                <w:szCs w:val="21"/>
              </w:rPr>
              <w:t>主要</w:t>
            </w:r>
            <w:r>
              <w:rPr>
                <w:rFonts w:ascii="宋体" w:hAnsi="宋体"/>
                <w:sz w:val="21"/>
                <w:szCs w:val="21"/>
              </w:rPr>
              <w:br w:type="textWrapping"/>
            </w:r>
            <w:r>
              <w:rPr>
                <w:rFonts w:hint="eastAsia" w:ascii="宋体" w:hAnsi="宋体"/>
                <w:sz w:val="21"/>
                <w:szCs w:val="21"/>
              </w:rPr>
              <w:t>人员</w:t>
            </w:r>
          </w:p>
        </w:tc>
        <w:tc>
          <w:tcPr>
            <w:tcW w:w="993" w:type="dxa"/>
            <w:vMerge w:val="restart"/>
            <w:vAlign w:val="center"/>
          </w:tcPr>
          <w:p w14:paraId="44984EF1">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25分</w:t>
            </w:r>
          </w:p>
        </w:tc>
        <w:tc>
          <w:tcPr>
            <w:tcW w:w="1264" w:type="dxa"/>
            <w:vAlign w:val="center"/>
          </w:tcPr>
          <w:p w14:paraId="221954A9">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项目经理</w:t>
            </w:r>
          </w:p>
          <w:p w14:paraId="40D19A75">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任职资格与业绩</w:t>
            </w:r>
          </w:p>
        </w:tc>
        <w:tc>
          <w:tcPr>
            <w:tcW w:w="877" w:type="dxa"/>
            <w:vAlign w:val="center"/>
          </w:tcPr>
          <w:p w14:paraId="441F43C9">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15</w:t>
            </w:r>
            <w:r>
              <w:rPr>
                <w:rFonts w:hint="eastAsia" w:ascii="宋体" w:hAnsi="宋体"/>
                <w:sz w:val="21"/>
                <w:szCs w:val="21"/>
              </w:rPr>
              <w:t>分</w:t>
            </w:r>
          </w:p>
        </w:tc>
        <w:tc>
          <w:tcPr>
            <w:tcW w:w="4972" w:type="dxa"/>
            <w:vAlign w:val="center"/>
          </w:tcPr>
          <w:p w14:paraId="7E784238">
            <w:pPr>
              <w:pStyle w:val="5"/>
              <w:pageBreakBefore w:val="0"/>
              <w:kinsoku/>
              <w:wordWrap/>
              <w:overflowPunct/>
              <w:topLinePunct w:val="0"/>
              <w:bidi w:val="0"/>
              <w:spacing w:line="360" w:lineRule="exact"/>
              <w:textAlignment w:val="auto"/>
              <w:rPr>
                <w:rFonts w:ascii="宋体" w:hAnsi="宋体"/>
                <w:sz w:val="21"/>
                <w:szCs w:val="21"/>
                <w:highlight w:val="none"/>
              </w:rPr>
            </w:pPr>
            <w:r>
              <w:rPr>
                <w:rFonts w:hint="eastAsia" w:ascii="宋体" w:hAnsi="宋体"/>
                <w:sz w:val="21"/>
                <w:szCs w:val="21"/>
                <w:highlight w:val="none"/>
              </w:rPr>
              <w:t>满足最低资格审查条件得9分，</w:t>
            </w:r>
            <w:r>
              <w:rPr>
                <w:rFonts w:hint="eastAsia"/>
                <w:sz w:val="21"/>
                <w:szCs w:val="21"/>
                <w:highlight w:val="none"/>
              </w:rPr>
              <w:t>在此基础上，担任过二级或二级以上公路沥青混凝土路面养护工程（指修复性养护，包括大、中修养护、路面改造工程)施工的项目的项目经理业绩</w:t>
            </w:r>
            <w:r>
              <w:rPr>
                <w:rFonts w:hint="eastAsia"/>
                <w:b/>
                <w:bCs/>
                <w:sz w:val="21"/>
                <w:szCs w:val="21"/>
                <w:highlight w:val="none"/>
                <w:u w:val="wave"/>
              </w:rPr>
              <w:t>，每增加一项</w:t>
            </w:r>
            <w:r>
              <w:rPr>
                <w:rFonts w:hint="eastAsia"/>
                <w:sz w:val="21"/>
                <w:szCs w:val="21"/>
                <w:highlight w:val="none"/>
              </w:rPr>
              <w:t>加3分</w:t>
            </w:r>
            <w:r>
              <w:rPr>
                <w:rFonts w:hint="eastAsia" w:ascii="宋体" w:hAnsi="宋体"/>
                <w:sz w:val="21"/>
                <w:szCs w:val="21"/>
                <w:highlight w:val="none"/>
              </w:rPr>
              <w:t>，最多加6分。</w:t>
            </w:r>
          </w:p>
        </w:tc>
      </w:tr>
      <w:tr w14:paraId="2E8E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04" w:hRule="atLeast"/>
        </w:trPr>
        <w:tc>
          <w:tcPr>
            <w:tcW w:w="587" w:type="dxa"/>
            <w:vMerge w:val="continue"/>
            <w:vAlign w:val="center"/>
          </w:tcPr>
          <w:p w14:paraId="70556481">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002" w:type="dxa"/>
            <w:vMerge w:val="continue"/>
            <w:vAlign w:val="center"/>
          </w:tcPr>
          <w:p w14:paraId="16FDA5FF">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993" w:type="dxa"/>
            <w:vMerge w:val="continue"/>
            <w:vAlign w:val="center"/>
          </w:tcPr>
          <w:p w14:paraId="1BD5E84D">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1264" w:type="dxa"/>
            <w:vAlign w:val="center"/>
          </w:tcPr>
          <w:p w14:paraId="783DA271">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r>
              <w:rPr>
                <w:rFonts w:ascii="宋体" w:hAnsi="宋体"/>
                <w:sz w:val="21"/>
                <w:szCs w:val="21"/>
              </w:rPr>
              <w:t>项目总工</w:t>
            </w:r>
          </w:p>
          <w:p w14:paraId="6F8DCC66">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任职资格与业绩</w:t>
            </w:r>
          </w:p>
        </w:tc>
        <w:tc>
          <w:tcPr>
            <w:tcW w:w="877" w:type="dxa"/>
            <w:vAlign w:val="center"/>
          </w:tcPr>
          <w:p w14:paraId="2DE74EEE">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hint="eastAsia" w:ascii="宋体" w:hAnsi="宋体"/>
                <w:sz w:val="21"/>
                <w:szCs w:val="21"/>
              </w:rPr>
              <w:t>10分</w:t>
            </w:r>
          </w:p>
        </w:tc>
        <w:tc>
          <w:tcPr>
            <w:tcW w:w="4972" w:type="dxa"/>
            <w:vAlign w:val="center"/>
          </w:tcPr>
          <w:p w14:paraId="1DCBCD44">
            <w:pPr>
              <w:pStyle w:val="5"/>
              <w:pageBreakBefore w:val="0"/>
              <w:kinsoku/>
              <w:wordWrap/>
              <w:overflowPunct/>
              <w:topLinePunct w:val="0"/>
              <w:bidi w:val="0"/>
              <w:spacing w:line="360" w:lineRule="exact"/>
              <w:textAlignment w:val="auto"/>
              <w:rPr>
                <w:rFonts w:ascii="宋体" w:hAnsi="宋体"/>
                <w:sz w:val="21"/>
                <w:szCs w:val="21"/>
                <w:highlight w:val="none"/>
              </w:rPr>
            </w:pPr>
            <w:r>
              <w:rPr>
                <w:rFonts w:hint="eastAsia" w:ascii="宋体" w:hAnsi="宋体"/>
                <w:sz w:val="21"/>
                <w:szCs w:val="21"/>
                <w:highlight w:val="none"/>
              </w:rPr>
              <w:t>满足最低资格审查条件得6分，</w:t>
            </w:r>
            <w:r>
              <w:rPr>
                <w:rFonts w:hint="eastAsia"/>
                <w:sz w:val="21"/>
                <w:szCs w:val="21"/>
                <w:highlight w:val="none"/>
              </w:rPr>
              <w:t>在此基础上，担任过二级或二级以上公路沥青混凝土路面养护工程（指修复性养护，包括大、中修养护、路面改造工程)施工的项目的</w:t>
            </w:r>
            <w:r>
              <w:rPr>
                <w:rFonts w:ascii="宋体" w:hAnsi="宋体"/>
                <w:sz w:val="21"/>
                <w:szCs w:val="21"/>
                <w:highlight w:val="none"/>
              </w:rPr>
              <w:t>项目总工</w:t>
            </w:r>
            <w:r>
              <w:rPr>
                <w:rFonts w:hint="eastAsia"/>
                <w:sz w:val="21"/>
                <w:szCs w:val="21"/>
                <w:highlight w:val="none"/>
              </w:rPr>
              <w:t>业绩</w:t>
            </w:r>
            <w:r>
              <w:rPr>
                <w:rFonts w:hint="eastAsia"/>
                <w:b/>
                <w:bCs/>
                <w:sz w:val="21"/>
                <w:szCs w:val="21"/>
                <w:highlight w:val="none"/>
                <w:u w:val="wave"/>
              </w:rPr>
              <w:t>，每增加一项</w:t>
            </w:r>
            <w:r>
              <w:rPr>
                <w:rFonts w:hint="eastAsia"/>
                <w:sz w:val="21"/>
                <w:szCs w:val="21"/>
                <w:highlight w:val="none"/>
              </w:rPr>
              <w:t>加</w:t>
            </w:r>
            <w:r>
              <w:rPr>
                <w:rFonts w:hint="eastAsia"/>
                <w:sz w:val="21"/>
                <w:szCs w:val="21"/>
                <w:highlight w:val="none"/>
                <w:lang w:val="en-US" w:eastAsia="zh-CN"/>
              </w:rPr>
              <w:t>2</w:t>
            </w:r>
            <w:r>
              <w:rPr>
                <w:rFonts w:hint="eastAsia"/>
                <w:sz w:val="21"/>
                <w:szCs w:val="21"/>
                <w:highlight w:val="none"/>
              </w:rPr>
              <w:t>分</w:t>
            </w:r>
            <w:r>
              <w:rPr>
                <w:rFonts w:hint="eastAsia" w:ascii="宋体" w:hAnsi="宋体"/>
                <w:sz w:val="21"/>
                <w:szCs w:val="21"/>
                <w:highlight w:val="none"/>
              </w:rPr>
              <w:t>，最多加4分。</w:t>
            </w:r>
          </w:p>
        </w:tc>
      </w:tr>
    </w:tbl>
    <w:p w14:paraId="27A4D35B">
      <w:pPr>
        <w:pageBreakBefore w:val="0"/>
        <w:kinsoku/>
        <w:wordWrap/>
        <w:overflowPunct/>
        <w:topLinePunct w:val="0"/>
        <w:bidi w:val="0"/>
        <w:spacing w:line="360" w:lineRule="exact"/>
        <w:textAlignment w:val="auto"/>
        <w:rPr>
          <w:sz w:val="21"/>
          <w:szCs w:val="21"/>
        </w:rPr>
      </w:pPr>
      <w:r>
        <w:rPr>
          <w:sz w:val="21"/>
          <w:szCs w:val="21"/>
        </w:rPr>
        <w:br w:type="page"/>
      </w:r>
    </w:p>
    <w:p w14:paraId="794D23D2">
      <w:pPr>
        <w:pageBreakBefore w:val="0"/>
        <w:kinsoku/>
        <w:wordWrap/>
        <w:overflowPunct/>
        <w:topLinePunct w:val="0"/>
        <w:bidi w:val="0"/>
        <w:spacing w:line="360" w:lineRule="exact"/>
        <w:jc w:val="right"/>
        <w:textAlignment w:val="auto"/>
        <w:rPr>
          <w:sz w:val="21"/>
          <w:szCs w:val="21"/>
        </w:rPr>
      </w:pPr>
      <w:r>
        <w:rPr>
          <w:rFonts w:hint="eastAsia"/>
          <w:sz w:val="21"/>
          <w:szCs w:val="21"/>
        </w:rPr>
        <w:t>续上表</w:t>
      </w:r>
    </w:p>
    <w:tbl>
      <w:tblPr>
        <w:tblStyle w:val="13"/>
        <w:tblW w:w="87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32"/>
        <w:gridCol w:w="453"/>
        <w:gridCol w:w="455"/>
        <w:gridCol w:w="902"/>
        <w:gridCol w:w="899"/>
        <w:gridCol w:w="773"/>
        <w:gridCol w:w="4784"/>
      </w:tblGrid>
      <w:tr w14:paraId="575D263B">
        <w:tblPrEx>
          <w:tblCellMar>
            <w:top w:w="0" w:type="dxa"/>
            <w:left w:w="28" w:type="dxa"/>
            <w:bottom w:w="0" w:type="dxa"/>
            <w:right w:w="28" w:type="dxa"/>
          </w:tblCellMar>
        </w:tblPrEx>
        <w:trPr>
          <w:cantSplit/>
          <w:trHeight w:val="591" w:hRule="atLeast"/>
          <w:tblHeader/>
        </w:trPr>
        <w:tc>
          <w:tcPr>
            <w:tcW w:w="532" w:type="dxa"/>
            <w:vMerge w:val="restart"/>
            <w:tcBorders>
              <w:top w:val="single" w:color="auto" w:sz="4" w:space="0"/>
              <w:left w:val="single" w:color="auto" w:sz="4" w:space="0"/>
              <w:right w:val="single" w:color="auto" w:sz="4" w:space="0"/>
            </w:tcBorders>
            <w:vAlign w:val="center"/>
          </w:tcPr>
          <w:p w14:paraId="1F64205C">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条款</w:t>
            </w:r>
          </w:p>
          <w:p w14:paraId="5F3A20A4">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号</w:t>
            </w:r>
          </w:p>
        </w:tc>
        <w:tc>
          <w:tcPr>
            <w:tcW w:w="3482" w:type="dxa"/>
            <w:gridSpan w:val="5"/>
            <w:tcBorders>
              <w:top w:val="single" w:color="auto" w:sz="4" w:space="0"/>
              <w:left w:val="single" w:color="auto" w:sz="4" w:space="0"/>
              <w:right w:val="single" w:color="auto" w:sz="4" w:space="0"/>
            </w:tcBorders>
            <w:vAlign w:val="center"/>
          </w:tcPr>
          <w:p w14:paraId="54032EC2">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评分因素与拟定权重分值</w:t>
            </w:r>
          </w:p>
        </w:tc>
        <w:tc>
          <w:tcPr>
            <w:tcW w:w="4784" w:type="dxa"/>
            <w:vMerge w:val="restart"/>
            <w:tcBorders>
              <w:top w:val="single" w:color="auto" w:sz="4" w:space="0"/>
              <w:left w:val="single" w:color="auto" w:sz="4" w:space="0"/>
              <w:right w:val="single" w:color="auto" w:sz="4" w:space="0"/>
            </w:tcBorders>
            <w:vAlign w:val="center"/>
          </w:tcPr>
          <w:p w14:paraId="1925B9FF">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评分标准</w:t>
            </w:r>
          </w:p>
        </w:tc>
      </w:tr>
      <w:tr w14:paraId="506A2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7" w:hRule="atLeast"/>
          <w:tblHeader/>
        </w:trPr>
        <w:tc>
          <w:tcPr>
            <w:tcW w:w="532" w:type="dxa"/>
            <w:vMerge w:val="continue"/>
            <w:tcBorders>
              <w:left w:val="single" w:color="auto" w:sz="4" w:space="0"/>
              <w:right w:val="single" w:color="auto" w:sz="4" w:space="0"/>
            </w:tcBorders>
            <w:vAlign w:val="center"/>
          </w:tcPr>
          <w:p w14:paraId="2B9080EC">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c>
          <w:tcPr>
            <w:tcW w:w="908" w:type="dxa"/>
            <w:gridSpan w:val="2"/>
            <w:tcBorders>
              <w:left w:val="single" w:color="auto" w:sz="4" w:space="0"/>
            </w:tcBorders>
            <w:vAlign w:val="center"/>
          </w:tcPr>
          <w:p w14:paraId="61AEAF41">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评分</w:t>
            </w:r>
            <w:r>
              <w:rPr>
                <w:rFonts w:ascii="宋体" w:hAnsi="宋体"/>
                <w:sz w:val="21"/>
                <w:szCs w:val="21"/>
              </w:rPr>
              <w:br w:type="textWrapping"/>
            </w:r>
            <w:r>
              <w:rPr>
                <w:rFonts w:ascii="宋体" w:hAnsi="宋体"/>
                <w:sz w:val="21"/>
                <w:szCs w:val="21"/>
              </w:rPr>
              <w:t>因素</w:t>
            </w:r>
          </w:p>
        </w:tc>
        <w:tc>
          <w:tcPr>
            <w:tcW w:w="902" w:type="dxa"/>
            <w:vAlign w:val="center"/>
          </w:tcPr>
          <w:p w14:paraId="0586426F">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评分因素</w:t>
            </w:r>
            <w:r>
              <w:rPr>
                <w:rFonts w:ascii="宋体" w:hAnsi="宋体"/>
                <w:sz w:val="21"/>
                <w:szCs w:val="21"/>
              </w:rPr>
              <w:br w:type="textWrapping"/>
            </w:r>
            <w:r>
              <w:rPr>
                <w:rFonts w:ascii="宋体" w:hAnsi="宋体"/>
                <w:sz w:val="21"/>
                <w:szCs w:val="21"/>
              </w:rPr>
              <w:t>权重分值</w:t>
            </w:r>
          </w:p>
        </w:tc>
        <w:tc>
          <w:tcPr>
            <w:tcW w:w="899" w:type="dxa"/>
            <w:vAlign w:val="center"/>
          </w:tcPr>
          <w:p w14:paraId="0AAF4C6F">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各评分因</w:t>
            </w:r>
          </w:p>
          <w:p w14:paraId="0213E2F8">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素细分项</w:t>
            </w:r>
          </w:p>
        </w:tc>
        <w:tc>
          <w:tcPr>
            <w:tcW w:w="773" w:type="dxa"/>
            <w:tcBorders>
              <w:right w:val="single" w:color="auto" w:sz="4" w:space="0"/>
            </w:tcBorders>
            <w:vAlign w:val="center"/>
          </w:tcPr>
          <w:p w14:paraId="4FF6F0C0">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r>
              <w:rPr>
                <w:rFonts w:ascii="宋体" w:hAnsi="宋体"/>
                <w:sz w:val="21"/>
                <w:szCs w:val="21"/>
              </w:rPr>
              <w:t>分值</w:t>
            </w:r>
          </w:p>
        </w:tc>
        <w:tc>
          <w:tcPr>
            <w:tcW w:w="4784" w:type="dxa"/>
            <w:vMerge w:val="continue"/>
            <w:tcBorders>
              <w:left w:val="single" w:color="auto" w:sz="4" w:space="0"/>
              <w:right w:val="single" w:color="auto" w:sz="4" w:space="0"/>
            </w:tcBorders>
            <w:vAlign w:val="center"/>
          </w:tcPr>
          <w:p w14:paraId="4F7ED97B">
            <w:pPr>
              <w:pageBreakBefore w:val="0"/>
              <w:kinsoku/>
              <w:wordWrap/>
              <w:overflowPunct/>
              <w:topLinePunct w:val="0"/>
              <w:bidi w:val="0"/>
              <w:adjustRightInd w:val="0"/>
              <w:snapToGrid w:val="0"/>
              <w:spacing w:before="24" w:beforeLines="10" w:after="24" w:afterLines="10" w:line="360" w:lineRule="exact"/>
              <w:jc w:val="center"/>
              <w:textAlignment w:val="auto"/>
              <w:rPr>
                <w:rFonts w:ascii="宋体" w:hAnsi="宋体"/>
                <w:sz w:val="21"/>
                <w:szCs w:val="21"/>
              </w:rPr>
            </w:pPr>
          </w:p>
        </w:tc>
      </w:tr>
      <w:tr w14:paraId="3AC8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5" w:hRule="atLeast"/>
        </w:trPr>
        <w:tc>
          <w:tcPr>
            <w:tcW w:w="532" w:type="dxa"/>
            <w:vMerge w:val="restart"/>
            <w:vAlign w:val="center"/>
          </w:tcPr>
          <w:p w14:paraId="1412174D">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r>
              <w:rPr>
                <w:rFonts w:ascii="宋体" w:hAnsi="宋体"/>
                <w:sz w:val="21"/>
                <w:szCs w:val="21"/>
              </w:rPr>
              <w:t>2.2.</w:t>
            </w:r>
            <w:r>
              <w:rPr>
                <w:rFonts w:hint="eastAsia" w:ascii="宋体" w:hAnsi="宋体"/>
                <w:sz w:val="21"/>
                <w:szCs w:val="21"/>
              </w:rPr>
              <w:t>2</w:t>
            </w:r>
            <w:r>
              <w:rPr>
                <w:rFonts w:ascii="宋体" w:hAnsi="宋体"/>
                <w:sz w:val="21"/>
                <w:szCs w:val="21"/>
              </w:rPr>
              <w:t>（</w:t>
            </w:r>
            <w:r>
              <w:rPr>
                <w:rFonts w:hint="eastAsia" w:ascii="宋体" w:hAnsi="宋体"/>
                <w:sz w:val="21"/>
                <w:szCs w:val="21"/>
              </w:rPr>
              <w:t>3）</w:t>
            </w:r>
          </w:p>
        </w:tc>
        <w:tc>
          <w:tcPr>
            <w:tcW w:w="453" w:type="dxa"/>
            <w:vMerge w:val="restart"/>
            <w:vAlign w:val="center"/>
          </w:tcPr>
          <w:p w14:paraId="151498C0">
            <w:pPr>
              <w:pageBreakBefore w:val="0"/>
              <w:kinsoku/>
              <w:wordWrap/>
              <w:overflowPunct/>
              <w:topLinePunct w:val="0"/>
              <w:bidi w:val="0"/>
              <w:adjustRightInd w:val="0"/>
              <w:snapToGrid w:val="0"/>
              <w:spacing w:before="48" w:beforeLines="20" w:after="48" w:afterLines="20" w:line="360" w:lineRule="exact"/>
              <w:ind w:left="113" w:right="113"/>
              <w:jc w:val="center"/>
              <w:textAlignment w:val="auto"/>
              <w:rPr>
                <w:rFonts w:ascii="宋体" w:hAnsi="宋体"/>
                <w:sz w:val="21"/>
                <w:szCs w:val="21"/>
              </w:rPr>
            </w:pPr>
            <w:r>
              <w:rPr>
                <w:rFonts w:ascii="宋体" w:hAnsi="宋体"/>
                <w:sz w:val="21"/>
                <w:szCs w:val="21"/>
              </w:rPr>
              <w:t>其他因素</w:t>
            </w:r>
          </w:p>
        </w:tc>
        <w:tc>
          <w:tcPr>
            <w:tcW w:w="455" w:type="dxa"/>
            <w:vMerge w:val="restart"/>
            <w:vAlign w:val="center"/>
          </w:tcPr>
          <w:p w14:paraId="5234C4EE">
            <w:pPr>
              <w:pageBreakBefore w:val="0"/>
              <w:kinsoku/>
              <w:wordWrap/>
              <w:overflowPunct/>
              <w:topLinePunct w:val="0"/>
              <w:bidi w:val="0"/>
              <w:adjustRightInd w:val="0"/>
              <w:snapToGrid w:val="0"/>
              <w:spacing w:before="48" w:beforeLines="20" w:after="48" w:afterLines="20" w:line="360" w:lineRule="exact"/>
              <w:ind w:left="113" w:right="113"/>
              <w:jc w:val="center"/>
              <w:textAlignment w:val="auto"/>
              <w:rPr>
                <w:rFonts w:ascii="宋体" w:hAnsi="宋体"/>
                <w:sz w:val="21"/>
                <w:szCs w:val="21"/>
              </w:rPr>
            </w:pPr>
            <w:r>
              <w:rPr>
                <w:rFonts w:hint="eastAsia" w:ascii="宋体" w:hAnsi="宋体"/>
                <w:sz w:val="21"/>
                <w:szCs w:val="21"/>
              </w:rPr>
              <w:t>企业业绩</w:t>
            </w:r>
          </w:p>
        </w:tc>
        <w:tc>
          <w:tcPr>
            <w:tcW w:w="902" w:type="dxa"/>
            <w:vMerge w:val="restart"/>
            <w:vAlign w:val="center"/>
          </w:tcPr>
          <w:p w14:paraId="4D73CDBB">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r>
              <w:rPr>
                <w:rFonts w:hint="eastAsia" w:ascii="宋体" w:hAnsi="宋体"/>
                <w:sz w:val="21"/>
                <w:szCs w:val="21"/>
              </w:rPr>
              <w:t>20</w:t>
            </w:r>
            <w:r>
              <w:rPr>
                <w:rFonts w:ascii="宋体" w:hAnsi="宋体"/>
                <w:sz w:val="21"/>
                <w:szCs w:val="21"/>
              </w:rPr>
              <w:t>分</w:t>
            </w:r>
          </w:p>
        </w:tc>
        <w:tc>
          <w:tcPr>
            <w:tcW w:w="899" w:type="dxa"/>
            <w:vMerge w:val="restart"/>
            <w:vAlign w:val="center"/>
          </w:tcPr>
          <w:p w14:paraId="6EA84EA8">
            <w:pPr>
              <w:pageBreakBefore w:val="0"/>
              <w:kinsoku/>
              <w:wordWrap/>
              <w:overflowPunct/>
              <w:topLinePunct w:val="0"/>
              <w:bidi w:val="0"/>
              <w:adjustRightInd w:val="0"/>
              <w:snapToGrid w:val="0"/>
              <w:spacing w:before="48" w:beforeLines="20" w:after="48" w:afterLines="20" w:line="360" w:lineRule="exact"/>
              <w:jc w:val="left"/>
              <w:textAlignment w:val="auto"/>
              <w:rPr>
                <w:rFonts w:ascii="宋体" w:hAnsi="宋体"/>
                <w:sz w:val="21"/>
                <w:szCs w:val="21"/>
              </w:rPr>
            </w:pPr>
            <w:r>
              <w:rPr>
                <w:rFonts w:hint="eastAsia" w:ascii="宋体" w:hAnsi="宋体"/>
                <w:sz w:val="21"/>
                <w:szCs w:val="21"/>
              </w:rPr>
              <w:t>近五年内企业业绩</w:t>
            </w:r>
          </w:p>
        </w:tc>
        <w:tc>
          <w:tcPr>
            <w:tcW w:w="773" w:type="dxa"/>
            <w:vMerge w:val="restart"/>
            <w:vAlign w:val="center"/>
          </w:tcPr>
          <w:p w14:paraId="49DE670F">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r>
              <w:rPr>
                <w:rFonts w:hint="eastAsia" w:ascii="宋体" w:hAnsi="宋体"/>
                <w:sz w:val="21"/>
                <w:szCs w:val="21"/>
              </w:rPr>
              <w:t>20分</w:t>
            </w:r>
          </w:p>
        </w:tc>
        <w:tc>
          <w:tcPr>
            <w:tcW w:w="4784" w:type="dxa"/>
            <w:vAlign w:val="center"/>
          </w:tcPr>
          <w:p w14:paraId="7424972B">
            <w:pPr>
              <w:pStyle w:val="9"/>
              <w:pageBreakBefore w:val="0"/>
              <w:kinsoku/>
              <w:wordWrap/>
              <w:overflowPunct/>
              <w:topLinePunct w:val="0"/>
              <w:bidi w:val="0"/>
              <w:spacing w:line="360" w:lineRule="exact"/>
              <w:textAlignment w:val="auto"/>
              <w:rPr>
                <w:rFonts w:hAnsi="宋体"/>
                <w:sz w:val="21"/>
                <w:szCs w:val="21"/>
              </w:rPr>
            </w:pPr>
            <w:r>
              <w:rPr>
                <w:rFonts w:hint="eastAsia" w:hAnsi="宋体"/>
                <w:sz w:val="21"/>
                <w:szCs w:val="21"/>
              </w:rPr>
              <w:t>满足最低资格审查条件得12分.</w:t>
            </w:r>
          </w:p>
        </w:tc>
      </w:tr>
      <w:tr w14:paraId="55A9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8" w:hRule="atLeast"/>
        </w:trPr>
        <w:tc>
          <w:tcPr>
            <w:tcW w:w="532" w:type="dxa"/>
            <w:vMerge w:val="continue"/>
            <w:vAlign w:val="center"/>
          </w:tcPr>
          <w:p w14:paraId="2EB14993">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p>
        </w:tc>
        <w:tc>
          <w:tcPr>
            <w:tcW w:w="453" w:type="dxa"/>
            <w:vMerge w:val="continue"/>
            <w:vAlign w:val="center"/>
          </w:tcPr>
          <w:p w14:paraId="626053E2">
            <w:pPr>
              <w:pageBreakBefore w:val="0"/>
              <w:kinsoku/>
              <w:wordWrap/>
              <w:overflowPunct/>
              <w:topLinePunct w:val="0"/>
              <w:bidi w:val="0"/>
              <w:adjustRightInd w:val="0"/>
              <w:snapToGrid w:val="0"/>
              <w:spacing w:before="48" w:beforeLines="20" w:after="48" w:afterLines="20" w:line="360" w:lineRule="exact"/>
              <w:ind w:left="113" w:right="113"/>
              <w:jc w:val="center"/>
              <w:textAlignment w:val="auto"/>
              <w:rPr>
                <w:rFonts w:ascii="宋体" w:hAnsi="宋体"/>
                <w:sz w:val="21"/>
                <w:szCs w:val="21"/>
              </w:rPr>
            </w:pPr>
          </w:p>
        </w:tc>
        <w:tc>
          <w:tcPr>
            <w:tcW w:w="455" w:type="dxa"/>
            <w:vMerge w:val="continue"/>
            <w:vAlign w:val="center"/>
          </w:tcPr>
          <w:p w14:paraId="247EE9E2">
            <w:pPr>
              <w:pageBreakBefore w:val="0"/>
              <w:kinsoku/>
              <w:wordWrap/>
              <w:overflowPunct/>
              <w:topLinePunct w:val="0"/>
              <w:bidi w:val="0"/>
              <w:adjustRightInd w:val="0"/>
              <w:snapToGrid w:val="0"/>
              <w:spacing w:before="48" w:beforeLines="20" w:after="48" w:afterLines="20" w:line="360" w:lineRule="exact"/>
              <w:ind w:left="113" w:right="113"/>
              <w:jc w:val="center"/>
              <w:textAlignment w:val="auto"/>
              <w:rPr>
                <w:rFonts w:ascii="宋体" w:hAnsi="宋体"/>
                <w:sz w:val="21"/>
                <w:szCs w:val="21"/>
              </w:rPr>
            </w:pPr>
          </w:p>
        </w:tc>
        <w:tc>
          <w:tcPr>
            <w:tcW w:w="902" w:type="dxa"/>
            <w:vMerge w:val="continue"/>
            <w:vAlign w:val="center"/>
          </w:tcPr>
          <w:p w14:paraId="33DF4258">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p>
        </w:tc>
        <w:tc>
          <w:tcPr>
            <w:tcW w:w="899" w:type="dxa"/>
            <w:vMerge w:val="continue"/>
            <w:vAlign w:val="center"/>
          </w:tcPr>
          <w:p w14:paraId="1700E923">
            <w:pPr>
              <w:pageBreakBefore w:val="0"/>
              <w:kinsoku/>
              <w:wordWrap/>
              <w:overflowPunct/>
              <w:topLinePunct w:val="0"/>
              <w:bidi w:val="0"/>
              <w:adjustRightInd w:val="0"/>
              <w:snapToGrid w:val="0"/>
              <w:spacing w:before="48" w:beforeLines="20" w:after="48" w:afterLines="20" w:line="360" w:lineRule="exact"/>
              <w:jc w:val="left"/>
              <w:textAlignment w:val="auto"/>
              <w:rPr>
                <w:rFonts w:ascii="宋体" w:hAnsi="宋体"/>
                <w:sz w:val="21"/>
                <w:szCs w:val="21"/>
              </w:rPr>
            </w:pPr>
          </w:p>
        </w:tc>
        <w:tc>
          <w:tcPr>
            <w:tcW w:w="773" w:type="dxa"/>
            <w:vMerge w:val="continue"/>
            <w:vAlign w:val="center"/>
          </w:tcPr>
          <w:p w14:paraId="18FC9BEA">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p>
        </w:tc>
        <w:tc>
          <w:tcPr>
            <w:tcW w:w="4784" w:type="dxa"/>
            <w:vAlign w:val="center"/>
          </w:tcPr>
          <w:p w14:paraId="2DF61C54">
            <w:pPr>
              <w:pStyle w:val="9"/>
              <w:pageBreakBefore w:val="0"/>
              <w:kinsoku/>
              <w:wordWrap/>
              <w:overflowPunct/>
              <w:topLinePunct w:val="0"/>
              <w:bidi w:val="0"/>
              <w:spacing w:line="360" w:lineRule="exact"/>
              <w:textAlignment w:val="auto"/>
              <w:rPr>
                <w:rFonts w:hAnsi="宋体" w:cs="Courier New"/>
                <w:sz w:val="21"/>
                <w:szCs w:val="21"/>
              </w:rPr>
            </w:pPr>
            <w:r>
              <w:rPr>
                <w:rFonts w:hAnsi="宋体" w:cs="Courier New"/>
                <w:sz w:val="21"/>
                <w:szCs w:val="21"/>
              </w:rPr>
              <w:t>2020</w:t>
            </w:r>
            <w:r>
              <w:rPr>
                <w:rFonts w:hint="eastAsia" w:hAnsi="宋体" w:cs="宋体"/>
                <w:sz w:val="21"/>
                <w:szCs w:val="21"/>
              </w:rPr>
              <w:t>年</w:t>
            </w:r>
            <w:r>
              <w:rPr>
                <w:rFonts w:hAnsi="宋体" w:cs="宋体"/>
                <w:sz w:val="21"/>
                <w:szCs w:val="21"/>
              </w:rPr>
              <w:t>1</w:t>
            </w:r>
            <w:r>
              <w:rPr>
                <w:rFonts w:hint="eastAsia" w:hAnsi="宋体" w:cs="宋体"/>
                <w:sz w:val="21"/>
                <w:szCs w:val="21"/>
              </w:rPr>
              <w:t>月</w:t>
            </w:r>
            <w:r>
              <w:rPr>
                <w:rFonts w:hAnsi="宋体" w:cs="宋体"/>
                <w:sz w:val="21"/>
                <w:szCs w:val="21"/>
              </w:rPr>
              <w:t>1</w:t>
            </w:r>
            <w:r>
              <w:rPr>
                <w:rFonts w:hint="eastAsia" w:hAnsi="宋体" w:cs="宋体"/>
                <w:sz w:val="21"/>
                <w:szCs w:val="21"/>
              </w:rPr>
              <w:t>日至投标截止时间</w:t>
            </w:r>
            <w:r>
              <w:rPr>
                <w:rFonts w:hint="eastAsia"/>
                <w:sz w:val="21"/>
                <w:szCs w:val="21"/>
              </w:rPr>
              <w:t>（两阶段验收工程以交工时间为准，一阶段验收工程以交工或竣工时间为准），累计完成二级或二级以上公路</w:t>
            </w:r>
            <w:r>
              <w:rPr>
                <w:rFonts w:hint="eastAsia" w:cs="Courier New"/>
                <w:sz w:val="21"/>
                <w:szCs w:val="21"/>
                <w:shd w:val="clear" w:color="auto" w:fill="FFFFFF"/>
              </w:rPr>
              <w:t>沥青混凝土路面</w:t>
            </w:r>
            <w:r>
              <w:rPr>
                <w:rFonts w:hint="eastAsia" w:hAnsi="宋体" w:cs="宋体"/>
                <w:sz w:val="21"/>
                <w:szCs w:val="21"/>
              </w:rPr>
              <w:t>养护工程</w:t>
            </w:r>
            <w:r>
              <w:rPr>
                <w:rFonts w:hint="eastAsia" w:cs="Courier New"/>
                <w:sz w:val="21"/>
                <w:szCs w:val="21"/>
                <w:shd w:val="clear" w:color="auto" w:fill="FFFFFF"/>
              </w:rPr>
              <w:t>（</w:t>
            </w:r>
            <w:r>
              <w:rPr>
                <w:rFonts w:hint="eastAsia" w:hAnsi="宋体" w:cs="宋体"/>
                <w:sz w:val="21"/>
                <w:szCs w:val="21"/>
              </w:rPr>
              <w:t>指</w:t>
            </w:r>
            <w:r>
              <w:rPr>
                <w:rFonts w:hint="eastAsia" w:hAnsi="宋体"/>
                <w:sz w:val="21"/>
                <w:szCs w:val="21"/>
              </w:rPr>
              <w:t>修复性养护包括大中修养护、路面改造工程</w:t>
            </w:r>
            <w:r>
              <w:rPr>
                <w:rFonts w:cs="Courier New"/>
                <w:sz w:val="21"/>
                <w:szCs w:val="21"/>
                <w:shd w:val="clear" w:color="auto" w:fill="FFFFFF"/>
              </w:rPr>
              <w:t>)</w:t>
            </w:r>
            <w:r>
              <w:rPr>
                <w:rFonts w:hint="eastAsia" w:cs="Courier New"/>
                <w:sz w:val="21"/>
                <w:szCs w:val="21"/>
                <w:shd w:val="clear" w:color="auto" w:fill="FFFFFF"/>
              </w:rPr>
              <w:t>的施工业绩</w:t>
            </w:r>
            <w:r>
              <w:rPr>
                <w:rFonts w:hint="eastAsia"/>
                <w:sz w:val="21"/>
                <w:szCs w:val="21"/>
              </w:rPr>
              <w:t>（高速公路、一级公路全幅按</w:t>
            </w:r>
            <w:r>
              <w:rPr>
                <w:sz w:val="21"/>
                <w:szCs w:val="21"/>
              </w:rPr>
              <w:t>2</w:t>
            </w:r>
            <w:r>
              <w:rPr>
                <w:rFonts w:hint="eastAsia"/>
                <w:sz w:val="21"/>
                <w:szCs w:val="21"/>
              </w:rPr>
              <w:t>倍长度计算，半幅按</w:t>
            </w:r>
            <w:r>
              <w:rPr>
                <w:sz w:val="21"/>
                <w:szCs w:val="21"/>
              </w:rPr>
              <w:t>1</w:t>
            </w:r>
            <w:r>
              <w:rPr>
                <w:rFonts w:hint="eastAsia"/>
                <w:sz w:val="21"/>
                <w:szCs w:val="21"/>
              </w:rPr>
              <w:t>倍长度计算）每公里加</w:t>
            </w:r>
            <w:r>
              <w:rPr>
                <w:sz w:val="21"/>
                <w:szCs w:val="21"/>
              </w:rPr>
              <w:t>0.8</w:t>
            </w:r>
            <w:r>
              <w:rPr>
                <w:rFonts w:hint="eastAsia"/>
                <w:sz w:val="21"/>
                <w:szCs w:val="21"/>
              </w:rPr>
              <w:t>分，不足</w:t>
            </w:r>
            <w:r>
              <w:rPr>
                <w:sz w:val="21"/>
                <w:szCs w:val="21"/>
              </w:rPr>
              <w:t>1</w:t>
            </w:r>
            <w:r>
              <w:rPr>
                <w:rFonts w:hint="eastAsia"/>
                <w:sz w:val="21"/>
                <w:szCs w:val="21"/>
              </w:rPr>
              <w:t>公里不计分，</w:t>
            </w:r>
            <w:r>
              <w:rPr>
                <w:sz w:val="21"/>
                <w:szCs w:val="21"/>
              </w:rPr>
              <w:t>10</w:t>
            </w:r>
            <w:r>
              <w:rPr>
                <w:rFonts w:hint="eastAsia"/>
                <w:sz w:val="21"/>
                <w:szCs w:val="21"/>
              </w:rPr>
              <w:t>公里及以上得</w:t>
            </w:r>
            <w:r>
              <w:rPr>
                <w:sz w:val="21"/>
                <w:szCs w:val="21"/>
              </w:rPr>
              <w:t>8</w:t>
            </w:r>
            <w:r>
              <w:rPr>
                <w:rFonts w:hint="eastAsia"/>
                <w:sz w:val="21"/>
                <w:szCs w:val="21"/>
              </w:rPr>
              <w:t>分，最高加</w:t>
            </w:r>
            <w:r>
              <w:rPr>
                <w:sz w:val="21"/>
                <w:szCs w:val="21"/>
              </w:rPr>
              <w:t>8</w:t>
            </w:r>
            <w:r>
              <w:rPr>
                <w:rFonts w:hint="eastAsia"/>
                <w:sz w:val="21"/>
                <w:szCs w:val="21"/>
              </w:rPr>
              <w:t>分</w:t>
            </w:r>
          </w:p>
        </w:tc>
      </w:tr>
      <w:tr w14:paraId="19C3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63" w:hRule="atLeast"/>
        </w:trPr>
        <w:tc>
          <w:tcPr>
            <w:tcW w:w="532" w:type="dxa"/>
            <w:vMerge w:val="continue"/>
            <w:vAlign w:val="center"/>
          </w:tcPr>
          <w:p w14:paraId="62653454">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p>
        </w:tc>
        <w:tc>
          <w:tcPr>
            <w:tcW w:w="453" w:type="dxa"/>
            <w:vMerge w:val="continue"/>
            <w:vAlign w:val="center"/>
          </w:tcPr>
          <w:p w14:paraId="5F9574F2">
            <w:pPr>
              <w:pageBreakBefore w:val="0"/>
              <w:kinsoku/>
              <w:wordWrap/>
              <w:overflowPunct/>
              <w:topLinePunct w:val="0"/>
              <w:bidi w:val="0"/>
              <w:adjustRightInd w:val="0"/>
              <w:snapToGrid w:val="0"/>
              <w:spacing w:before="48" w:beforeLines="20" w:after="48" w:afterLines="20" w:line="360" w:lineRule="exact"/>
              <w:ind w:left="113" w:right="113"/>
              <w:jc w:val="center"/>
              <w:textAlignment w:val="auto"/>
              <w:rPr>
                <w:rFonts w:ascii="宋体" w:hAnsi="宋体"/>
                <w:sz w:val="21"/>
                <w:szCs w:val="21"/>
              </w:rPr>
            </w:pPr>
          </w:p>
        </w:tc>
        <w:tc>
          <w:tcPr>
            <w:tcW w:w="455" w:type="dxa"/>
            <w:vMerge w:val="restart"/>
            <w:vAlign w:val="center"/>
          </w:tcPr>
          <w:p w14:paraId="03B4607A">
            <w:pPr>
              <w:pageBreakBefore w:val="0"/>
              <w:kinsoku/>
              <w:wordWrap/>
              <w:overflowPunct/>
              <w:topLinePunct w:val="0"/>
              <w:bidi w:val="0"/>
              <w:adjustRightInd w:val="0"/>
              <w:snapToGrid w:val="0"/>
              <w:spacing w:before="48" w:beforeLines="20" w:after="48" w:afterLines="20" w:line="360" w:lineRule="exact"/>
              <w:ind w:left="113" w:right="113"/>
              <w:jc w:val="center"/>
              <w:textAlignment w:val="auto"/>
              <w:rPr>
                <w:rFonts w:ascii="宋体" w:hAnsi="宋体"/>
                <w:sz w:val="21"/>
                <w:szCs w:val="21"/>
              </w:rPr>
            </w:pPr>
            <w:r>
              <w:rPr>
                <w:rFonts w:hint="eastAsia" w:ascii="宋体" w:hAnsi="宋体"/>
                <w:sz w:val="21"/>
                <w:szCs w:val="21"/>
              </w:rPr>
              <w:t>履约信誉</w:t>
            </w:r>
          </w:p>
        </w:tc>
        <w:tc>
          <w:tcPr>
            <w:tcW w:w="902" w:type="dxa"/>
            <w:vAlign w:val="center"/>
          </w:tcPr>
          <w:p w14:paraId="39E5E5C3">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r>
              <w:rPr>
                <w:rFonts w:hint="eastAsia" w:ascii="宋体" w:hAnsi="宋体"/>
                <w:sz w:val="21"/>
                <w:szCs w:val="21"/>
              </w:rPr>
              <w:t>15分</w:t>
            </w:r>
          </w:p>
        </w:tc>
        <w:tc>
          <w:tcPr>
            <w:tcW w:w="899" w:type="dxa"/>
            <w:vAlign w:val="center"/>
          </w:tcPr>
          <w:p w14:paraId="43AC4195">
            <w:pPr>
              <w:pageBreakBefore w:val="0"/>
              <w:kinsoku/>
              <w:wordWrap/>
              <w:overflowPunct/>
              <w:topLinePunct w:val="0"/>
              <w:bidi w:val="0"/>
              <w:adjustRightInd w:val="0"/>
              <w:snapToGrid w:val="0"/>
              <w:spacing w:before="48" w:beforeLines="20" w:after="48" w:afterLines="20" w:line="360" w:lineRule="exact"/>
              <w:jc w:val="left"/>
              <w:textAlignment w:val="auto"/>
              <w:rPr>
                <w:rFonts w:ascii="宋体" w:hAnsi="宋体"/>
                <w:sz w:val="21"/>
                <w:szCs w:val="21"/>
              </w:rPr>
            </w:pPr>
            <w:r>
              <w:rPr>
                <w:rFonts w:hint="eastAsia" w:ascii="宋体" w:hAnsi="宋体"/>
                <w:sz w:val="21"/>
                <w:szCs w:val="21"/>
              </w:rPr>
              <w:t>投标人企业信用等级</w:t>
            </w:r>
          </w:p>
        </w:tc>
        <w:tc>
          <w:tcPr>
            <w:tcW w:w="773" w:type="dxa"/>
            <w:vAlign w:val="center"/>
          </w:tcPr>
          <w:p w14:paraId="425CBF81">
            <w:pPr>
              <w:pageBreakBefore w:val="0"/>
              <w:kinsoku/>
              <w:wordWrap/>
              <w:overflowPunct/>
              <w:topLinePunct w:val="0"/>
              <w:bidi w:val="0"/>
              <w:adjustRightInd w:val="0"/>
              <w:snapToGrid w:val="0"/>
              <w:spacing w:before="48" w:beforeLines="20" w:after="48" w:afterLines="20" w:line="360" w:lineRule="exact"/>
              <w:jc w:val="center"/>
              <w:textAlignment w:val="auto"/>
              <w:rPr>
                <w:rFonts w:ascii="宋体" w:hAnsi="宋体"/>
                <w:sz w:val="21"/>
                <w:szCs w:val="21"/>
              </w:rPr>
            </w:pPr>
            <w:r>
              <w:rPr>
                <w:rFonts w:hint="eastAsia" w:ascii="宋体" w:hAnsi="宋体"/>
                <w:sz w:val="21"/>
                <w:szCs w:val="21"/>
              </w:rPr>
              <w:t>15分</w:t>
            </w:r>
          </w:p>
        </w:tc>
        <w:tc>
          <w:tcPr>
            <w:tcW w:w="4784" w:type="dxa"/>
            <w:vAlign w:val="center"/>
          </w:tcPr>
          <w:p w14:paraId="7B2B918D">
            <w:pPr>
              <w:pageBreakBefore w:val="0"/>
              <w:kinsoku/>
              <w:wordWrap/>
              <w:overflowPunct/>
              <w:topLinePunct w:val="0"/>
              <w:bidi w:val="0"/>
              <w:adjustRightInd w:val="0"/>
              <w:snapToGrid w:val="0"/>
              <w:spacing w:before="48" w:beforeLines="20" w:after="48" w:afterLines="20" w:line="360" w:lineRule="exact"/>
              <w:jc w:val="left"/>
              <w:textAlignment w:val="auto"/>
              <w:rPr>
                <w:rFonts w:ascii="宋体" w:hAnsi="宋体"/>
                <w:sz w:val="21"/>
                <w:szCs w:val="21"/>
              </w:rPr>
            </w:pPr>
            <w:r>
              <w:rPr>
                <w:rFonts w:hint="eastAsia" w:ascii="宋体" w:hAnsi="宋体"/>
                <w:sz w:val="21"/>
                <w:szCs w:val="21"/>
              </w:rPr>
              <w:t>信用评价AA级得15分；</w:t>
            </w:r>
          </w:p>
          <w:p w14:paraId="517BB852">
            <w:pPr>
              <w:pageBreakBefore w:val="0"/>
              <w:kinsoku/>
              <w:wordWrap/>
              <w:overflowPunct/>
              <w:topLinePunct w:val="0"/>
              <w:bidi w:val="0"/>
              <w:adjustRightInd w:val="0"/>
              <w:snapToGrid w:val="0"/>
              <w:spacing w:before="48" w:beforeLines="20" w:after="48" w:afterLines="20" w:line="360" w:lineRule="exact"/>
              <w:jc w:val="left"/>
              <w:textAlignment w:val="auto"/>
              <w:rPr>
                <w:rFonts w:ascii="宋体" w:hAnsi="宋体"/>
                <w:sz w:val="21"/>
                <w:szCs w:val="21"/>
              </w:rPr>
            </w:pPr>
            <w:r>
              <w:rPr>
                <w:rFonts w:hint="eastAsia" w:ascii="宋体" w:hAnsi="宋体"/>
                <w:sz w:val="21"/>
                <w:szCs w:val="21"/>
              </w:rPr>
              <w:t>信用评价A级得12分；</w:t>
            </w:r>
          </w:p>
          <w:p w14:paraId="125B036C">
            <w:pPr>
              <w:pageBreakBefore w:val="0"/>
              <w:kinsoku/>
              <w:wordWrap/>
              <w:overflowPunct/>
              <w:topLinePunct w:val="0"/>
              <w:bidi w:val="0"/>
              <w:adjustRightInd w:val="0"/>
              <w:snapToGrid w:val="0"/>
              <w:spacing w:before="48" w:beforeLines="20" w:after="48" w:afterLines="20" w:line="360" w:lineRule="exact"/>
              <w:jc w:val="left"/>
              <w:textAlignment w:val="auto"/>
              <w:rPr>
                <w:rFonts w:ascii="宋体" w:hAnsi="宋体"/>
                <w:sz w:val="21"/>
                <w:szCs w:val="21"/>
              </w:rPr>
            </w:pPr>
            <w:r>
              <w:rPr>
                <w:rFonts w:hint="eastAsia" w:ascii="宋体" w:hAnsi="宋体"/>
                <w:sz w:val="21"/>
                <w:szCs w:val="21"/>
              </w:rPr>
              <w:t>信用评价B 级得9分；</w:t>
            </w:r>
          </w:p>
          <w:p w14:paraId="489F13B6">
            <w:pPr>
              <w:pageBreakBefore w:val="0"/>
              <w:kinsoku/>
              <w:wordWrap/>
              <w:overflowPunct/>
              <w:topLinePunct w:val="0"/>
              <w:bidi w:val="0"/>
              <w:adjustRightInd w:val="0"/>
              <w:snapToGrid w:val="0"/>
              <w:spacing w:before="48" w:beforeLines="20" w:after="48" w:afterLines="20" w:line="360" w:lineRule="exact"/>
              <w:jc w:val="left"/>
              <w:textAlignment w:val="auto"/>
              <w:rPr>
                <w:rFonts w:ascii="宋体" w:hAnsi="宋体"/>
                <w:sz w:val="21"/>
                <w:szCs w:val="21"/>
              </w:rPr>
            </w:pPr>
            <w:r>
              <w:rPr>
                <w:rFonts w:hint="eastAsia" w:ascii="宋体" w:hAnsi="宋体"/>
                <w:sz w:val="21"/>
                <w:szCs w:val="21"/>
              </w:rPr>
              <w:t>信用评价C级得6分；</w:t>
            </w:r>
          </w:p>
        </w:tc>
      </w:tr>
      <w:tr w14:paraId="28A8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74" w:hRule="atLeast"/>
        </w:trPr>
        <w:tc>
          <w:tcPr>
            <w:tcW w:w="532" w:type="dxa"/>
            <w:vMerge w:val="continue"/>
            <w:vAlign w:val="center"/>
          </w:tcPr>
          <w:p w14:paraId="0F3D82D6">
            <w:pPr>
              <w:pageBreakBefore w:val="0"/>
              <w:kinsoku/>
              <w:wordWrap/>
              <w:overflowPunct/>
              <w:topLinePunct w:val="0"/>
              <w:bidi w:val="0"/>
              <w:adjustRightInd w:val="0"/>
              <w:snapToGrid w:val="0"/>
              <w:spacing w:before="48" w:beforeLines="20" w:after="48" w:afterLines="20" w:line="360" w:lineRule="exact"/>
              <w:jc w:val="center"/>
              <w:textAlignment w:val="auto"/>
              <w:rPr>
                <w:rFonts w:ascii="楷体" w:hAnsi="楷体" w:eastAsia="楷体"/>
                <w:sz w:val="21"/>
                <w:szCs w:val="21"/>
              </w:rPr>
            </w:pPr>
          </w:p>
        </w:tc>
        <w:tc>
          <w:tcPr>
            <w:tcW w:w="453" w:type="dxa"/>
            <w:vMerge w:val="continue"/>
            <w:vAlign w:val="center"/>
          </w:tcPr>
          <w:p w14:paraId="45D10284">
            <w:pPr>
              <w:pageBreakBefore w:val="0"/>
              <w:kinsoku/>
              <w:wordWrap/>
              <w:overflowPunct/>
              <w:topLinePunct w:val="0"/>
              <w:bidi w:val="0"/>
              <w:adjustRightInd w:val="0"/>
              <w:snapToGrid w:val="0"/>
              <w:spacing w:before="48" w:beforeLines="20" w:after="48" w:afterLines="20" w:line="360" w:lineRule="exact"/>
              <w:jc w:val="center"/>
              <w:textAlignment w:val="auto"/>
              <w:rPr>
                <w:rFonts w:ascii="楷体" w:hAnsi="楷体" w:eastAsia="楷体"/>
                <w:sz w:val="21"/>
                <w:szCs w:val="21"/>
              </w:rPr>
            </w:pPr>
          </w:p>
        </w:tc>
        <w:tc>
          <w:tcPr>
            <w:tcW w:w="455" w:type="dxa"/>
            <w:vMerge w:val="continue"/>
            <w:vAlign w:val="center"/>
          </w:tcPr>
          <w:p w14:paraId="7E5A5352">
            <w:pPr>
              <w:pageBreakBefore w:val="0"/>
              <w:kinsoku/>
              <w:wordWrap/>
              <w:overflowPunct/>
              <w:topLinePunct w:val="0"/>
              <w:bidi w:val="0"/>
              <w:adjustRightInd w:val="0"/>
              <w:snapToGrid w:val="0"/>
              <w:spacing w:before="48" w:beforeLines="20" w:after="48" w:afterLines="20" w:line="360" w:lineRule="exact"/>
              <w:jc w:val="center"/>
              <w:textAlignment w:val="auto"/>
              <w:rPr>
                <w:rFonts w:ascii="楷体" w:hAnsi="楷体" w:eastAsia="楷体"/>
                <w:sz w:val="21"/>
                <w:szCs w:val="21"/>
              </w:rPr>
            </w:pPr>
          </w:p>
        </w:tc>
        <w:tc>
          <w:tcPr>
            <w:tcW w:w="7358" w:type="dxa"/>
            <w:gridSpan w:val="4"/>
            <w:vAlign w:val="center"/>
          </w:tcPr>
          <w:p w14:paraId="6A3B7B08">
            <w:pPr>
              <w:pageBreakBefore w:val="0"/>
              <w:widowControl/>
              <w:shd w:val="clear" w:color="auto" w:fill="FFFFFF"/>
              <w:kinsoku/>
              <w:wordWrap/>
              <w:overflowPunct/>
              <w:topLinePunct w:val="0"/>
              <w:bidi w:val="0"/>
              <w:spacing w:line="360" w:lineRule="exact"/>
              <w:jc w:val="left"/>
              <w:textAlignment w:val="auto"/>
              <w:rPr>
                <w:rFonts w:ascii="宋体" w:hAnsi="宋体" w:cs="宋体"/>
                <w:spacing w:val="11"/>
                <w:kern w:val="0"/>
                <w:sz w:val="21"/>
                <w:szCs w:val="21"/>
              </w:rPr>
            </w:pPr>
            <w:r>
              <w:rPr>
                <w:rFonts w:hint="eastAsia" w:ascii="宋体" w:hAnsi="宋体" w:cs="宋体"/>
                <w:spacing w:val="11"/>
                <w:kern w:val="0"/>
                <w:sz w:val="21"/>
                <w:szCs w:val="21"/>
              </w:rPr>
              <w:t>注：信用评价等级</w:t>
            </w:r>
            <w:r>
              <w:rPr>
                <w:rFonts w:hint="eastAsia" w:ascii="宋体" w:hAnsi="宋体"/>
                <w:spacing w:val="11"/>
                <w:sz w:val="21"/>
                <w:szCs w:val="21"/>
              </w:rPr>
              <w:t>优先采用以下所列顺位在前的企业信用等级：</w:t>
            </w:r>
          </w:p>
          <w:p w14:paraId="06EBC0B2">
            <w:pPr>
              <w:pageBreakBefore w:val="0"/>
              <w:widowControl/>
              <w:shd w:val="clear" w:color="auto" w:fill="FFFFFF"/>
              <w:kinsoku/>
              <w:wordWrap/>
              <w:overflowPunct/>
              <w:topLinePunct w:val="0"/>
              <w:bidi w:val="0"/>
              <w:spacing w:line="360" w:lineRule="exact"/>
              <w:jc w:val="left"/>
              <w:textAlignment w:val="auto"/>
              <w:rPr>
                <w:rFonts w:ascii="宋体" w:hAnsi="宋体" w:cs="宋体"/>
                <w:spacing w:val="11"/>
                <w:kern w:val="0"/>
                <w:sz w:val="21"/>
                <w:szCs w:val="21"/>
              </w:rPr>
            </w:pPr>
            <w:r>
              <w:rPr>
                <w:rFonts w:hint="eastAsia" w:ascii="宋体" w:hAnsi="宋体" w:cs="宋体"/>
                <w:spacing w:val="11"/>
                <w:kern w:val="0"/>
                <w:sz w:val="21"/>
                <w:szCs w:val="21"/>
              </w:rPr>
              <w:t>1.采用《吉林省公路管理局2024年度普通干线公路养护工程施工企业信用评价结果公告》（含调整结果公告）中的投标人信用评价等级。</w:t>
            </w:r>
          </w:p>
          <w:p w14:paraId="1D4C1787">
            <w:pPr>
              <w:pageBreakBefore w:val="0"/>
              <w:widowControl/>
              <w:shd w:val="clear" w:color="auto" w:fill="FFFFFF"/>
              <w:kinsoku/>
              <w:wordWrap/>
              <w:overflowPunct/>
              <w:topLinePunct w:val="0"/>
              <w:bidi w:val="0"/>
              <w:spacing w:line="360" w:lineRule="exact"/>
              <w:jc w:val="left"/>
              <w:textAlignment w:val="auto"/>
              <w:rPr>
                <w:rFonts w:ascii="宋体" w:hAnsi="宋体" w:cs="宋体"/>
                <w:spacing w:val="11"/>
                <w:kern w:val="0"/>
                <w:sz w:val="21"/>
                <w:szCs w:val="21"/>
              </w:rPr>
            </w:pPr>
            <w:r>
              <w:rPr>
                <w:rFonts w:hint="eastAsia" w:ascii="宋体" w:hAnsi="宋体" w:cs="宋体"/>
                <w:spacing w:val="11"/>
                <w:kern w:val="0"/>
                <w:sz w:val="21"/>
                <w:szCs w:val="21"/>
              </w:rPr>
              <w:t>2.采用《吉林省公路管理局2023年度普通干线公路养护工程施工企业信用评价结果公告》中的投标人信用评价等级。</w:t>
            </w:r>
          </w:p>
          <w:p w14:paraId="0B2F45A0">
            <w:pPr>
              <w:pageBreakBefore w:val="0"/>
              <w:widowControl/>
              <w:shd w:val="clear" w:color="auto" w:fill="FFFFFF"/>
              <w:kinsoku/>
              <w:wordWrap/>
              <w:overflowPunct/>
              <w:topLinePunct w:val="0"/>
              <w:bidi w:val="0"/>
              <w:spacing w:line="360" w:lineRule="exact"/>
              <w:jc w:val="left"/>
              <w:textAlignment w:val="auto"/>
              <w:rPr>
                <w:rFonts w:ascii="宋体" w:hAnsi="宋体" w:cs="宋体"/>
                <w:spacing w:val="11"/>
                <w:kern w:val="0"/>
                <w:sz w:val="21"/>
                <w:szCs w:val="21"/>
              </w:rPr>
            </w:pPr>
            <w:r>
              <w:rPr>
                <w:rFonts w:hint="eastAsia" w:ascii="宋体" w:hAnsi="宋体" w:cs="宋体"/>
                <w:spacing w:val="11"/>
                <w:kern w:val="0"/>
                <w:sz w:val="21"/>
                <w:szCs w:val="21"/>
                <w:lang w:val="en-US" w:eastAsia="zh-CN"/>
              </w:rPr>
              <w:t>3.</w:t>
            </w:r>
            <w:r>
              <w:rPr>
                <w:rFonts w:hint="eastAsia" w:ascii="宋体" w:hAnsi="宋体" w:cs="宋体"/>
                <w:spacing w:val="11"/>
                <w:kern w:val="0"/>
                <w:sz w:val="21"/>
                <w:szCs w:val="21"/>
              </w:rPr>
              <w:t>采用“全国公路建设市场监督管理系统/全国公路从业单位信用评价结果”中，投标人以施工企业获得的 2023 年度信用等级</w:t>
            </w:r>
          </w:p>
          <w:p w14:paraId="2F8ECBB7">
            <w:pPr>
              <w:pageBreakBefore w:val="0"/>
              <w:widowControl/>
              <w:shd w:val="clear" w:color="auto" w:fill="FFFFFF"/>
              <w:kinsoku/>
              <w:wordWrap/>
              <w:overflowPunct/>
              <w:topLinePunct w:val="0"/>
              <w:bidi w:val="0"/>
              <w:spacing w:line="360" w:lineRule="exact"/>
              <w:jc w:val="left"/>
              <w:textAlignment w:val="auto"/>
              <w:rPr>
                <w:rFonts w:ascii="宋体" w:hAnsi="宋体" w:cs="宋体"/>
                <w:spacing w:val="11"/>
                <w:kern w:val="0"/>
                <w:sz w:val="21"/>
                <w:szCs w:val="21"/>
              </w:rPr>
            </w:pPr>
            <w:r>
              <w:rPr>
                <w:rFonts w:hint="eastAsia" w:ascii="宋体" w:hAnsi="宋体" w:cs="宋体"/>
                <w:spacing w:val="11"/>
                <w:kern w:val="0"/>
                <w:sz w:val="21"/>
                <w:szCs w:val="21"/>
              </w:rPr>
              <w:t>4.无以上信用评价结果的，根据“全国公路建设市场监督管理系统/不良行为记录”查询结果，若无不良信用记录，按A级对待；若有不良信用记录，视其严重程度按B级及以下对待。</w:t>
            </w:r>
          </w:p>
          <w:p w14:paraId="1429F4FD">
            <w:pPr>
              <w:pageBreakBefore w:val="0"/>
              <w:widowControl/>
              <w:shd w:val="clear" w:color="auto" w:fill="FFFFFF"/>
              <w:kinsoku/>
              <w:wordWrap/>
              <w:overflowPunct/>
              <w:topLinePunct w:val="0"/>
              <w:bidi w:val="0"/>
              <w:spacing w:line="360" w:lineRule="exact"/>
              <w:jc w:val="left"/>
              <w:textAlignment w:val="auto"/>
              <w:rPr>
                <w:rFonts w:ascii="楷体" w:hAnsi="楷体" w:eastAsia="楷体"/>
                <w:color w:val="FF0000"/>
                <w:sz w:val="21"/>
                <w:szCs w:val="21"/>
              </w:rPr>
            </w:pPr>
            <w:r>
              <w:rPr>
                <w:rFonts w:hint="eastAsia" w:ascii="宋体" w:hAnsi="宋体" w:cs="宋体"/>
                <w:spacing w:val="11"/>
                <w:kern w:val="0"/>
                <w:sz w:val="21"/>
                <w:szCs w:val="21"/>
                <w:lang w:val="en-US" w:eastAsia="zh-CN"/>
              </w:rPr>
              <w:t>5</w:t>
            </w:r>
            <w:r>
              <w:rPr>
                <w:rFonts w:hint="eastAsia" w:ascii="宋体" w:hAnsi="宋体" w:cs="宋体"/>
                <w:spacing w:val="11"/>
                <w:kern w:val="0"/>
                <w:sz w:val="21"/>
                <w:szCs w:val="21"/>
              </w:rPr>
              <w:t>.</w:t>
            </w:r>
            <w:r>
              <w:rPr>
                <w:rFonts w:hint="eastAsia" w:ascii="宋体" w:hAnsi="宋体" w:cs="宋体"/>
                <w:b/>
                <w:bCs/>
                <w:spacing w:val="11"/>
                <w:kern w:val="0"/>
                <w:sz w:val="21"/>
                <w:szCs w:val="21"/>
              </w:rPr>
              <w:t>联合体参与投标的，其信用等级按照联合体中最低等级方认定</w:t>
            </w:r>
            <w:r>
              <w:rPr>
                <w:rFonts w:hint="eastAsia" w:ascii="宋体" w:hAnsi="宋体" w:cs="宋体"/>
                <w:spacing w:val="11"/>
                <w:kern w:val="0"/>
                <w:sz w:val="21"/>
                <w:szCs w:val="21"/>
              </w:rPr>
              <w:t>。</w:t>
            </w:r>
          </w:p>
        </w:tc>
      </w:tr>
      <w:tr w14:paraId="2CD2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43" w:hRule="atLeast"/>
        </w:trPr>
        <w:tc>
          <w:tcPr>
            <w:tcW w:w="8798" w:type="dxa"/>
            <w:gridSpan w:val="7"/>
            <w:vAlign w:val="center"/>
          </w:tcPr>
          <w:p w14:paraId="5AF81817">
            <w:pPr>
              <w:pageBreakBefore w:val="0"/>
              <w:kinsoku/>
              <w:wordWrap/>
              <w:overflowPunct/>
              <w:topLinePunct w:val="0"/>
              <w:bidi w:val="0"/>
              <w:adjustRightInd w:val="0"/>
              <w:snapToGrid w:val="0"/>
              <w:spacing w:line="360" w:lineRule="exact"/>
              <w:jc w:val="left"/>
              <w:textAlignment w:val="auto"/>
              <w:rPr>
                <w:rFonts w:ascii="宋体" w:hAnsi="宋体"/>
                <w:sz w:val="21"/>
                <w:szCs w:val="21"/>
              </w:rPr>
            </w:pPr>
            <w:r>
              <w:rPr>
                <w:rFonts w:hint="eastAsia" w:ascii="宋体" w:hAnsi="宋体"/>
                <w:sz w:val="21"/>
                <w:szCs w:val="21"/>
              </w:rPr>
              <w:t>需要补充的其他内容：</w:t>
            </w:r>
          </w:p>
          <w:p w14:paraId="7AC119FF">
            <w:pPr>
              <w:pageBreakBefore w:val="0"/>
              <w:kinsoku/>
              <w:wordWrap/>
              <w:overflowPunct/>
              <w:topLinePunct w:val="0"/>
              <w:bidi w:val="0"/>
              <w:adjustRightInd w:val="0"/>
              <w:snapToGrid w:val="0"/>
              <w:spacing w:line="360" w:lineRule="exact"/>
              <w:ind w:firstLine="420"/>
              <w:jc w:val="left"/>
              <w:textAlignment w:val="auto"/>
              <w:rPr>
                <w:rFonts w:ascii="宋体" w:hAnsi="宋体"/>
                <w:sz w:val="21"/>
                <w:szCs w:val="21"/>
              </w:rPr>
            </w:pPr>
            <w:r>
              <w:rPr>
                <w:rFonts w:hint="eastAsia" w:ascii="宋体" w:hAnsi="宋体"/>
                <w:sz w:val="21"/>
                <w:szCs w:val="21"/>
              </w:rPr>
              <w:t>1、技术文件(施工组织设计)采用“暗标”评审，如果某投标人的施工组织设计没有按照招标文件规定的格式、内容编制，且经评标委员会认定会暴露投标人身份的，评标委员会应一致将其施工组织设计部分评为0分，随后在详细评审汇总步骤否决其投标，并在评标报告中作出说明。</w:t>
            </w:r>
          </w:p>
          <w:p w14:paraId="5D0F3E33">
            <w:pPr>
              <w:pageBreakBefore w:val="0"/>
              <w:kinsoku/>
              <w:wordWrap/>
              <w:overflowPunct/>
              <w:topLinePunct w:val="0"/>
              <w:bidi w:val="0"/>
              <w:adjustRightInd w:val="0"/>
              <w:snapToGrid w:val="0"/>
              <w:spacing w:line="360" w:lineRule="exact"/>
              <w:ind w:firstLine="420"/>
              <w:jc w:val="left"/>
              <w:textAlignment w:val="auto"/>
              <w:rPr>
                <w:rFonts w:ascii="宋体" w:hAnsi="宋体"/>
                <w:sz w:val="21"/>
                <w:szCs w:val="21"/>
              </w:rPr>
            </w:pPr>
            <w:r>
              <w:rPr>
                <w:rFonts w:hint="eastAsia" w:ascii="宋体" w:hAnsi="宋体"/>
                <w:sz w:val="21"/>
                <w:szCs w:val="21"/>
              </w:rPr>
              <w:t>2、各评分因素（评标价和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w:t>
            </w:r>
          </w:p>
        </w:tc>
      </w:tr>
      <w:bookmarkEnd w:id="35"/>
    </w:tbl>
    <w:p w14:paraId="0E94B226">
      <w:pPr>
        <w:pageBreakBefore w:val="0"/>
        <w:kinsoku/>
        <w:wordWrap/>
        <w:overflowPunct/>
        <w:topLinePunct w:val="0"/>
        <w:bidi w:val="0"/>
        <w:adjustRightInd w:val="0"/>
        <w:snapToGrid w:val="0"/>
        <w:spacing w:line="360" w:lineRule="exact"/>
        <w:textAlignment w:val="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482E8C36">
      <w:pPr>
        <w:pStyle w:val="12"/>
        <w:jc w:val="both"/>
        <w:rPr>
          <w:rFonts w:ascii="楷体" w:hAnsi="楷体" w:eastAsia="楷体"/>
        </w:rPr>
      </w:pPr>
      <w:r>
        <w:rPr>
          <w:rStyle w:val="16"/>
        </w:rPr>
        <w:footnoteRef/>
      </w:r>
      <w:r>
        <w:rPr>
          <w:rFonts w:hint="eastAsia" w:ascii="楷体" w:hAnsi="楷体" w:eastAsia="楷体"/>
        </w:rPr>
        <w:t>a.“投标人须知前附表”用于进一步明确正文中的未尽事宜，凡“投标人须知前附表”对本章正文内容进行完善和补充的，均以“投标人须知前附表”为准；未进行补充、完善的，以本章正文内容为准。</w:t>
      </w:r>
    </w:p>
    <w:p w14:paraId="3CC5CDE8">
      <w:pPr>
        <w:pStyle w:val="12"/>
        <w:ind w:firstLine="180" w:firstLineChars="100"/>
        <w:jc w:val="both"/>
        <w:rPr>
          <w:rFonts w:ascii="楷体" w:hAnsi="楷体" w:eastAsia="楷体"/>
        </w:rPr>
      </w:pPr>
      <w:r>
        <w:rPr>
          <w:rFonts w:hint="eastAsia" w:ascii="楷体" w:hAnsi="楷体" w:eastAsia="楷体"/>
        </w:rPr>
        <w:t>b.“投标人须知前附表”中的附录表格同属“投标人须知前附表”内容，具有同等效力。</w:t>
      </w:r>
    </w:p>
  </w:footnote>
  <w:footnote w:id="1">
    <w:p w14:paraId="0B791267">
      <w:pPr>
        <w:pStyle w:val="12"/>
      </w:pPr>
      <w:r>
        <w:rPr>
          <w:rStyle w:val="16"/>
        </w:rPr>
        <w:footnoteRef/>
      </w:r>
      <w:r>
        <w:rPr>
          <w:rFonts w:hint="eastAsia"/>
        </w:rPr>
        <w:t>招标文件中要求投标人提供的各类证照复印件均指彩色扫描件或彩色复印件，其他资料的复印件可为黑白扫描件或黑白复印件。</w:t>
      </w:r>
    </w:p>
  </w:footnote>
  <w:footnote w:id="2">
    <w:p w14:paraId="2E5B8978">
      <w:pPr>
        <w:pStyle w:val="12"/>
        <w:jc w:val="both"/>
        <w:rPr>
          <w:rFonts w:ascii="楷体" w:hAnsi="楷体" w:eastAsia="楷体"/>
        </w:rPr>
      </w:pPr>
      <w:r>
        <w:rPr>
          <w:rStyle w:val="16"/>
        </w:rPr>
        <w:footnoteRef/>
      </w:r>
      <w:r>
        <w:rPr>
          <w:rFonts w:hint="eastAsia" w:ascii="楷体" w:hAnsi="楷体" w:eastAsia="楷体"/>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731E5"/>
    <w:multiLevelType w:val="singleLevel"/>
    <w:tmpl w:val="ED3731E5"/>
    <w:lvl w:ilvl="0" w:tentative="0">
      <w:start w:val="1"/>
      <w:numFmt w:val="lowerLetter"/>
      <w:lvlText w:val="%1."/>
      <w:lvlJc w:val="left"/>
      <w:pPr>
        <w:tabs>
          <w:tab w:val="left" w:pos="312"/>
        </w:tabs>
      </w:pPr>
    </w:lvl>
  </w:abstractNum>
  <w:abstractNum w:abstractNumId="1">
    <w:nsid w:val="FC48F31A"/>
    <w:multiLevelType w:val="singleLevel"/>
    <w:tmpl w:val="FC48F31A"/>
    <w:lvl w:ilvl="0" w:tentative="0">
      <w:start w:val="1"/>
      <w:numFmt w:val="decimal"/>
      <w:suff w:val="nothing"/>
      <w:lvlText w:val="（%1）"/>
      <w:lvlJc w:val="left"/>
    </w:lvl>
  </w:abstractNum>
  <w:abstractNum w:abstractNumId="2">
    <w:nsid w:val="3E591CCF"/>
    <w:multiLevelType w:val="multilevel"/>
    <w:tmpl w:val="3E591CCF"/>
    <w:lvl w:ilvl="0" w:tentative="0">
      <w:start w:val="1"/>
      <w:numFmt w:val="decimal"/>
      <w:suff w:val="nothing"/>
      <w:lvlText w:val="（%1）"/>
      <w:lvlJc w:val="left"/>
      <w:pPr>
        <w:ind w:left="703"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8E60348"/>
    <w:multiLevelType w:val="multilevel"/>
    <w:tmpl w:val="68E60348"/>
    <w:lvl w:ilvl="0" w:tentative="0">
      <w:start w:val="1"/>
      <w:numFmt w:val="decimal"/>
      <w:suff w:val="nothing"/>
      <w:lvlText w:val="（%1）"/>
      <w:lvlJc w:val="left"/>
      <w:pPr>
        <w:ind w:left="580" w:hanging="420"/>
      </w:pPr>
      <w:rPr>
        <w:rFonts w:hint="default"/>
        <w:b w:val="0"/>
      </w:rPr>
    </w:lvl>
    <w:lvl w:ilvl="1" w:tentative="0">
      <w:start w:val="1"/>
      <w:numFmt w:val="lowerLetter"/>
      <w:lvlText w:val="%2)"/>
      <w:lvlJc w:val="left"/>
      <w:pPr>
        <w:ind w:left="1000" w:hanging="420"/>
      </w:pPr>
    </w:lvl>
    <w:lvl w:ilvl="2" w:tentative="0">
      <w:start w:val="1"/>
      <w:numFmt w:val="lowerRoman"/>
      <w:lvlText w:val="%3."/>
      <w:lvlJc w:val="right"/>
      <w:pPr>
        <w:ind w:left="1420" w:hanging="420"/>
      </w:pPr>
    </w:lvl>
    <w:lvl w:ilvl="3" w:tentative="0">
      <w:start w:val="1"/>
      <w:numFmt w:val="decimal"/>
      <w:lvlText w:val="%4."/>
      <w:lvlJc w:val="left"/>
      <w:pPr>
        <w:ind w:left="1840" w:hanging="420"/>
      </w:pPr>
    </w:lvl>
    <w:lvl w:ilvl="4" w:tentative="0">
      <w:start w:val="1"/>
      <w:numFmt w:val="lowerLetter"/>
      <w:lvlText w:val="%5)"/>
      <w:lvlJc w:val="left"/>
      <w:pPr>
        <w:ind w:left="2260" w:hanging="420"/>
      </w:pPr>
    </w:lvl>
    <w:lvl w:ilvl="5" w:tentative="0">
      <w:start w:val="1"/>
      <w:numFmt w:val="lowerRoman"/>
      <w:lvlText w:val="%6."/>
      <w:lvlJc w:val="right"/>
      <w:pPr>
        <w:ind w:left="2680" w:hanging="420"/>
      </w:pPr>
    </w:lvl>
    <w:lvl w:ilvl="6" w:tentative="0">
      <w:start w:val="1"/>
      <w:numFmt w:val="decimal"/>
      <w:lvlText w:val="%7."/>
      <w:lvlJc w:val="left"/>
      <w:pPr>
        <w:ind w:left="3100" w:hanging="420"/>
      </w:pPr>
    </w:lvl>
    <w:lvl w:ilvl="7" w:tentative="0">
      <w:start w:val="1"/>
      <w:numFmt w:val="lowerLetter"/>
      <w:lvlText w:val="%8)"/>
      <w:lvlJc w:val="left"/>
      <w:pPr>
        <w:ind w:left="3520" w:hanging="420"/>
      </w:pPr>
    </w:lvl>
    <w:lvl w:ilvl="8" w:tentative="0">
      <w:start w:val="1"/>
      <w:numFmt w:val="lowerRoman"/>
      <w:lvlText w:val="%9."/>
      <w:lvlJc w:val="right"/>
      <w:pPr>
        <w:ind w:left="394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7008A"/>
    <w:rsid w:val="0C9526EF"/>
    <w:rsid w:val="221273D0"/>
    <w:rsid w:val="257429C1"/>
    <w:rsid w:val="2BF437BD"/>
    <w:rsid w:val="3E6334E7"/>
    <w:rsid w:val="43212C92"/>
    <w:rsid w:val="502B428B"/>
    <w:rsid w:val="53040541"/>
    <w:rsid w:val="53AA2830"/>
    <w:rsid w:val="6EC24A7A"/>
    <w:rsid w:val="75770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qFormat/>
    <w:uiPriority w:val="9"/>
    <w:pPr>
      <w:keepNext/>
      <w:keepLines/>
      <w:spacing w:before="260" w:after="260" w:line="416" w:lineRule="auto"/>
      <w:outlineLvl w:val="2"/>
    </w:pPr>
    <w:rPr>
      <w:b/>
      <w:bCs/>
      <w:kern w:val="0"/>
      <w:sz w:val="32"/>
      <w:szCs w:val="32"/>
    </w:rPr>
  </w:style>
  <w:style w:type="paragraph" w:styleId="4">
    <w:name w:val="heading 4"/>
    <w:basedOn w:val="1"/>
    <w:next w:val="1"/>
    <w:qFormat/>
    <w:uiPriority w:val="9"/>
    <w:pPr>
      <w:tabs>
        <w:tab w:val="left" w:pos="315"/>
      </w:tabs>
      <w:spacing w:before="120" w:after="120"/>
      <w:outlineLvl w:val="3"/>
    </w:pPr>
    <w:rPr>
      <w:rFonts w:ascii="Cambria" w:hAnsi="Cambria" w:eastAsia="黑体"/>
      <w:bCs/>
      <w:sz w:val="24"/>
      <w:szCs w:val="28"/>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iPriority w:val="0"/>
    <w:pPr>
      <w:spacing w:after="120"/>
    </w:pPr>
  </w:style>
  <w:style w:type="paragraph" w:styleId="7">
    <w:name w:val="Body Text Indent"/>
    <w:basedOn w:val="1"/>
    <w:next w:val="8"/>
    <w:qFormat/>
    <w:uiPriority w:val="0"/>
    <w:pPr>
      <w:ind w:firstLine="1120" w:firstLineChars="400"/>
    </w:pPr>
    <w:rPr>
      <w:rFonts w:ascii="Times New Roman" w:hAnsi="Times New Roman"/>
      <w:sz w:val="28"/>
      <w:szCs w:val="24"/>
    </w:rPr>
  </w:style>
  <w:style w:type="paragraph" w:styleId="8">
    <w:name w:val="Body Text Indent 2"/>
    <w:basedOn w:val="1"/>
    <w:qFormat/>
    <w:uiPriority w:val="0"/>
    <w:pPr>
      <w:ind w:left="206" w:hanging="206" w:hangingChars="98"/>
    </w:pPr>
    <w:rPr>
      <w:rFonts w:ascii="Times New Roman" w:hAnsi="Times New Roman"/>
      <w:szCs w:val="24"/>
    </w:rPr>
  </w:style>
  <w:style w:type="paragraph" w:styleId="9">
    <w:name w:val="Plain Text"/>
    <w:basedOn w:val="1"/>
    <w:qFormat/>
    <w:uiPriority w:val="0"/>
    <w:rPr>
      <w:rFonts w:ascii="宋体" w:hAnsi="Courier New"/>
      <w:szCs w:val="21"/>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footnote text"/>
    <w:basedOn w:val="1"/>
    <w:unhideWhenUsed/>
    <w:qFormat/>
    <w:uiPriority w:val="0"/>
    <w:pPr>
      <w:snapToGrid w:val="0"/>
      <w:jc w:val="left"/>
    </w:pPr>
    <w:rPr>
      <w:kern w:val="0"/>
      <w:sz w:val="18"/>
      <w:szCs w:val="18"/>
    </w:rPr>
  </w:style>
  <w:style w:type="character" w:styleId="15">
    <w:name w:val="page number"/>
    <w:uiPriority w:val="0"/>
  </w:style>
  <w:style w:type="character" w:styleId="16">
    <w:name w:val="footnote reference"/>
    <w:qFormat/>
    <w:uiPriority w:val="0"/>
    <w:rPr>
      <w:vertAlign w:val="superscript"/>
    </w:rPr>
  </w:style>
  <w:style w:type="paragraph" w:customStyle="1" w:styleId="17">
    <w:name w:val="其他"/>
    <w:basedOn w:val="1"/>
    <w:qFormat/>
    <w:uiPriority w:val="0"/>
    <w:pPr>
      <w:shd w:val="clear" w:color="auto" w:fill="FFFFFF"/>
      <w:spacing w:line="430" w:lineRule="auto"/>
      <w:ind w:firstLine="400"/>
      <w:jc w:val="distribute"/>
    </w:pPr>
    <w:rPr>
      <w:rFonts w:ascii="宋体" w:hAnsi="宋体" w:cs="宋体"/>
      <w:kern w:val="0"/>
      <w:sz w:val="20"/>
      <w:szCs w:val="20"/>
      <w:lang w:val="zh-CN" w:bidi="zh-CN"/>
    </w:rPr>
  </w:style>
  <w:style w:type="paragraph" w:customStyle="1" w:styleId="18">
    <w:name w:val="Table Text"/>
    <w:basedOn w:val="1"/>
    <w:semiHidden/>
    <w:qFormat/>
    <w:uiPriority w:val="0"/>
    <w:rPr>
      <w:rFonts w:ascii="宋体" w:hAnsi="宋体" w:cs="宋体"/>
      <w:sz w:val="20"/>
      <w:szCs w:val="20"/>
      <w:lang w:eastAsia="en-US"/>
    </w:rPr>
  </w:style>
  <w:style w:type="character" w:customStyle="1" w:styleId="19">
    <w:name w:val="MSG_EN_FONT_STYLE_NAME_TEMPLATE_ROLE_NUMBER MSG_EN_FONT_STYLE_NAME_BY_ROLE_TEXT 13 + MSG_EN_FONT_STYLE_MODIFER_SIZE 8.5"/>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10073</Words>
  <Characters>11015</Characters>
  <Lines>0</Lines>
  <Paragraphs>0</Paragraphs>
  <TotalTime>0</TotalTime>
  <ScaleCrop>false</ScaleCrop>
  <LinksUpToDate>false</LinksUpToDate>
  <CharactersWithSpaces>11108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2025-09-25T04:27:00Z</dcterms:created>
  <dc:creator>水晶般透明</dc:creator>
  <cp:lastModifiedBy>丁聪</cp:lastModifiedBy>
  <dcterms:modified xsi:type="dcterms:W3CDTF">2025-09-28T01:14:41Z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CDE1548533A04569B8B72A5FB85F5882_13</vt:lpwstr>
  </property>
  <property fmtid="{D5CDD505-2E9C-101B-9397-08002B2CF9AE}" pid="4" name="KSOTemplateDocerSaveRecord">
    <vt:lpwstr>eyJoZGlkIjoiYzA1Y2IwMGUwOTFkODdiMzk0YjlkMmEyYTgwYWJjNzEiLCJ1c2VySWQiOiIyNDUwODQ0ODUifQ==</vt:lpwstr>
  </property>
</Properties>
</file>