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F7EDC">
      <w:pPr>
        <w:spacing w:line="360" w:lineRule="exact"/>
        <w:jc w:val="center"/>
        <w:rPr>
          <w:rFonts w:hint="eastAsia" w:ascii="宋体" w:hAnsi="宋体" w:eastAsia="宋体"/>
          <w:b/>
          <w:szCs w:val="21"/>
          <w:lang w:val="en-US" w:eastAsia="zh-CN"/>
        </w:rPr>
      </w:pPr>
      <w:r>
        <w:rPr>
          <w:rFonts w:hint="eastAsia" w:ascii="宋体" w:hAnsi="宋体" w:eastAsia="宋体"/>
          <w:b/>
          <w:szCs w:val="21"/>
          <w:lang w:eastAsia="zh-CN"/>
        </w:rPr>
        <w:t>吉林省普通干线公路交通情况调查能力提升及公路干线示范通道主动管控建设工程</w:t>
      </w:r>
      <w:r>
        <w:rPr>
          <w:rFonts w:hint="eastAsia" w:ascii="宋体" w:hAnsi="宋体" w:eastAsia="宋体"/>
          <w:b/>
          <w:szCs w:val="21"/>
          <w:lang w:val="en-US" w:eastAsia="zh-CN"/>
        </w:rPr>
        <w:t>施工</w:t>
      </w:r>
    </w:p>
    <w:p w14:paraId="2941CA4A">
      <w:pPr>
        <w:spacing w:line="360" w:lineRule="exact"/>
        <w:jc w:val="center"/>
        <w:rPr>
          <w:rFonts w:hint="eastAsia" w:ascii="宋体" w:hAnsi="宋体" w:eastAsia="宋体"/>
          <w:b/>
          <w:szCs w:val="21"/>
        </w:rPr>
      </w:pPr>
      <w:r>
        <w:rPr>
          <w:rFonts w:hint="eastAsia" w:ascii="宋体" w:hAnsi="宋体" w:eastAsia="宋体"/>
          <w:b/>
          <w:szCs w:val="21"/>
          <w:lang w:val="en-US" w:eastAsia="zh-CN"/>
        </w:rPr>
        <w:t>招标</w:t>
      </w:r>
      <w:r>
        <w:rPr>
          <w:rFonts w:hint="eastAsia" w:ascii="宋体" w:hAnsi="宋体" w:eastAsia="宋体"/>
          <w:b/>
          <w:szCs w:val="21"/>
        </w:rPr>
        <w:t>文件公开内容</w:t>
      </w:r>
    </w:p>
    <w:p w14:paraId="5BFA3234">
      <w:pPr>
        <w:keepLines w:val="0"/>
        <w:pageBreakBefore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9"/>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539DD0C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29AE4969">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70E6AC84">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资质条件：见附录1</w:t>
            </w:r>
          </w:p>
          <w:p w14:paraId="3A80451B">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06918D5B">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07E6C968">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0A1A9B33">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6FBCA4EC">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6D6C90F1">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fldChar w:fldCharType="begin"/>
            </w:r>
            <w:r>
              <w:rPr>
                <w:rFonts w:hint="eastAsia" w:ascii="宋体" w:hAnsi="宋体" w:eastAsia="宋体" w:cs="宋体"/>
                <w:color w:val="auto"/>
                <w:kern w:val="0"/>
                <w:sz w:val="21"/>
                <w:szCs w:val="21"/>
                <w:lang w:val="zh-CN"/>
              </w:rPr>
              <w:instrText xml:space="preserve">eq \o\ac(</w:instrText>
            </w:r>
            <w:r>
              <w:rPr>
                <w:rFonts w:hint="eastAsia" w:ascii="宋体" w:hAnsi="宋体" w:eastAsia="宋体" w:cs="宋体"/>
                <w:color w:val="auto"/>
                <w:kern w:val="0"/>
                <w:position w:val="-4"/>
                <w:sz w:val="31"/>
                <w:szCs w:val="21"/>
                <w:lang w:val="zh-CN"/>
              </w:rPr>
              <w:instrText xml:space="preserve">□</w:instrText>
            </w:r>
            <w:r>
              <w:rPr>
                <w:rFonts w:hint="eastAsia" w:ascii="宋体" w:hAnsi="宋体" w:eastAsia="宋体" w:cs="宋体"/>
                <w:color w:val="auto"/>
                <w:kern w:val="0"/>
                <w:position w:val="0"/>
                <w:sz w:val="21"/>
                <w:szCs w:val="21"/>
                <w:lang w:val="zh-CN"/>
              </w:rPr>
              <w:instrText xml:space="preserve">,√)</w:instrText>
            </w:r>
            <w:r>
              <w:rPr>
                <w:rFonts w:hint="eastAsia" w:ascii="宋体" w:hAnsi="宋体" w:eastAsia="宋体" w:cs="宋体"/>
                <w:color w:val="auto"/>
                <w:kern w:val="0"/>
                <w:sz w:val="21"/>
                <w:szCs w:val="21"/>
                <w:lang w:val="zh-CN"/>
              </w:rPr>
              <w:fldChar w:fldCharType="end"/>
            </w:r>
            <w:r>
              <w:rPr>
                <w:rFonts w:hint="eastAsia" w:ascii="宋体" w:hAnsi="宋体" w:eastAsia="宋体" w:cs="宋体"/>
                <w:color w:val="auto"/>
                <w:sz w:val="21"/>
                <w:szCs w:val="21"/>
              </w:rPr>
              <w:t>不接受</w:t>
            </w:r>
          </w:p>
          <w:p w14:paraId="4D5AD8B9">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接受，应满足下列要求：</w:t>
            </w:r>
            <w:r>
              <w:rPr>
                <w:rFonts w:hint="eastAsia" w:ascii="宋体" w:hAnsi="宋体" w:eastAsia="宋体" w:cs="宋体"/>
                <w:color w:val="auto"/>
                <w:sz w:val="21"/>
                <w:szCs w:val="21"/>
                <w:lang w:val="en-US" w:eastAsia="zh-CN"/>
              </w:rPr>
              <w:t>/</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46F542E6">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6E5EDE55">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1A6AB32B">
            <w:pPr>
              <w:pStyle w:val="13"/>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49E4B017">
            <w:pPr>
              <w:pStyle w:val="13"/>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B3F830D">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0" w:name="_Toc179632551"/>
      <w:bookmarkStart w:id="1" w:name="_Toc144974502"/>
      <w:bookmarkStart w:id="2" w:name="_Toc152042310"/>
      <w:bookmarkStart w:id="3" w:name="_Toc152045534"/>
      <w:bookmarkStart w:id="4" w:name="_Toc502741808"/>
      <w:bookmarkStart w:id="5" w:name="_Toc28410"/>
      <w:r>
        <w:rPr>
          <w:rFonts w:hint="eastAsia" w:ascii="宋体" w:hAnsi="宋体" w:eastAsia="宋体" w:cs="宋体"/>
          <w:color w:val="auto"/>
          <w:sz w:val="21"/>
          <w:szCs w:val="21"/>
          <w:highlight w:val="none"/>
        </w:rPr>
        <w:t>1.4投标人资格要求（适用于未进行资格预审的）</w:t>
      </w:r>
      <w:bookmarkEnd w:id="0"/>
      <w:bookmarkEnd w:id="1"/>
      <w:bookmarkEnd w:id="2"/>
      <w:bookmarkEnd w:id="3"/>
      <w:bookmarkEnd w:id="4"/>
    </w:p>
    <w:p w14:paraId="2EB5E11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2D979129">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资质条件：见投标人须知前附表；</w:t>
      </w:r>
    </w:p>
    <w:p w14:paraId="6D8648F0">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6CD3FED0">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21FAAA2F">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042A599C">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3ED759">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6E20179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884245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412FC01F">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430971F0">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2353FCFF">
      <w:pPr>
        <w:keepLines w:val="0"/>
        <w:pageBreakBefore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16756225">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6D482852">
      <w:pPr>
        <w:keepLines w:val="0"/>
        <w:pageBreakBefore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2594ACC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77BAD273">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0F62FCC4">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1D73C7FA">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643C4833">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20F63A59">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28F20188">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52AE334C">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2D5F3801">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36355E6F">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7C41AF06">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688BDD40">
      <w:pPr>
        <w:keepLines w:val="0"/>
        <w:pageBreakBefore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4A6898CA">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597C9FFE">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3CAC82EE">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05CFB055">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67BAA284">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5D2EFFFD">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2B263372">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0BFA0795">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3D94F729">
      <w:pPr>
        <w:keepLines w:val="0"/>
        <w:pageBreakBefore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1"/>
          <w:rFonts w:hint="eastAsia" w:ascii="宋体" w:hAnsi="宋体" w:eastAsia="宋体" w:cs="宋体"/>
          <w:color w:val="auto"/>
          <w:sz w:val="21"/>
          <w:szCs w:val="21"/>
          <w:highlight w:val="none"/>
        </w:rPr>
        <w:footnoteReference w:id="0"/>
      </w:r>
    </w:p>
    <w:bookmarkEnd w:id="5"/>
    <w:p w14:paraId="30DFEC76">
      <w:pPr>
        <w:keepLines w:val="0"/>
        <w:pageBreakBefore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6" w:name="_Toc7819"/>
      <w:r>
        <w:rPr>
          <w:rFonts w:hint="eastAsia" w:ascii="宋体" w:hAnsi="宋体" w:eastAsia="宋体" w:cs="宋体"/>
          <w:b/>
          <w:color w:val="auto"/>
          <w:sz w:val="21"/>
          <w:szCs w:val="21"/>
          <w:highlight w:val="none"/>
        </w:rPr>
        <w:t>附录1 资格审查条件（资质最低要求）</w:t>
      </w:r>
      <w:bookmarkEnd w:id="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2"/>
      </w:tblGrid>
      <w:tr w14:paraId="323E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34" w:type="dxa"/>
            <w:tcBorders>
              <w:top w:val="single" w:color="auto" w:sz="12" w:space="0"/>
              <w:left w:val="single" w:color="auto" w:sz="12" w:space="0"/>
            </w:tcBorders>
            <w:vAlign w:val="center"/>
          </w:tcPr>
          <w:p w14:paraId="5599EB4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82" w:type="dxa"/>
            <w:tcBorders>
              <w:top w:val="single" w:color="auto" w:sz="12" w:space="0"/>
              <w:right w:val="single" w:color="auto" w:sz="12" w:space="0"/>
            </w:tcBorders>
            <w:vAlign w:val="center"/>
          </w:tcPr>
          <w:p w14:paraId="120AEF3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4A5A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34" w:type="dxa"/>
            <w:tcBorders>
              <w:left w:val="single" w:color="auto" w:sz="12" w:space="0"/>
              <w:bottom w:val="single" w:color="auto" w:sz="12" w:space="0"/>
            </w:tcBorders>
            <w:shd w:val="clear" w:color="auto" w:fill="auto"/>
            <w:vAlign w:val="center"/>
          </w:tcPr>
          <w:p w14:paraId="021A8EF0">
            <w:pPr>
              <w:pStyle w:val="5"/>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SG01</w:t>
            </w:r>
          </w:p>
        </w:tc>
        <w:tc>
          <w:tcPr>
            <w:tcW w:w="8382" w:type="dxa"/>
            <w:tcBorders>
              <w:bottom w:val="single" w:color="auto" w:sz="12" w:space="0"/>
              <w:right w:val="single" w:color="auto" w:sz="12" w:space="0"/>
            </w:tcBorders>
            <w:shd w:val="clear" w:color="auto" w:fill="auto"/>
            <w:vAlign w:val="center"/>
          </w:tcPr>
          <w:p w14:paraId="4EB6F2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公路交通工程专业承包（公路机电工程分项）二级资质。</w:t>
            </w:r>
          </w:p>
        </w:tc>
      </w:tr>
    </w:tbl>
    <w:p w14:paraId="3C7E2F86">
      <w:pPr>
        <w:keepLines w:val="0"/>
        <w:pageBreakBefore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7" w:name="_Toc10650"/>
      <w:r>
        <w:rPr>
          <w:rFonts w:hint="eastAsia" w:ascii="宋体" w:hAnsi="宋体" w:eastAsia="宋体" w:cs="宋体"/>
          <w:b/>
          <w:color w:val="auto"/>
          <w:sz w:val="21"/>
          <w:szCs w:val="21"/>
          <w:highlight w:val="none"/>
        </w:rPr>
        <w:t>附录2 资格审查条件（财务最低要求）</w:t>
      </w:r>
      <w:bookmarkEnd w:id="7"/>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001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40A08A89">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76B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440E01A2">
            <w:pPr>
              <w:keepLines w:val="0"/>
              <w:pageBreakBefore w:val="0"/>
              <w:kinsoku/>
              <w:wordWrap/>
              <w:overflowPunct/>
              <w:topLinePunct w:val="0"/>
              <w:bidi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具有健全的财务会计制度。</w:t>
            </w:r>
          </w:p>
        </w:tc>
      </w:tr>
    </w:tbl>
    <w:p w14:paraId="55B72005">
      <w:pPr>
        <w:keepLines w:val="0"/>
        <w:pageBreakBefore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8" w:name="_Toc12582"/>
      <w:r>
        <w:rPr>
          <w:rFonts w:hint="eastAsia" w:ascii="宋体" w:hAnsi="宋体" w:eastAsia="宋体" w:cs="宋体"/>
          <w:b/>
          <w:color w:val="auto"/>
          <w:sz w:val="21"/>
          <w:szCs w:val="21"/>
          <w:highlight w:val="none"/>
        </w:rPr>
        <w:t>附录3 资格审查条件（业绩最低要求）</w:t>
      </w:r>
      <w:bookmarkEnd w:id="8"/>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363"/>
      </w:tblGrid>
      <w:tr w14:paraId="7886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1158" w:type="dxa"/>
            <w:tcBorders>
              <w:top w:val="single" w:color="auto" w:sz="12" w:space="0"/>
              <w:left w:val="single" w:color="auto" w:sz="12" w:space="0"/>
              <w:right w:val="single" w:color="auto" w:sz="4" w:space="0"/>
            </w:tcBorders>
            <w:vAlign w:val="center"/>
          </w:tcPr>
          <w:p w14:paraId="45EBD155">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63" w:type="dxa"/>
            <w:tcBorders>
              <w:top w:val="single" w:color="auto" w:sz="12" w:space="0"/>
              <w:left w:val="single" w:color="auto" w:sz="4" w:space="0"/>
              <w:right w:val="single" w:color="auto" w:sz="12" w:space="0"/>
            </w:tcBorders>
            <w:vAlign w:val="center"/>
          </w:tcPr>
          <w:p w14:paraId="1FC13C9C">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1228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58" w:type="dxa"/>
            <w:tcBorders>
              <w:left w:val="single" w:color="auto" w:sz="12" w:space="0"/>
              <w:bottom w:val="single" w:color="auto" w:sz="12" w:space="0"/>
              <w:right w:val="single" w:color="auto" w:sz="4" w:space="0"/>
            </w:tcBorders>
            <w:vAlign w:val="center"/>
          </w:tcPr>
          <w:p w14:paraId="5EF8259B">
            <w:pPr>
              <w:pStyle w:val="5"/>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SG01</w:t>
            </w:r>
          </w:p>
        </w:tc>
        <w:tc>
          <w:tcPr>
            <w:tcW w:w="8363" w:type="dxa"/>
            <w:tcBorders>
              <w:left w:val="single" w:color="auto" w:sz="4" w:space="0"/>
              <w:bottom w:val="single" w:color="auto" w:sz="12" w:space="0"/>
              <w:right w:val="single" w:color="auto" w:sz="12" w:space="0"/>
            </w:tcBorders>
            <w:vAlign w:val="center"/>
          </w:tcPr>
          <w:p w14:paraId="09BC82EF">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2020年1月1日后</w:t>
            </w:r>
            <w:r>
              <w:rPr>
                <w:rFonts w:hint="eastAsia" w:ascii="宋体" w:hAnsi="宋体" w:eastAsia="宋体" w:cs="宋体"/>
                <w:color w:val="auto"/>
                <w:sz w:val="21"/>
                <w:szCs w:val="21"/>
                <w:highlight w:val="none"/>
                <w:lang w:val="en-US" w:eastAsia="zh-CN"/>
              </w:rPr>
              <w:t>完成过一项公路机电工程（工程内容至少包含通信系统、监控系统、收费系统中的一项）施工业绩。</w:t>
            </w:r>
          </w:p>
        </w:tc>
      </w:tr>
    </w:tbl>
    <w:p w14:paraId="3E2BEF0D">
      <w:pPr>
        <w:keepLines w:val="0"/>
        <w:pageBreakBefore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4105"/>
      <w:r>
        <w:rPr>
          <w:rFonts w:hint="eastAsia" w:ascii="宋体" w:hAnsi="宋体" w:eastAsia="宋体" w:cs="宋体"/>
          <w:b/>
          <w:color w:val="auto"/>
          <w:sz w:val="21"/>
          <w:szCs w:val="21"/>
          <w:highlight w:val="none"/>
        </w:rPr>
        <w:t>附录4 资格审查条件（信誉最低要求）</w:t>
      </w:r>
      <w:bookmarkEnd w:id="9"/>
    </w:p>
    <w:tbl>
      <w:tblPr>
        <w:tblStyle w:val="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4817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521" w:type="dxa"/>
            <w:tcBorders>
              <w:top w:val="single" w:color="auto" w:sz="12" w:space="0"/>
              <w:left w:val="single" w:color="auto" w:sz="12" w:space="0"/>
              <w:right w:val="single" w:color="auto" w:sz="12" w:space="0"/>
            </w:tcBorders>
            <w:vAlign w:val="center"/>
          </w:tcPr>
          <w:p w14:paraId="712FAB5B">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3BAF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21" w:type="dxa"/>
            <w:tcBorders>
              <w:left w:val="single" w:color="auto" w:sz="12" w:space="0"/>
              <w:bottom w:val="single" w:color="auto" w:sz="12" w:space="0"/>
              <w:right w:val="single" w:color="auto" w:sz="12" w:space="0"/>
            </w:tcBorders>
            <w:vAlign w:val="center"/>
          </w:tcPr>
          <w:p w14:paraId="2DF9D8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bl>
    <w:p w14:paraId="3DC5F24E">
      <w:pPr>
        <w:keepLines w:val="0"/>
        <w:pageBreakBefore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955"/>
      <w:r>
        <w:rPr>
          <w:rFonts w:hint="eastAsia" w:ascii="宋体" w:hAnsi="宋体" w:eastAsia="宋体" w:cs="宋体"/>
          <w:b/>
          <w:color w:val="auto"/>
          <w:sz w:val="21"/>
          <w:szCs w:val="21"/>
          <w:highlight w:val="none"/>
        </w:rPr>
        <w:t>附录5 资格审查条件（项目经理和项目总工最低要求）</w:t>
      </w:r>
      <w:bookmarkEnd w:id="10"/>
    </w:p>
    <w:tbl>
      <w:tblPr>
        <w:tblStyle w:val="9"/>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1069"/>
        <w:gridCol w:w="5921"/>
        <w:gridCol w:w="1381"/>
      </w:tblGrid>
      <w:tr w14:paraId="2764E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098" w:type="dxa"/>
            <w:vAlign w:val="center"/>
          </w:tcPr>
          <w:p w14:paraId="4C88EE2A">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069" w:type="dxa"/>
            <w:vAlign w:val="center"/>
          </w:tcPr>
          <w:p w14:paraId="29695AFC">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921" w:type="dxa"/>
            <w:vAlign w:val="center"/>
          </w:tcPr>
          <w:p w14:paraId="1AA44F46">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vAlign w:val="center"/>
          </w:tcPr>
          <w:p w14:paraId="6BD0EBD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6C1D1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0" w:hRule="atLeast"/>
          <w:jc w:val="center"/>
        </w:trPr>
        <w:tc>
          <w:tcPr>
            <w:tcW w:w="1098" w:type="dxa"/>
            <w:vAlign w:val="center"/>
          </w:tcPr>
          <w:p w14:paraId="7D8AF061">
            <w:pPr>
              <w:keepLines w:val="0"/>
              <w:pageBreakBefore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069" w:type="dxa"/>
            <w:vAlign w:val="center"/>
          </w:tcPr>
          <w:p w14:paraId="7184DC18">
            <w:pPr>
              <w:keepLines w:val="0"/>
              <w:pageBreakBefore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921" w:type="dxa"/>
            <w:vAlign w:val="center"/>
          </w:tcPr>
          <w:p w14:paraId="08E2931B">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w:t>
            </w:r>
            <w:r>
              <w:rPr>
                <w:rFonts w:hint="eastAsia" w:ascii="宋体" w:hAnsi="宋体" w:eastAsia="宋体" w:cs="宋体"/>
                <w:b/>
                <w:bCs/>
                <w:color w:val="auto"/>
                <w:sz w:val="21"/>
                <w:szCs w:val="21"/>
                <w:highlight w:val="none"/>
              </w:rPr>
              <w:t>自有</w:t>
            </w:r>
            <w:r>
              <w:rPr>
                <w:rStyle w:val="11"/>
                <w:rFonts w:hint="eastAsia" w:ascii="宋体" w:hAnsi="宋体" w:eastAsia="宋体" w:cs="宋体"/>
                <w:bCs/>
                <w:color w:val="auto"/>
                <w:sz w:val="21"/>
                <w:szCs w:val="21"/>
                <w:highlight w:val="none"/>
              </w:rPr>
              <w:footnoteReference w:id="2"/>
            </w:r>
            <w:r>
              <w:rPr>
                <w:rFonts w:hint="eastAsia" w:ascii="宋体" w:hAnsi="宋体" w:eastAsia="宋体" w:cs="宋体"/>
                <w:bCs/>
                <w:color w:val="auto"/>
                <w:sz w:val="21"/>
                <w:szCs w:val="21"/>
                <w:highlight w:val="none"/>
              </w:rPr>
              <w:t>人员；</w:t>
            </w:r>
          </w:p>
          <w:p w14:paraId="5B48EA96">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（2）具有公路工程</w:t>
            </w:r>
            <w:r>
              <w:rPr>
                <w:rFonts w:hint="eastAsia" w:ascii="宋体" w:hAnsi="宋体" w:eastAsia="宋体" w:cs="宋体"/>
                <w:bCs/>
                <w:color w:val="auto"/>
                <w:sz w:val="21"/>
                <w:szCs w:val="21"/>
                <w:highlight w:val="none"/>
                <w:lang w:val="en-US" w:eastAsia="zh-CN"/>
              </w:rPr>
              <w:t>或机电工程</w:t>
            </w:r>
            <w:r>
              <w:rPr>
                <w:rFonts w:hint="eastAsia" w:ascii="宋体" w:hAnsi="宋体" w:eastAsia="宋体" w:cs="宋体"/>
                <w:bCs/>
                <w:color w:val="auto"/>
                <w:sz w:val="21"/>
                <w:szCs w:val="21"/>
                <w:highlight w:val="none"/>
              </w:rPr>
              <w:t>相关专业</w:t>
            </w:r>
            <w:r>
              <w:rPr>
                <w:rStyle w:val="11"/>
                <w:rFonts w:hint="eastAsia" w:ascii="宋体" w:hAnsi="宋体" w:eastAsia="宋体" w:cs="宋体"/>
                <w:bCs/>
                <w:color w:val="auto"/>
                <w:sz w:val="21"/>
                <w:szCs w:val="21"/>
                <w:highlight w:val="none"/>
              </w:rPr>
              <w:footnoteReference w:id="3"/>
            </w:r>
            <w:r>
              <w:rPr>
                <w:rFonts w:hint="eastAsia" w:ascii="宋体" w:hAnsi="宋体" w:eastAsia="宋体" w:cs="宋体"/>
                <w:b/>
                <w:bCs/>
                <w:color w:val="auto"/>
                <w:sz w:val="21"/>
                <w:szCs w:val="21"/>
                <w:highlight w:val="none"/>
              </w:rPr>
              <w:t>工程师</w:t>
            </w:r>
            <w:r>
              <w:rPr>
                <w:rFonts w:hint="eastAsia" w:ascii="宋体" w:hAnsi="宋体" w:eastAsia="宋体" w:cs="宋体"/>
                <w:bCs/>
                <w:color w:val="auto"/>
                <w:sz w:val="21"/>
                <w:szCs w:val="21"/>
                <w:highlight w:val="none"/>
              </w:rPr>
              <w:t>职称；</w:t>
            </w:r>
          </w:p>
          <w:p w14:paraId="73A65F32">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（3）具有建设行政主管部门</w:t>
            </w:r>
            <w:r>
              <w:rPr>
                <w:rFonts w:hint="eastAsia" w:ascii="宋体" w:hAnsi="宋体" w:eastAsia="宋体" w:cs="宋体"/>
                <w:color w:val="auto"/>
                <w:sz w:val="21"/>
                <w:szCs w:val="21"/>
                <w:highlight w:val="none"/>
              </w:rPr>
              <w:t>颁发</w:t>
            </w:r>
            <w:r>
              <w:rPr>
                <w:rFonts w:hint="eastAsia" w:ascii="宋体" w:hAnsi="宋体" w:eastAsia="宋体" w:cs="宋体"/>
                <w:bCs/>
                <w:color w:val="auto"/>
                <w:sz w:val="21"/>
                <w:szCs w:val="21"/>
                <w:highlight w:val="none"/>
              </w:rPr>
              <w:t>且已经在投标人单位注册的“公路工程”</w:t>
            </w:r>
            <w:r>
              <w:rPr>
                <w:rFonts w:hint="eastAsia" w:ascii="宋体" w:hAnsi="宋体" w:eastAsia="宋体" w:cs="宋体"/>
                <w:bCs/>
                <w:color w:val="auto"/>
                <w:sz w:val="21"/>
                <w:szCs w:val="21"/>
                <w:highlight w:val="none"/>
                <w:lang w:val="en-US" w:eastAsia="zh-CN"/>
              </w:rPr>
              <w:t>或“机电工程”</w:t>
            </w:r>
            <w:r>
              <w:rPr>
                <w:rFonts w:hint="eastAsia" w:ascii="宋体" w:hAnsi="宋体" w:eastAsia="宋体" w:cs="宋体"/>
                <w:bCs/>
                <w:color w:val="auto"/>
                <w:sz w:val="21"/>
                <w:szCs w:val="21"/>
                <w:highlight w:val="none"/>
              </w:rPr>
              <w:t>专业《</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级</w:t>
            </w:r>
            <w:r>
              <w:rPr>
                <w:rFonts w:hint="eastAsia" w:ascii="宋体" w:hAnsi="宋体" w:eastAsia="宋体" w:cs="宋体"/>
                <w:bCs/>
                <w:color w:val="auto"/>
                <w:sz w:val="21"/>
                <w:szCs w:val="21"/>
                <w:highlight w:val="none"/>
              </w:rPr>
              <w:t>建造师注册证书》；</w:t>
            </w:r>
          </w:p>
          <w:p w14:paraId="2FAAC0B5">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（4）具有交通运输主管部门</w:t>
            </w:r>
            <w:r>
              <w:rPr>
                <w:rFonts w:hint="eastAsia" w:ascii="宋体" w:hAnsi="宋体" w:eastAsia="宋体" w:cs="宋体"/>
                <w:color w:val="auto"/>
                <w:sz w:val="21"/>
                <w:szCs w:val="21"/>
                <w:highlight w:val="none"/>
              </w:rPr>
              <w:t>颁发</w:t>
            </w:r>
            <w:r>
              <w:rPr>
                <w:rFonts w:hint="eastAsia" w:ascii="宋体" w:hAnsi="宋体" w:eastAsia="宋体" w:cs="宋体"/>
                <w:bCs/>
                <w:color w:val="auto"/>
                <w:sz w:val="21"/>
                <w:szCs w:val="21"/>
                <w:highlight w:val="none"/>
              </w:rPr>
              <w:t>的有效的</w:t>
            </w:r>
            <w:r>
              <w:rPr>
                <w:rFonts w:hint="eastAsia" w:ascii="宋体" w:hAnsi="宋体" w:eastAsia="宋体" w:cs="宋体"/>
                <w:b/>
                <w:bCs/>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vAlign w:val="center"/>
          </w:tcPr>
          <w:p w14:paraId="1A96C961">
            <w:pPr>
              <w:keepLines w:val="0"/>
              <w:pageBreakBefore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无在岗项目（指目前未在其他项目上任职，或虽在其他项目上任职但本项目中标后能从该项目撤离）</w:t>
            </w:r>
          </w:p>
        </w:tc>
      </w:tr>
      <w:tr w14:paraId="6F5F5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1098" w:type="dxa"/>
            <w:vAlign w:val="center"/>
          </w:tcPr>
          <w:p w14:paraId="761E5F55">
            <w:pPr>
              <w:keepLines w:val="0"/>
              <w:pageBreakBefore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069" w:type="dxa"/>
            <w:vAlign w:val="center"/>
          </w:tcPr>
          <w:p w14:paraId="35778947">
            <w:pPr>
              <w:keepLines w:val="0"/>
              <w:pageBreakBefore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921" w:type="dxa"/>
            <w:vAlign w:val="center"/>
          </w:tcPr>
          <w:p w14:paraId="60140B36">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w:t>
            </w:r>
            <w:r>
              <w:rPr>
                <w:rFonts w:hint="eastAsia" w:ascii="宋体" w:hAnsi="宋体" w:eastAsia="宋体" w:cs="宋体"/>
                <w:b/>
                <w:bCs w:val="0"/>
                <w:color w:val="auto"/>
                <w:sz w:val="21"/>
                <w:szCs w:val="21"/>
                <w:highlight w:val="none"/>
              </w:rPr>
              <w:t>自有</w:t>
            </w:r>
            <w:r>
              <w:rPr>
                <w:rFonts w:hint="eastAsia" w:ascii="宋体" w:hAnsi="宋体" w:eastAsia="宋体" w:cs="宋体"/>
                <w:bCs/>
                <w:color w:val="auto"/>
                <w:sz w:val="21"/>
                <w:szCs w:val="21"/>
                <w:highlight w:val="none"/>
              </w:rPr>
              <w:t>人员；</w:t>
            </w:r>
          </w:p>
          <w:p w14:paraId="50AF82CA">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（2）具有公路工程</w:t>
            </w:r>
            <w:r>
              <w:rPr>
                <w:rFonts w:hint="eastAsia" w:ascii="宋体" w:hAnsi="宋体" w:eastAsia="宋体" w:cs="宋体"/>
                <w:bCs/>
                <w:color w:val="auto"/>
                <w:sz w:val="21"/>
                <w:szCs w:val="21"/>
                <w:highlight w:val="none"/>
                <w:lang w:val="en-US" w:eastAsia="zh-CN"/>
              </w:rPr>
              <w:t>或机电工程</w:t>
            </w:r>
            <w:r>
              <w:rPr>
                <w:rFonts w:hint="eastAsia" w:ascii="宋体" w:hAnsi="宋体" w:eastAsia="宋体" w:cs="宋体"/>
                <w:bCs/>
                <w:color w:val="auto"/>
                <w:sz w:val="21"/>
                <w:szCs w:val="21"/>
                <w:highlight w:val="none"/>
              </w:rPr>
              <w:t>相关专业</w:t>
            </w:r>
            <w:r>
              <w:rPr>
                <w:rFonts w:hint="eastAsia" w:ascii="宋体" w:hAnsi="宋体" w:eastAsia="宋体" w:cs="宋体"/>
                <w:b/>
                <w:bCs w:val="0"/>
                <w:color w:val="auto"/>
                <w:sz w:val="21"/>
                <w:szCs w:val="21"/>
                <w:highlight w:val="none"/>
                <w:lang w:val="en-US" w:eastAsia="zh-CN"/>
              </w:rPr>
              <w:t>高级</w:t>
            </w:r>
            <w:r>
              <w:rPr>
                <w:rFonts w:hint="eastAsia" w:ascii="宋体" w:hAnsi="宋体" w:eastAsia="宋体" w:cs="宋体"/>
                <w:b/>
                <w:bCs/>
                <w:color w:val="auto"/>
                <w:sz w:val="21"/>
                <w:szCs w:val="21"/>
                <w:highlight w:val="none"/>
              </w:rPr>
              <w:t>工程师</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lang w:eastAsia="zh-CN"/>
              </w:rPr>
              <w:t>。</w:t>
            </w:r>
          </w:p>
        </w:tc>
        <w:tc>
          <w:tcPr>
            <w:tcW w:w="1381" w:type="dxa"/>
            <w:vMerge w:val="continue"/>
          </w:tcPr>
          <w:p w14:paraId="1814FC20">
            <w:pPr>
              <w:keepLines w:val="0"/>
              <w:pageBreakBefore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7F7E00C1">
      <w:pPr>
        <w:keepLines w:val="0"/>
        <w:pageBreakBefore w:val="0"/>
        <w:kinsoku/>
        <w:wordWrap/>
        <w:overflowPunct/>
        <w:topLinePunct w:val="0"/>
        <w:bidi w:val="0"/>
        <w:spacing w:before="100" w:beforeAutospacing="1" w:line="360" w:lineRule="exact"/>
        <w:jc w:val="center"/>
        <w:textAlignment w:val="auto"/>
        <w:outlineLvl w:val="2"/>
        <w:rPr>
          <w:rFonts w:hint="eastAsia" w:ascii="宋体" w:hAnsi="宋体" w:eastAsia="宋体" w:cs="宋体"/>
          <w:sz w:val="21"/>
          <w:szCs w:val="21"/>
        </w:rPr>
      </w:pPr>
      <w:bookmarkStart w:id="11" w:name="_Toc136543732"/>
      <w:r>
        <w:rPr>
          <w:rFonts w:hint="eastAsia" w:ascii="宋体" w:hAnsi="宋体" w:eastAsia="宋体" w:cs="宋体"/>
          <w:color w:val="auto"/>
          <w:sz w:val="21"/>
          <w:szCs w:val="21"/>
          <w:highlight w:val="none"/>
        </w:rPr>
        <w:br w:type="page"/>
      </w:r>
      <w:bookmarkEnd w:id="11"/>
    </w:p>
    <w:p w14:paraId="5879A07D">
      <w:pPr>
        <w:keepLines w:val="0"/>
        <w:pageBreakBefore w:val="0"/>
        <w:widowControl/>
        <w:kinsoku/>
        <w:wordWrap/>
        <w:overflowPunct/>
        <w:topLinePunct w:val="0"/>
        <w:bidi w:val="0"/>
        <w:spacing w:line="360" w:lineRule="exact"/>
        <w:jc w:val="center"/>
        <w:textAlignment w:val="auto"/>
        <w:rPr>
          <w:rFonts w:hint="eastAsia" w:ascii="宋体" w:hAnsi="宋体" w:eastAsia="宋体" w:cs="宋体"/>
          <w:b/>
          <w:sz w:val="21"/>
          <w:szCs w:val="21"/>
        </w:rPr>
      </w:pPr>
      <w:bookmarkStart w:id="12" w:name="_Toc505091277"/>
      <w:bookmarkStart w:id="13" w:name="_Toc80536764"/>
      <w:bookmarkStart w:id="14" w:name="_Toc520285006"/>
      <w:r>
        <w:rPr>
          <w:rFonts w:hint="eastAsia" w:ascii="宋体" w:hAnsi="宋体" w:eastAsia="宋体" w:cs="宋体"/>
          <w:b/>
          <w:sz w:val="21"/>
          <w:szCs w:val="21"/>
        </w:rPr>
        <w:t>评标办法（</w:t>
      </w:r>
      <w:r>
        <w:rPr>
          <w:rFonts w:hint="eastAsia" w:ascii="宋体" w:hAnsi="宋体" w:eastAsia="宋体" w:cs="宋体"/>
          <w:b/>
          <w:sz w:val="21"/>
          <w:szCs w:val="21"/>
          <w:lang w:val="en-US" w:eastAsia="zh-CN"/>
        </w:rPr>
        <w:t>综合评分法</w:t>
      </w:r>
      <w:r>
        <w:rPr>
          <w:rFonts w:hint="eastAsia" w:ascii="宋体" w:hAnsi="宋体" w:eastAsia="宋体" w:cs="宋体"/>
          <w:b/>
          <w:sz w:val="21"/>
          <w:szCs w:val="21"/>
        </w:rPr>
        <w:t>）</w:t>
      </w:r>
    </w:p>
    <w:bookmarkEnd w:id="12"/>
    <w:bookmarkEnd w:id="13"/>
    <w:bookmarkEnd w:id="14"/>
    <w:p w14:paraId="4D0EB6AC">
      <w:pPr>
        <w:keepLines w:val="0"/>
        <w:pageBreakBefore w:val="0"/>
        <w:kinsoku/>
        <w:wordWrap/>
        <w:overflowPunct/>
        <w:topLinePunct w:val="0"/>
        <w:bidi w:val="0"/>
        <w:spacing w:line="360" w:lineRule="exact"/>
        <w:textAlignment w:val="auto"/>
        <w:rPr>
          <w:rFonts w:hint="eastAsia" w:ascii="宋体" w:hAnsi="宋体" w:eastAsia="宋体" w:cs="宋体"/>
          <w:b/>
          <w:w w:val="105"/>
          <w:sz w:val="21"/>
          <w:szCs w:val="21"/>
        </w:rPr>
      </w:pPr>
      <w:r>
        <w:rPr>
          <w:rFonts w:hint="eastAsia" w:ascii="宋体" w:hAnsi="宋体" w:eastAsia="宋体" w:cs="宋体"/>
          <w:b/>
          <w:w w:val="105"/>
          <w:sz w:val="21"/>
          <w:szCs w:val="21"/>
        </w:rPr>
        <w:t>评标办法前附表</w:t>
      </w:r>
    </w:p>
    <w:tbl>
      <w:tblPr>
        <w:tblStyle w:val="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10C0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72A35CBC">
            <w:pPr>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条款号</w:t>
            </w:r>
          </w:p>
        </w:tc>
        <w:tc>
          <w:tcPr>
            <w:tcW w:w="7002" w:type="dxa"/>
            <w:tcBorders>
              <w:top w:val="single" w:color="auto" w:sz="12" w:space="0"/>
              <w:right w:val="single" w:color="auto" w:sz="12" w:space="0"/>
            </w:tcBorders>
            <w:vAlign w:val="center"/>
          </w:tcPr>
          <w:p w14:paraId="5CFD6A17">
            <w:pPr>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评审因素与标准</w:t>
            </w:r>
          </w:p>
        </w:tc>
      </w:tr>
      <w:tr w14:paraId="32FD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703BBB15">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01F3A69">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3328F630">
            <w:pPr>
              <w:keepLines w:val="0"/>
              <w:pageBreakBefore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综合评分相等时，评标委员会依次按照以下优先顺序推荐中标候选人：</w:t>
            </w:r>
          </w:p>
          <w:p w14:paraId="45794FF3">
            <w:pPr>
              <w:keepLines w:val="0"/>
              <w:pageBreakBefore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（1）评标价低的投标人优先；</w:t>
            </w:r>
          </w:p>
          <w:p w14:paraId="59FD062D">
            <w:pPr>
              <w:keepLines w:val="0"/>
              <w:pageBreakBefore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（2）信用评价得分</w:t>
            </w:r>
            <w:r>
              <w:rPr>
                <w:rFonts w:hint="eastAsia" w:ascii="宋体" w:hAnsi="宋体" w:eastAsia="宋体" w:cs="宋体"/>
                <w:sz w:val="21"/>
                <w:szCs w:val="21"/>
                <w:lang w:val="en-US" w:eastAsia="zh-CN"/>
              </w:rPr>
              <w:t>较高</w:t>
            </w:r>
            <w:r>
              <w:rPr>
                <w:rFonts w:hint="eastAsia" w:ascii="宋体" w:hAnsi="宋体" w:eastAsia="宋体" w:cs="宋体"/>
                <w:sz w:val="21"/>
                <w:szCs w:val="21"/>
              </w:rPr>
              <w:t>的投标人优先；</w:t>
            </w:r>
          </w:p>
          <w:p w14:paraId="30A475F0">
            <w:pPr>
              <w:keepLines w:val="0"/>
              <w:pageBreakBefore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主要人员得分较高的投标人优先。</w:t>
            </w:r>
          </w:p>
          <w:p w14:paraId="7CF0A0B3">
            <w:pPr>
              <w:keepLines w:val="0"/>
              <w:pageBreakBefore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sz w:val="21"/>
                <w:szCs w:val="21"/>
                <w:highlight w:val="none"/>
              </w:rPr>
              <w:t>（4）评标委员会投票表决。</w:t>
            </w:r>
          </w:p>
        </w:tc>
      </w:tr>
      <w:tr w14:paraId="2E8A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14CEA3F1">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7E435600">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6CDA496D">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2D2E5DB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7572E20B">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4B8D7C0C">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（1）投标文件按照招标文件规定的格式、内容填写，字迹清晰可辨：</w:t>
            </w:r>
          </w:p>
          <w:p w14:paraId="63286F29">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5723F784">
            <w:pPr>
              <w:pStyle w:val="23"/>
              <w:keepLines w:val="0"/>
              <w:pageBreakBefore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投标函附录的所有数据均符合招标文件规定；</w:t>
            </w:r>
          </w:p>
          <w:p w14:paraId="3559712F">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w:t>
            </w:r>
            <w:r>
              <w:rPr>
                <w:rStyle w:val="24"/>
                <w:rFonts w:hint="eastAsia" w:ascii="宋体" w:hAnsi="宋体" w:eastAsia="宋体" w:cs="宋体"/>
                <w:color w:val="auto"/>
                <w:sz w:val="21"/>
                <w:szCs w:val="21"/>
                <w:highlight w:val="none"/>
                <w:lang w:val="en-US"/>
              </w:rPr>
              <w:t>.</w:t>
            </w:r>
            <w:r>
              <w:rPr>
                <w:rStyle w:val="24"/>
                <w:rFonts w:hint="eastAsia" w:ascii="宋体" w:hAnsi="宋体" w:eastAsia="宋体" w:cs="宋体"/>
                <w:color w:val="auto"/>
                <w:sz w:val="21"/>
                <w:szCs w:val="21"/>
                <w:highlight w:val="none"/>
              </w:rPr>
              <w:t>投标文件组成齐全完整，内容均按规定填写。</w:t>
            </w:r>
          </w:p>
          <w:p w14:paraId="43BD3FC8">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612314EC">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（3）投标人按照招标文件的规定提供了投标保证金：</w:t>
            </w:r>
          </w:p>
          <w:p w14:paraId="4A8844C4">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a.投标保证金金额符合招标文件规定的金额，且投标保证金有效期不少于投标有效期；</w:t>
            </w:r>
          </w:p>
          <w:p w14:paraId="0C99CCAE">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4F3B3D55">
            <w:pPr>
              <w:pStyle w:val="23"/>
              <w:keepLines w:val="0"/>
              <w:pageBreakBefore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c.若投标保证金采用保函形式提交，应满足</w:t>
            </w:r>
            <w:r>
              <w:rPr>
                <w:rStyle w:val="24"/>
                <w:rFonts w:hint="eastAsia" w:ascii="宋体" w:hAnsi="宋体" w:eastAsia="宋体" w:cs="宋体"/>
                <w:color w:val="auto"/>
                <w:sz w:val="21"/>
                <w:szCs w:val="21"/>
                <w:highlight w:val="none"/>
                <w:lang w:val="en-US"/>
              </w:rPr>
              <w:t>招标文件</w:t>
            </w:r>
            <w:r>
              <w:rPr>
                <w:rStyle w:val="24"/>
                <w:rFonts w:hint="eastAsia" w:ascii="宋体" w:hAnsi="宋体" w:eastAsia="宋体" w:cs="宋体"/>
                <w:color w:val="auto"/>
                <w:sz w:val="21"/>
                <w:szCs w:val="21"/>
                <w:highlight w:val="none"/>
              </w:rPr>
              <w:t>相关要求。</w:t>
            </w:r>
          </w:p>
          <w:p w14:paraId="48D82D8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（4）投标人法定代表人授权委托代理人签署投标文件的，需提交授权委托书，且授权人和被授权人均在授权委托书上签名。</w:t>
            </w:r>
          </w:p>
          <w:p w14:paraId="591F3C6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w:t>
            </w:r>
          </w:p>
          <w:p w14:paraId="5F00EDD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Style w:val="18"/>
                <w:rFonts w:hint="eastAsia" w:ascii="宋体" w:hAnsi="宋体" w:eastAsia="宋体" w:cs="宋体"/>
                <w:color w:val="auto"/>
                <w:sz w:val="21"/>
                <w:szCs w:val="21"/>
                <w:highlight w:val="none"/>
                <w:shd w:val="clear" w:color="auto" w:fill="auto"/>
              </w:rPr>
              <w:t>投标人</w:t>
            </w:r>
            <w:r>
              <w:rPr>
                <w:rStyle w:val="18"/>
                <w:rFonts w:hint="eastAsia" w:ascii="宋体" w:hAnsi="宋体" w:eastAsia="宋体" w:cs="宋体"/>
                <w:color w:val="auto"/>
                <w:sz w:val="21"/>
                <w:szCs w:val="21"/>
                <w:highlight w:val="none"/>
                <w:shd w:val="clear" w:color="auto" w:fill="auto"/>
                <w:lang w:val="en-US" w:eastAsia="zh-CN"/>
              </w:rPr>
              <w:t>未</w:t>
            </w:r>
            <w:r>
              <w:rPr>
                <w:rStyle w:val="18"/>
                <w:rFonts w:hint="eastAsia" w:ascii="宋体" w:hAnsi="宋体" w:eastAsia="宋体" w:cs="宋体"/>
                <w:color w:val="auto"/>
                <w:sz w:val="21"/>
                <w:szCs w:val="21"/>
                <w:highlight w:val="none"/>
                <w:shd w:val="clear" w:color="auto" w:fill="auto"/>
              </w:rPr>
              <w:t>以联合体形式投标</w:t>
            </w:r>
            <w:r>
              <w:rPr>
                <w:rStyle w:val="18"/>
                <w:rFonts w:hint="eastAsia" w:ascii="宋体" w:hAnsi="宋体" w:eastAsia="宋体" w:cs="宋体"/>
                <w:color w:val="auto"/>
                <w:sz w:val="21"/>
                <w:szCs w:val="21"/>
                <w:highlight w:val="none"/>
                <w:shd w:val="clear" w:color="auto" w:fill="auto"/>
                <w:lang w:eastAsia="zh-CN"/>
              </w:rPr>
              <w:t>。</w:t>
            </w:r>
          </w:p>
          <w:p w14:paraId="1EF31EF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没有提出</w:t>
            </w:r>
            <w:r>
              <w:rPr>
                <w:rFonts w:hint="eastAsia" w:ascii="宋体" w:hAnsi="宋体" w:eastAsia="宋体" w:cs="宋体"/>
                <w:color w:val="auto"/>
                <w:sz w:val="21"/>
                <w:szCs w:val="21"/>
                <w:highlight w:val="none"/>
              </w:rPr>
              <w:t>分包计划。</w:t>
            </w:r>
          </w:p>
          <w:p w14:paraId="011E1EB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14:paraId="6185315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（9）投标文件中未出现有关投标报价的内容。</w:t>
            </w:r>
          </w:p>
          <w:p w14:paraId="757DA96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14:paraId="0DA70C2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1FEB8EC7">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7B179BC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409448EB">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24A8BB0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14:paraId="070679EE">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0F59250">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5DF27EEA">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tc>
      </w:tr>
      <w:tr w14:paraId="4F4D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416BFCAA">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6AF9E5D9">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53A1F2D3">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51C14524">
            <w:pPr>
              <w:keepLines w:val="0"/>
              <w:pageBreakBefore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6885025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14:paraId="5E328AC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a.投标函按招标文件规定填报了项目名称、标段号、补遗书编号(如有)、投标价（包括大写金额和小写金额)；</w:t>
            </w:r>
          </w:p>
          <w:p w14:paraId="1BE55E9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14:paraId="52B85061">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227C20C2">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14:paraId="2438EEB4">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（3）投标报价未超过招标文件设定的最高投标限价。</w:t>
            </w:r>
          </w:p>
          <w:p w14:paraId="4A3F7DB9">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（4）投标报价中报价的大写金额能够确定具体数值。</w:t>
            </w:r>
          </w:p>
          <w:p w14:paraId="572D5136">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p w14:paraId="53F35E58">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（6）投标人未提交调价函。</w:t>
            </w:r>
          </w:p>
          <w:p w14:paraId="6888767D">
            <w:pPr>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tc>
      </w:tr>
      <w:tr w14:paraId="1859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08099272">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0D6D219A">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2DE6FC2B">
            <w:pPr>
              <w:pStyle w:val="25"/>
              <w:keepLines w:val="0"/>
              <w:pageBreakBefore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投标人具备有效的营业执照、资质证书、安全生产许可证和基本账户开户证明材料；</w:t>
            </w:r>
          </w:p>
          <w:p w14:paraId="767958E6">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rPr>
              <w:t>投标人的资质等级符合招标文件规定；</w:t>
            </w:r>
          </w:p>
          <w:p w14:paraId="70BBD79E">
            <w:pPr>
              <w:pStyle w:val="25"/>
              <w:keepLines w:val="0"/>
              <w:pageBreakBefore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p>
          <w:p w14:paraId="55C0672B">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（4）投标人的类似项目业绩符合招标文件规定；</w:t>
            </w:r>
          </w:p>
          <w:p w14:paraId="17DCD13E">
            <w:pPr>
              <w:keepLines w:val="0"/>
              <w:pageBreakBefore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（5）投标人的信誉符合招标文件规定；</w:t>
            </w:r>
          </w:p>
          <w:p w14:paraId="1F2C0A97">
            <w:pPr>
              <w:pStyle w:val="23"/>
              <w:keepLines w:val="0"/>
              <w:pageBreakBefore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4"/>
                <w:rFonts w:hint="eastAsia" w:ascii="宋体" w:hAnsi="宋体" w:eastAsia="宋体" w:cs="宋体"/>
                <w:color w:val="auto"/>
                <w:sz w:val="21"/>
                <w:szCs w:val="21"/>
                <w:highlight w:val="none"/>
              </w:rPr>
              <w:t>（6）投标人的项目经理和项目总工资格、在岗情况符合招标文件规定；</w:t>
            </w:r>
          </w:p>
          <w:p w14:paraId="30A4978E">
            <w:pPr>
              <w:pStyle w:val="23"/>
              <w:keepLines w:val="0"/>
              <w:pageBreakBefore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rPr>
            </w:pPr>
            <w:r>
              <w:rPr>
                <w:rStyle w:val="24"/>
                <w:rFonts w:hint="eastAsia" w:ascii="宋体" w:hAnsi="宋体" w:eastAsia="宋体" w:cs="宋体"/>
                <w:color w:val="auto"/>
                <w:sz w:val="21"/>
                <w:szCs w:val="21"/>
                <w:highlight w:val="none"/>
              </w:rPr>
              <w:t>（7）投标人不存在第二章“投标人须知”第1.4.3项或第1.4.4项规定的任何一种情形；</w:t>
            </w:r>
          </w:p>
          <w:p w14:paraId="5AE6CA6E">
            <w:pPr>
              <w:pStyle w:val="23"/>
              <w:keepLines w:val="0"/>
              <w:pageBreakBefore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4"/>
                <w:rFonts w:hint="eastAsia" w:ascii="宋体" w:hAnsi="宋体" w:eastAsia="宋体" w:cs="宋体"/>
                <w:color w:val="auto"/>
                <w:sz w:val="21"/>
                <w:szCs w:val="21"/>
                <w:highlight w:val="none"/>
                <w:lang w:val="en-US"/>
              </w:rPr>
            </w:pPr>
            <w:r>
              <w:rPr>
                <w:rStyle w:val="24"/>
                <w:rFonts w:hint="eastAsia" w:ascii="宋体" w:hAnsi="宋体" w:eastAsia="宋体" w:cs="宋体"/>
                <w:color w:val="auto"/>
                <w:sz w:val="21"/>
                <w:szCs w:val="21"/>
                <w:highlight w:val="none"/>
              </w:rPr>
              <w:t>（</w:t>
            </w:r>
            <w:r>
              <w:rPr>
                <w:rStyle w:val="24"/>
                <w:rFonts w:hint="eastAsia" w:ascii="宋体" w:hAnsi="宋体" w:eastAsia="宋体" w:cs="宋体"/>
                <w:color w:val="auto"/>
                <w:sz w:val="21"/>
                <w:szCs w:val="21"/>
                <w:highlight w:val="none"/>
                <w:lang w:val="en-US"/>
              </w:rPr>
              <w:t>8</w:t>
            </w:r>
            <w:r>
              <w:rPr>
                <w:rStyle w:val="24"/>
                <w:rFonts w:hint="eastAsia" w:ascii="宋体" w:hAnsi="宋体" w:eastAsia="宋体" w:cs="宋体"/>
                <w:color w:val="auto"/>
                <w:sz w:val="21"/>
                <w:szCs w:val="21"/>
                <w:highlight w:val="none"/>
              </w:rPr>
              <w:t>）</w:t>
            </w:r>
            <w:r>
              <w:rPr>
                <w:rStyle w:val="24"/>
                <w:rFonts w:hint="eastAsia" w:ascii="宋体" w:hAnsi="宋体" w:eastAsia="宋体" w:cs="宋体"/>
                <w:color w:val="auto"/>
                <w:sz w:val="21"/>
                <w:szCs w:val="21"/>
                <w:highlight w:val="none"/>
                <w:lang w:val="en-US"/>
              </w:rPr>
              <w:t>投标人符合第二章“投标人须知”</w:t>
            </w:r>
            <w:r>
              <w:rPr>
                <w:rStyle w:val="24"/>
                <w:rFonts w:hint="eastAsia" w:ascii="宋体" w:hAnsi="宋体" w:eastAsia="宋体" w:cs="宋体"/>
                <w:color w:val="auto"/>
                <w:sz w:val="21"/>
                <w:szCs w:val="21"/>
                <w:highlight w:val="none"/>
              </w:rPr>
              <w:t>第1.4.</w:t>
            </w:r>
            <w:r>
              <w:rPr>
                <w:rStyle w:val="24"/>
                <w:rFonts w:hint="eastAsia" w:ascii="宋体" w:hAnsi="宋体" w:eastAsia="宋体" w:cs="宋体"/>
                <w:color w:val="auto"/>
                <w:sz w:val="21"/>
                <w:szCs w:val="21"/>
                <w:highlight w:val="none"/>
                <w:lang w:val="en-US"/>
              </w:rPr>
              <w:t>5</w:t>
            </w:r>
            <w:r>
              <w:rPr>
                <w:rStyle w:val="24"/>
                <w:rFonts w:hint="eastAsia" w:ascii="宋体" w:hAnsi="宋体" w:eastAsia="宋体" w:cs="宋体"/>
                <w:color w:val="auto"/>
                <w:sz w:val="21"/>
                <w:szCs w:val="21"/>
                <w:highlight w:val="none"/>
              </w:rPr>
              <w:t>项</w:t>
            </w:r>
            <w:r>
              <w:rPr>
                <w:rStyle w:val="24"/>
                <w:rFonts w:hint="eastAsia" w:ascii="宋体" w:hAnsi="宋体" w:eastAsia="宋体" w:cs="宋体"/>
                <w:color w:val="auto"/>
                <w:sz w:val="21"/>
                <w:szCs w:val="21"/>
                <w:highlight w:val="none"/>
                <w:lang w:val="en-US"/>
              </w:rPr>
              <w:t>规定</w:t>
            </w:r>
            <w:r>
              <w:rPr>
                <w:rStyle w:val="11"/>
                <w:rFonts w:hint="eastAsia" w:ascii="宋体" w:hAnsi="宋体" w:eastAsia="宋体" w:cs="宋体"/>
                <w:color w:val="auto"/>
                <w:sz w:val="21"/>
                <w:szCs w:val="21"/>
                <w:highlight w:val="none"/>
                <w:lang w:val="en-US"/>
              </w:rPr>
              <w:footnoteReference w:id="4"/>
            </w:r>
            <w:r>
              <w:rPr>
                <w:rStyle w:val="24"/>
                <w:rFonts w:hint="eastAsia" w:ascii="宋体" w:hAnsi="宋体" w:eastAsia="宋体" w:cs="宋体"/>
                <w:color w:val="auto"/>
                <w:sz w:val="21"/>
                <w:szCs w:val="21"/>
                <w:highlight w:val="none"/>
                <w:lang w:val="en-US"/>
              </w:rPr>
              <w:t>。</w:t>
            </w:r>
          </w:p>
        </w:tc>
      </w:tr>
      <w:tr w14:paraId="73E4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19CF00B6">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54D7255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分值构成</w:t>
            </w:r>
          </w:p>
          <w:p w14:paraId="6C757F23">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（总分100分）</w:t>
            </w:r>
          </w:p>
        </w:tc>
        <w:tc>
          <w:tcPr>
            <w:tcW w:w="7002" w:type="dxa"/>
            <w:tcBorders>
              <w:right w:val="single" w:color="auto" w:sz="12" w:space="0"/>
            </w:tcBorders>
            <w:vAlign w:val="center"/>
          </w:tcPr>
          <w:p w14:paraId="171EAF1C">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第一个信封（商务及技术文件）评分分值构成： </w:t>
            </w:r>
          </w:p>
          <w:p w14:paraId="39BB7CF8">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施工组织设计：20分</w:t>
            </w:r>
          </w:p>
          <w:p w14:paraId="005CC391">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主要人员：10分</w:t>
            </w:r>
          </w:p>
          <w:p w14:paraId="594CD14F">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其他因素：20分</w:t>
            </w:r>
          </w:p>
          <w:p w14:paraId="572B004D">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第二个信封（报价文件）评分分值构成：</w:t>
            </w:r>
          </w:p>
          <w:p w14:paraId="6AFB6A33">
            <w:pPr>
              <w:pStyle w:val="25"/>
              <w:keepLines w:val="0"/>
              <w:pageBreakBefore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评标价：50分</w:t>
            </w:r>
          </w:p>
        </w:tc>
      </w:tr>
      <w:tr w14:paraId="4AF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shd w:val="clear" w:color="auto" w:fill="auto"/>
            <w:vAlign w:val="center"/>
          </w:tcPr>
          <w:p w14:paraId="4E894F28">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2.2.2</w:t>
            </w:r>
          </w:p>
        </w:tc>
        <w:tc>
          <w:tcPr>
            <w:tcW w:w="1636" w:type="dxa"/>
            <w:shd w:val="clear" w:color="auto" w:fill="auto"/>
            <w:vAlign w:val="center"/>
          </w:tcPr>
          <w:p w14:paraId="4C6EB84B">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评标基准价</w:t>
            </w:r>
          </w:p>
          <w:p w14:paraId="61ECC4FB">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计算方法</w:t>
            </w:r>
          </w:p>
        </w:tc>
        <w:tc>
          <w:tcPr>
            <w:tcW w:w="7002" w:type="dxa"/>
            <w:tcBorders>
              <w:right w:val="single" w:color="auto" w:sz="12" w:space="0"/>
            </w:tcBorders>
            <w:shd w:val="clear" w:color="auto" w:fill="auto"/>
            <w:vAlign w:val="center"/>
          </w:tcPr>
          <w:p w14:paraId="3AECF947">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评标基准价的计算：</w:t>
            </w:r>
          </w:p>
          <w:p w14:paraId="71E06D30">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在评标现场，招标人将当场计算</w:t>
            </w:r>
            <w:r>
              <w:rPr>
                <w:rFonts w:hint="eastAsia" w:ascii="宋体" w:hAnsi="宋体" w:eastAsia="宋体" w:cs="宋体"/>
                <w:sz w:val="21"/>
                <w:szCs w:val="21"/>
                <w:lang w:val="en-US" w:eastAsia="zh-CN"/>
              </w:rPr>
              <w:t>并宣布</w:t>
            </w:r>
            <w:r>
              <w:rPr>
                <w:rFonts w:hint="eastAsia" w:ascii="宋体" w:hAnsi="宋体" w:eastAsia="宋体" w:cs="宋体"/>
                <w:sz w:val="21"/>
                <w:szCs w:val="21"/>
              </w:rPr>
              <w:t>评标基准价。</w:t>
            </w:r>
          </w:p>
          <w:p w14:paraId="5D79A80D">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（1）评标价的确定：评标价＝投标函文字报价</w:t>
            </w:r>
          </w:p>
          <w:p w14:paraId="6FA772C2">
            <w:pPr>
              <w:keepNext/>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（2）评标价平均值的确定：</w:t>
            </w:r>
          </w:p>
          <w:p w14:paraId="5F797F2A">
            <w:pPr>
              <w:keepLines w:val="0"/>
              <w:pageBreakBefore w:val="0"/>
              <w:tabs>
                <w:tab w:val="left" w:pos="1812"/>
              </w:tabs>
              <w:kinsoku/>
              <w:wordWrap/>
              <w:overflowPunct/>
              <w:topLinePunct w:val="0"/>
              <w:bidi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除按第二章“投标人须知”第5.2.2项规定开标现场被宣布为不进入评标基准价计算的投标报价之外，所有在</w:t>
            </w:r>
            <w:r>
              <w:rPr>
                <w:rFonts w:hint="eastAsia" w:ascii="宋体" w:hAnsi="宋体" w:eastAsia="宋体" w:cs="宋体"/>
                <w:sz w:val="21"/>
                <w:szCs w:val="21"/>
                <w:lang w:val="en-US" w:eastAsia="zh-CN"/>
              </w:rPr>
              <w:t>最高投标限价</w:t>
            </w:r>
            <w:r>
              <w:rPr>
                <w:rFonts w:hint="eastAsia" w:ascii="宋体" w:hAnsi="宋体" w:eastAsia="宋体" w:cs="宋体"/>
                <w:sz w:val="21"/>
                <w:szCs w:val="21"/>
              </w:rPr>
              <w:t>的85%（含85%）至100%（含100％）范围内的投标人的评标价去掉一个最高值和一个最低值后的算术平均值即为评标价平均值（如果参与评标价平均值计算的有效投标人少于5家时，则计算评标价平均值时不去掉最高值和最低值）</w:t>
            </w:r>
            <w:r>
              <w:rPr>
                <w:rFonts w:hint="eastAsia" w:ascii="宋体" w:hAnsi="宋体" w:eastAsia="宋体" w:cs="宋体"/>
                <w:sz w:val="21"/>
                <w:szCs w:val="21"/>
                <w:lang w:eastAsia="zh-CN"/>
              </w:rPr>
              <w:t>。</w:t>
            </w:r>
          </w:p>
          <w:p w14:paraId="726F2ACB">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（3）评标基准价的确定：</w:t>
            </w:r>
          </w:p>
          <w:p w14:paraId="510000F4">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将评标价平均值直接作为评标基准价。</w:t>
            </w:r>
          </w:p>
          <w:p w14:paraId="0C0C4167">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6F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7964F98F">
            <w:pPr>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tcBorders>
              <w:bottom w:val="single" w:color="auto" w:sz="12" w:space="0"/>
            </w:tcBorders>
            <w:vAlign w:val="center"/>
          </w:tcPr>
          <w:p w14:paraId="0A3747D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评标价的偏差率计算公式</w:t>
            </w:r>
          </w:p>
        </w:tc>
        <w:tc>
          <w:tcPr>
            <w:tcW w:w="7002" w:type="dxa"/>
            <w:tcBorders>
              <w:bottom w:val="single" w:color="auto" w:sz="12" w:space="0"/>
              <w:right w:val="single" w:color="auto" w:sz="12" w:space="0"/>
            </w:tcBorders>
            <w:vAlign w:val="center"/>
          </w:tcPr>
          <w:p w14:paraId="75FB6B35">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偏差率=100%×（投标人评标价－评标基准价）/评标基准价</w:t>
            </w:r>
          </w:p>
          <w:p w14:paraId="096345F9">
            <w:pPr>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sz w:val="21"/>
                <w:szCs w:val="21"/>
              </w:rPr>
              <w:t>偏差率（以百分数形式表示）保留两位小数，如**.**%</w:t>
            </w:r>
          </w:p>
        </w:tc>
      </w:tr>
    </w:tbl>
    <w:p w14:paraId="016C89EB">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675"/>
        <w:gridCol w:w="945"/>
        <w:gridCol w:w="1662"/>
        <w:gridCol w:w="2"/>
        <w:gridCol w:w="692"/>
        <w:gridCol w:w="6"/>
        <w:gridCol w:w="4641"/>
      </w:tblGrid>
      <w:tr w14:paraId="53480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 w:hRule="atLeast"/>
          <w:jc w:val="center"/>
        </w:trPr>
        <w:tc>
          <w:tcPr>
            <w:tcW w:w="4890" w:type="dxa"/>
            <w:gridSpan w:val="6"/>
            <w:tcBorders>
              <w:tl2br w:val="nil"/>
              <w:tr2bl w:val="nil"/>
            </w:tcBorders>
            <w:vAlign w:val="center"/>
          </w:tcPr>
          <w:p w14:paraId="44021F9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评分因素与权重分值</w:t>
            </w:r>
            <w:r>
              <w:rPr>
                <w:rFonts w:hint="eastAsia" w:ascii="宋体" w:hAnsi="宋体" w:eastAsia="宋体" w:cs="宋体"/>
                <w:color w:val="auto"/>
                <w:sz w:val="21"/>
                <w:szCs w:val="21"/>
                <w:highlight w:val="none"/>
                <w:vertAlign w:val="superscript"/>
              </w:rPr>
              <w:footnoteReference w:id="5"/>
            </w:r>
          </w:p>
        </w:tc>
        <w:tc>
          <w:tcPr>
            <w:tcW w:w="4647" w:type="dxa"/>
            <w:gridSpan w:val="2"/>
            <w:vMerge w:val="restart"/>
            <w:tcBorders>
              <w:tl2br w:val="nil"/>
              <w:tr2bl w:val="nil"/>
            </w:tcBorders>
            <w:vAlign w:val="center"/>
          </w:tcPr>
          <w:p w14:paraId="636D549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r>
      <w:tr w14:paraId="614EF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914" w:type="dxa"/>
            <w:tcBorders>
              <w:tl2br w:val="nil"/>
              <w:tr2bl w:val="nil"/>
            </w:tcBorders>
            <w:vAlign w:val="center"/>
          </w:tcPr>
          <w:p w14:paraId="3438C9C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675" w:type="dxa"/>
            <w:tcBorders>
              <w:tl2br w:val="nil"/>
              <w:tr2bl w:val="nil"/>
            </w:tcBorders>
            <w:vAlign w:val="center"/>
          </w:tcPr>
          <w:p w14:paraId="7ADC84C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因素</w:t>
            </w:r>
          </w:p>
        </w:tc>
        <w:tc>
          <w:tcPr>
            <w:tcW w:w="945" w:type="dxa"/>
            <w:tcBorders>
              <w:tl2br w:val="nil"/>
              <w:tr2bl w:val="nil"/>
            </w:tcBorders>
            <w:vAlign w:val="center"/>
          </w:tcPr>
          <w:p w14:paraId="0DCCFF7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权重分值</w:t>
            </w:r>
          </w:p>
        </w:tc>
        <w:tc>
          <w:tcPr>
            <w:tcW w:w="1662" w:type="dxa"/>
            <w:tcBorders>
              <w:tl2br w:val="nil"/>
              <w:tr2bl w:val="nil"/>
            </w:tcBorders>
            <w:vAlign w:val="center"/>
          </w:tcPr>
          <w:p w14:paraId="4C8691D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各评分因素</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细分项</w:t>
            </w:r>
          </w:p>
        </w:tc>
        <w:tc>
          <w:tcPr>
            <w:tcW w:w="694" w:type="dxa"/>
            <w:gridSpan w:val="2"/>
            <w:tcBorders>
              <w:tl2br w:val="nil"/>
              <w:tr2bl w:val="nil"/>
            </w:tcBorders>
            <w:vAlign w:val="center"/>
          </w:tcPr>
          <w:p w14:paraId="6B57172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647" w:type="dxa"/>
            <w:gridSpan w:val="2"/>
            <w:vMerge w:val="continue"/>
            <w:tcBorders>
              <w:tl2br w:val="nil"/>
              <w:tr2bl w:val="nil"/>
            </w:tcBorders>
            <w:vAlign w:val="center"/>
          </w:tcPr>
          <w:p w14:paraId="0FE34ED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09FC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43DDD6D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p>
        </w:tc>
        <w:tc>
          <w:tcPr>
            <w:tcW w:w="675" w:type="dxa"/>
            <w:vMerge w:val="restart"/>
            <w:tcBorders>
              <w:tl2br w:val="nil"/>
              <w:tr2bl w:val="nil"/>
            </w:tcBorders>
            <w:vAlign w:val="center"/>
          </w:tcPr>
          <w:p w14:paraId="668D1D4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vAlign w:val="center"/>
          </w:tcPr>
          <w:p w14:paraId="70F70975">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tc>
        <w:tc>
          <w:tcPr>
            <w:tcW w:w="1662" w:type="dxa"/>
            <w:vMerge w:val="restart"/>
            <w:tcBorders>
              <w:tl2br w:val="nil"/>
              <w:tr2bl w:val="nil"/>
            </w:tcBorders>
            <w:vAlign w:val="center"/>
          </w:tcPr>
          <w:p w14:paraId="6C478364">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694" w:type="dxa"/>
            <w:gridSpan w:val="2"/>
            <w:vMerge w:val="restart"/>
            <w:tcBorders>
              <w:tl2br w:val="nil"/>
              <w:tr2bl w:val="nil"/>
            </w:tcBorders>
            <w:vAlign w:val="center"/>
          </w:tcPr>
          <w:p w14:paraId="2C07E24F">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6AF4A90C">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总体方案切实可行，对本项目具有针对性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酌情加分，最多加0.8分。</w:t>
            </w:r>
          </w:p>
        </w:tc>
      </w:tr>
      <w:tr w14:paraId="3D0C9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44FBD25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502E03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97F570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3282EE19">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694" w:type="dxa"/>
            <w:gridSpan w:val="2"/>
            <w:vMerge w:val="continue"/>
            <w:tcBorders>
              <w:tl2br w:val="nil"/>
              <w:tr2bl w:val="nil"/>
            </w:tcBorders>
            <w:vAlign w:val="center"/>
          </w:tcPr>
          <w:p w14:paraId="32489DB4">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p>
        </w:tc>
        <w:tc>
          <w:tcPr>
            <w:tcW w:w="4647" w:type="dxa"/>
            <w:gridSpan w:val="2"/>
            <w:tcBorders>
              <w:tl2br w:val="nil"/>
              <w:tr2bl w:val="nil"/>
            </w:tcBorders>
            <w:vAlign w:val="center"/>
          </w:tcPr>
          <w:p w14:paraId="0E9D0BF9">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按招标文件要求编制总体施工组织布置及规划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得1.2分。</w:t>
            </w:r>
          </w:p>
        </w:tc>
      </w:tr>
      <w:tr w14:paraId="4EAE9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1DF5AB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75BBDB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41FD9B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restart"/>
            <w:tcBorders>
              <w:tl2br w:val="nil"/>
              <w:tr2bl w:val="nil"/>
            </w:tcBorders>
            <w:vAlign w:val="center"/>
          </w:tcPr>
          <w:p w14:paraId="3CE7FF2E">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694" w:type="dxa"/>
            <w:gridSpan w:val="2"/>
            <w:vMerge w:val="restart"/>
            <w:tcBorders>
              <w:tl2br w:val="nil"/>
              <w:tr2bl w:val="nil"/>
            </w:tcBorders>
            <w:vAlign w:val="center"/>
          </w:tcPr>
          <w:p w14:paraId="2EB62707">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70189359">
            <w:pPr>
              <w:keepLines w:val="0"/>
              <w:pageBreakBefore w:val="0"/>
              <w:kinsoku/>
              <w:wordWrap/>
              <w:overflowPunct/>
              <w:topLinePunct w:val="0"/>
              <w:bidi w:val="0"/>
              <w:adjustRightInd w:val="0"/>
              <w:snapToGrid w:val="0"/>
              <w:spacing w:before="48" w:beforeLines="20" w:after="48" w:afterLines="20" w:line="36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sz w:val="21"/>
                <w:szCs w:val="21"/>
              </w:rPr>
              <w:t>施工方案可行、施工方法齐全、技术先进、施工工艺完善；重点难点工程突出，解决办法合理、科学、先进</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酌情加分，最多加3.2分。</w:t>
            </w:r>
          </w:p>
        </w:tc>
      </w:tr>
      <w:tr w14:paraId="5C0FD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989D10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F37D32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5516FD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3D9F86FC">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694" w:type="dxa"/>
            <w:gridSpan w:val="2"/>
            <w:vMerge w:val="continue"/>
            <w:tcBorders>
              <w:tl2br w:val="nil"/>
              <w:tr2bl w:val="nil"/>
            </w:tcBorders>
            <w:vAlign w:val="center"/>
          </w:tcPr>
          <w:p w14:paraId="1673ADB4">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p>
        </w:tc>
        <w:tc>
          <w:tcPr>
            <w:tcW w:w="4647" w:type="dxa"/>
            <w:gridSpan w:val="2"/>
            <w:tcBorders>
              <w:tl2br w:val="nil"/>
              <w:tr2bl w:val="nil"/>
            </w:tcBorders>
            <w:vAlign w:val="center"/>
          </w:tcPr>
          <w:p w14:paraId="7411C242">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按招标文件要求编制施工方案、方法与技术措施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得4.8分。</w:t>
            </w:r>
          </w:p>
        </w:tc>
      </w:tr>
      <w:tr w14:paraId="2B2AE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2EDF021A">
            <w:pPr>
              <w:keepLines w:val="0"/>
              <w:pageBreakBefore w:val="0"/>
              <w:kinsoku/>
              <w:wordWrap/>
              <w:overflowPunct/>
              <w:topLinePunct w:val="0"/>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72CFA5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8E9952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restart"/>
            <w:tcBorders>
              <w:tl2br w:val="nil"/>
              <w:tr2bl w:val="nil"/>
            </w:tcBorders>
            <w:vAlign w:val="center"/>
          </w:tcPr>
          <w:p w14:paraId="09731897">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694" w:type="dxa"/>
            <w:gridSpan w:val="2"/>
            <w:vMerge w:val="restart"/>
            <w:tcBorders>
              <w:tl2br w:val="nil"/>
              <w:tr2bl w:val="nil"/>
            </w:tcBorders>
            <w:vAlign w:val="center"/>
          </w:tcPr>
          <w:p w14:paraId="2A7FEF31">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670AA681">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sz w:val="21"/>
                <w:szCs w:val="21"/>
              </w:rPr>
              <w:t>内容齐全、完善；工程保证体系和保证措施具有操作性、先进、合理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酌情加分，最多加2.4分。</w:t>
            </w:r>
          </w:p>
        </w:tc>
      </w:tr>
      <w:tr w14:paraId="78D3F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AEC29A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1AB41B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54A2F1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0211BBB3">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694" w:type="dxa"/>
            <w:gridSpan w:val="2"/>
            <w:vMerge w:val="continue"/>
            <w:tcBorders>
              <w:tl2br w:val="nil"/>
              <w:tr2bl w:val="nil"/>
            </w:tcBorders>
            <w:vAlign w:val="center"/>
          </w:tcPr>
          <w:p w14:paraId="4EC0E4AF">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p>
        </w:tc>
        <w:tc>
          <w:tcPr>
            <w:tcW w:w="4647" w:type="dxa"/>
            <w:gridSpan w:val="2"/>
            <w:tcBorders>
              <w:tl2br w:val="nil"/>
              <w:tr2bl w:val="nil"/>
            </w:tcBorders>
            <w:vAlign w:val="center"/>
          </w:tcPr>
          <w:p w14:paraId="5F4536BC">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rPr>
              <w:t>按招标文件要求编制各类保证体系和保证措施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得3.6分。</w:t>
            </w:r>
          </w:p>
        </w:tc>
      </w:tr>
      <w:tr w14:paraId="7A32C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C6819A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BDF3645">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153D6CB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restart"/>
            <w:tcBorders>
              <w:tl2br w:val="nil"/>
              <w:tr2bl w:val="nil"/>
            </w:tcBorders>
            <w:shd w:val="clear" w:color="auto" w:fill="auto"/>
            <w:vAlign w:val="center"/>
          </w:tcPr>
          <w:p w14:paraId="4DD621EB">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项目风险预测与防范，事故应急预案</w:t>
            </w:r>
          </w:p>
          <w:p w14:paraId="2E1B7E04">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694" w:type="dxa"/>
            <w:gridSpan w:val="2"/>
            <w:vMerge w:val="restart"/>
            <w:tcBorders>
              <w:tl2br w:val="nil"/>
              <w:tr2bl w:val="nil"/>
            </w:tcBorders>
            <w:shd w:val="clear" w:color="auto" w:fill="auto"/>
            <w:vAlign w:val="center"/>
          </w:tcPr>
          <w:p w14:paraId="7394AE0E">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4647" w:type="dxa"/>
            <w:gridSpan w:val="2"/>
            <w:tcBorders>
              <w:tl2br w:val="nil"/>
              <w:tr2bl w:val="nil"/>
            </w:tcBorders>
            <w:shd w:val="clear" w:color="auto" w:fill="auto"/>
            <w:vAlign w:val="center"/>
          </w:tcPr>
          <w:p w14:paraId="50257499">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项目风险预测全面；事故应急预案合理、可行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酌情加分，最多加0.8分。</w:t>
            </w:r>
          </w:p>
        </w:tc>
      </w:tr>
      <w:tr w14:paraId="7881C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E083352">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35AD7B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2D04C7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5CA79F9E">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694" w:type="dxa"/>
            <w:gridSpan w:val="2"/>
            <w:vMerge w:val="continue"/>
            <w:tcBorders>
              <w:tl2br w:val="nil"/>
              <w:tr2bl w:val="nil"/>
            </w:tcBorders>
            <w:vAlign w:val="center"/>
          </w:tcPr>
          <w:p w14:paraId="6C453DE1">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p>
        </w:tc>
        <w:tc>
          <w:tcPr>
            <w:tcW w:w="4647" w:type="dxa"/>
            <w:gridSpan w:val="2"/>
            <w:tcBorders>
              <w:tl2br w:val="nil"/>
              <w:tr2bl w:val="nil"/>
            </w:tcBorders>
            <w:shd w:val="clear" w:color="auto" w:fill="auto"/>
            <w:vAlign w:val="center"/>
          </w:tcPr>
          <w:p w14:paraId="43B4B5E1">
            <w:pPr>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rPr>
              <w:t>按招标文件要求编制项目风险预测与防范，事故应急预案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得1.2分。</w:t>
            </w:r>
          </w:p>
        </w:tc>
      </w:tr>
      <w:tr w14:paraId="0049C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B837CF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993DDB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10BBDB3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restart"/>
            <w:tcBorders>
              <w:tl2br w:val="nil"/>
              <w:tr2bl w:val="nil"/>
            </w:tcBorders>
            <w:vAlign w:val="center"/>
          </w:tcPr>
          <w:p w14:paraId="797DB482">
            <w:pPr>
              <w:keepNext w:val="0"/>
              <w:keepLines w:val="0"/>
              <w:pageBreakBefore w:val="0"/>
              <w:widowControl/>
              <w:suppressLineNumber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kern w:val="0"/>
                <w:sz w:val="21"/>
                <w:szCs w:val="21"/>
                <w:lang w:val="en-US" w:eastAsia="zh-CN" w:bidi="ar"/>
              </w:rPr>
              <w:t>售后服务（含培训）方案</w:t>
            </w:r>
          </w:p>
        </w:tc>
        <w:tc>
          <w:tcPr>
            <w:tcW w:w="694" w:type="dxa"/>
            <w:gridSpan w:val="2"/>
            <w:vMerge w:val="restart"/>
            <w:tcBorders>
              <w:tl2br w:val="nil"/>
              <w:tr2bl w:val="nil"/>
            </w:tcBorders>
            <w:vAlign w:val="center"/>
          </w:tcPr>
          <w:p w14:paraId="645BD44A">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174F79CB">
            <w:pPr>
              <w:keepLines w:val="0"/>
              <w:pageBreakBefore w:val="0"/>
              <w:kinsoku/>
              <w:wordWrap/>
              <w:overflowPunct/>
              <w:topLinePunct w:val="0"/>
              <w:bidi w:val="0"/>
              <w:adjustRightInd w:val="0"/>
              <w:snapToGrid w:val="0"/>
              <w:spacing w:before="24" w:beforeLines="10" w:after="24" w:afterLines="10" w:line="36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000000"/>
                <w:kern w:val="0"/>
                <w:sz w:val="21"/>
                <w:szCs w:val="21"/>
                <w:lang w:val="en-US" w:eastAsia="zh-CN" w:bidi="ar"/>
              </w:rPr>
              <w:t>售后服务（含培训）方案合理、可行，</w:t>
            </w:r>
            <w:r>
              <w:rPr>
                <w:rFonts w:hint="eastAsia" w:ascii="宋体" w:hAnsi="宋体" w:eastAsia="宋体" w:cs="宋体"/>
                <w:sz w:val="21"/>
                <w:szCs w:val="21"/>
                <w:lang w:val="en-US" w:eastAsia="zh-CN"/>
              </w:rPr>
              <w:t>酌情加分，最多加0.8分。</w:t>
            </w:r>
          </w:p>
        </w:tc>
      </w:tr>
      <w:tr w14:paraId="6CE2F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179A36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5C2E5C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DD7BDE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24C626EB">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p>
        </w:tc>
        <w:tc>
          <w:tcPr>
            <w:tcW w:w="694" w:type="dxa"/>
            <w:gridSpan w:val="2"/>
            <w:vMerge w:val="continue"/>
            <w:tcBorders>
              <w:tl2br w:val="nil"/>
              <w:tr2bl w:val="nil"/>
            </w:tcBorders>
            <w:vAlign w:val="center"/>
          </w:tcPr>
          <w:p w14:paraId="243B26A2">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p>
        </w:tc>
        <w:tc>
          <w:tcPr>
            <w:tcW w:w="4647" w:type="dxa"/>
            <w:gridSpan w:val="2"/>
            <w:tcBorders>
              <w:tl2br w:val="nil"/>
              <w:tr2bl w:val="nil"/>
            </w:tcBorders>
            <w:vAlign w:val="center"/>
          </w:tcPr>
          <w:p w14:paraId="339AAD6F">
            <w:pPr>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按招标文件要求编制</w:t>
            </w:r>
            <w:r>
              <w:rPr>
                <w:rFonts w:hint="eastAsia" w:ascii="宋体" w:hAnsi="宋体" w:eastAsia="宋体" w:cs="宋体"/>
                <w:color w:val="000000"/>
                <w:kern w:val="0"/>
                <w:sz w:val="21"/>
                <w:szCs w:val="21"/>
                <w:lang w:val="en-US" w:eastAsia="zh-CN" w:bidi="ar"/>
              </w:rPr>
              <w:t>售后服务（含培训）方案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得1.2分。</w:t>
            </w:r>
          </w:p>
        </w:tc>
      </w:tr>
      <w:tr w14:paraId="54C4C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14" w:type="dxa"/>
            <w:vMerge w:val="restart"/>
            <w:tcBorders>
              <w:tl2br w:val="nil"/>
              <w:tr2bl w:val="nil"/>
            </w:tcBorders>
            <w:vAlign w:val="center"/>
          </w:tcPr>
          <w:p w14:paraId="3F1D0E2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p>
        </w:tc>
        <w:tc>
          <w:tcPr>
            <w:tcW w:w="675" w:type="dxa"/>
            <w:vMerge w:val="restart"/>
            <w:tcBorders>
              <w:tl2br w:val="nil"/>
              <w:tr2bl w:val="nil"/>
            </w:tcBorders>
            <w:vAlign w:val="center"/>
          </w:tcPr>
          <w:p w14:paraId="1AF6211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1BEC1A0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50056E9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662" w:type="dxa"/>
            <w:tcBorders>
              <w:tl2br w:val="nil"/>
              <w:tr2bl w:val="nil"/>
            </w:tcBorders>
            <w:vAlign w:val="center"/>
          </w:tcPr>
          <w:p w14:paraId="15C7592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4355A42F">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694" w:type="dxa"/>
            <w:gridSpan w:val="2"/>
            <w:tcBorders>
              <w:tl2br w:val="nil"/>
              <w:tr2bl w:val="nil"/>
            </w:tcBorders>
            <w:vAlign w:val="center"/>
          </w:tcPr>
          <w:p w14:paraId="4925F95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647" w:type="dxa"/>
            <w:gridSpan w:val="2"/>
            <w:tcBorders>
              <w:tl2br w:val="nil"/>
              <w:tr2bl w:val="nil"/>
            </w:tcBorders>
            <w:vAlign w:val="center"/>
          </w:tcPr>
          <w:p w14:paraId="526D1EE3">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满足资格审查条件最低要求，得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E3FBECF">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在满足最低要求的基础上，每提供</w:t>
            </w: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lang w:val="en-US" w:eastAsia="zh-CN"/>
              </w:rPr>
              <w:t>项公路机电工程</w:t>
            </w:r>
            <w:r>
              <w:rPr>
                <w:rFonts w:hint="eastAsia" w:ascii="宋体" w:hAnsi="宋体" w:eastAsia="宋体" w:cs="宋体"/>
                <w:color w:val="auto"/>
                <w:sz w:val="21"/>
                <w:szCs w:val="21"/>
                <w:highlight w:val="none"/>
              </w:rPr>
              <w:t>施工的项目经理</w:t>
            </w:r>
            <w:r>
              <w:rPr>
                <w:rFonts w:hint="eastAsia" w:ascii="宋体" w:hAnsi="宋体" w:eastAsia="宋体" w:cs="宋体"/>
                <w:color w:val="auto"/>
                <w:sz w:val="21"/>
                <w:szCs w:val="21"/>
                <w:highlight w:val="none"/>
                <w:lang w:val="en-US" w:eastAsia="zh-CN"/>
              </w:rPr>
              <w:t>或项目副经理</w:t>
            </w:r>
            <w:r>
              <w:rPr>
                <w:rFonts w:hint="eastAsia" w:ascii="宋体" w:hAnsi="宋体" w:eastAsia="宋体" w:cs="宋体"/>
                <w:color w:val="auto"/>
                <w:sz w:val="21"/>
                <w:szCs w:val="21"/>
                <w:highlight w:val="none"/>
              </w:rPr>
              <w:t>业绩加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82B02C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⑴</w:t>
            </w:r>
            <w:r>
              <w:rPr>
                <w:rFonts w:hint="eastAsia" w:ascii="宋体" w:hAnsi="宋体" w:eastAsia="宋体" w:cs="宋体"/>
                <w:color w:val="auto"/>
                <w:sz w:val="21"/>
                <w:szCs w:val="21"/>
              </w:rPr>
              <w:t>以上业绩应是交通运输部“全国公路建设市场监督管理系统”或省级交通运输主管部门“公路建设市场信用信息管理系统”已载明业绩。</w:t>
            </w:r>
          </w:p>
          <w:p w14:paraId="69B52356">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⑵一个合同视为一项业绩。</w:t>
            </w:r>
          </w:p>
        </w:tc>
      </w:tr>
      <w:tr w14:paraId="1CF0A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914" w:type="dxa"/>
            <w:vMerge w:val="continue"/>
            <w:tcBorders>
              <w:tl2br w:val="nil"/>
              <w:tr2bl w:val="nil"/>
            </w:tcBorders>
            <w:vAlign w:val="center"/>
          </w:tcPr>
          <w:p w14:paraId="50136574">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D9CFC0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953E54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tcBorders>
              <w:tl2br w:val="nil"/>
              <w:tr2bl w:val="nil"/>
            </w:tcBorders>
            <w:vAlign w:val="center"/>
          </w:tcPr>
          <w:p w14:paraId="1C544DD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623F5051">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694" w:type="dxa"/>
            <w:gridSpan w:val="2"/>
            <w:tcBorders>
              <w:tl2br w:val="nil"/>
              <w:tr2bl w:val="nil"/>
            </w:tcBorders>
            <w:vAlign w:val="center"/>
          </w:tcPr>
          <w:p w14:paraId="3D376FF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3D15D056">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满足资格审查条件最低要求，得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734E5F5">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在满足最低要求的基础上，每提供</w:t>
            </w: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lang w:val="en-US" w:eastAsia="zh-CN"/>
              </w:rPr>
              <w:t>项公路机电工程</w:t>
            </w:r>
            <w:r>
              <w:rPr>
                <w:rFonts w:hint="eastAsia" w:ascii="宋体" w:hAnsi="宋体" w:eastAsia="宋体" w:cs="宋体"/>
                <w:color w:val="auto"/>
                <w:sz w:val="21"/>
                <w:szCs w:val="21"/>
                <w:highlight w:val="none"/>
              </w:rPr>
              <w:t>施工的</w:t>
            </w:r>
            <w:r>
              <w:rPr>
                <w:rFonts w:hint="eastAsia" w:ascii="宋体" w:hAnsi="宋体" w:eastAsia="宋体" w:cs="宋体"/>
                <w:color w:val="auto"/>
                <w:sz w:val="21"/>
                <w:szCs w:val="21"/>
                <w:highlight w:val="none"/>
                <w:lang w:val="en-US" w:eastAsia="zh-CN"/>
              </w:rPr>
              <w:t>项目总工或项目副总工</w:t>
            </w:r>
            <w:r>
              <w:rPr>
                <w:rFonts w:hint="eastAsia" w:ascii="宋体" w:hAnsi="宋体" w:eastAsia="宋体" w:cs="宋体"/>
                <w:color w:val="auto"/>
                <w:sz w:val="21"/>
                <w:szCs w:val="21"/>
                <w:highlight w:val="none"/>
              </w:rPr>
              <w:t>业绩加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6CDF86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⑴</w:t>
            </w:r>
            <w:r>
              <w:rPr>
                <w:rFonts w:hint="eastAsia" w:ascii="宋体" w:hAnsi="宋体" w:eastAsia="宋体" w:cs="宋体"/>
                <w:color w:val="auto"/>
                <w:sz w:val="21"/>
                <w:szCs w:val="21"/>
              </w:rPr>
              <w:t>以上业绩应是交通运输部“全国公路建设市场监督管理系统”或省级交通运输主管部门“公路建设市场信用信息管理系统”已载明业绩。</w:t>
            </w:r>
          </w:p>
          <w:p w14:paraId="68A0409B">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⑵一个合同视为一项业绩。</w:t>
            </w:r>
          </w:p>
        </w:tc>
      </w:tr>
      <w:tr w14:paraId="36163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914" w:type="dxa"/>
            <w:tcBorders>
              <w:tl2br w:val="nil"/>
              <w:tr2bl w:val="nil"/>
            </w:tcBorders>
            <w:shd w:val="clear" w:color="auto" w:fill="auto"/>
            <w:vAlign w:val="center"/>
          </w:tcPr>
          <w:p w14:paraId="5726B9C0">
            <w:pPr>
              <w:keepLines w:val="0"/>
              <w:pageBreakBefore w:val="0"/>
              <w:kinsoku/>
              <w:wordWrap/>
              <w:overflowPunct/>
              <w:topLinePunct w:val="0"/>
              <w:bidi w:val="0"/>
              <w:adjustRightInd w:val="0"/>
              <w:snapToGrid w:val="0"/>
              <w:spacing w:before="48" w:beforeLines="20" w:after="48" w:afterLines="20"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2.2.4（3）</w:t>
            </w:r>
          </w:p>
        </w:tc>
        <w:tc>
          <w:tcPr>
            <w:tcW w:w="675" w:type="dxa"/>
            <w:tcBorders>
              <w:tl2br w:val="nil"/>
              <w:tr2bl w:val="nil"/>
            </w:tcBorders>
            <w:shd w:val="clear" w:color="auto" w:fill="auto"/>
            <w:vAlign w:val="center"/>
          </w:tcPr>
          <w:p w14:paraId="7EC117C8">
            <w:pPr>
              <w:keepLines w:val="0"/>
              <w:pageBreakBefore w:val="0"/>
              <w:kinsoku/>
              <w:wordWrap/>
              <w:overflowPunct/>
              <w:topLinePunct w:val="0"/>
              <w:bidi w:val="0"/>
              <w:adjustRightInd w:val="0"/>
              <w:snapToGrid w:val="0"/>
              <w:spacing w:before="48" w:beforeLines="20" w:after="48" w:afterLines="20"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评标价</w:t>
            </w:r>
          </w:p>
        </w:tc>
        <w:tc>
          <w:tcPr>
            <w:tcW w:w="945" w:type="dxa"/>
            <w:tcBorders>
              <w:tl2br w:val="nil"/>
              <w:tr2bl w:val="nil"/>
            </w:tcBorders>
            <w:shd w:val="clear" w:color="auto" w:fill="auto"/>
            <w:vAlign w:val="center"/>
          </w:tcPr>
          <w:p w14:paraId="49963E62">
            <w:pPr>
              <w:keepLines w:val="0"/>
              <w:pageBreakBefore w:val="0"/>
              <w:kinsoku/>
              <w:wordWrap/>
              <w:overflowPunct/>
              <w:topLinePunct w:val="0"/>
              <w:bidi w:val="0"/>
              <w:adjustRightInd w:val="0"/>
              <w:snapToGrid w:val="0"/>
              <w:spacing w:before="48" w:beforeLines="20" w:after="48" w:afterLines="20"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50分</w:t>
            </w:r>
          </w:p>
        </w:tc>
        <w:tc>
          <w:tcPr>
            <w:tcW w:w="7003" w:type="dxa"/>
            <w:gridSpan w:val="5"/>
            <w:tcBorders>
              <w:tl2br w:val="nil"/>
              <w:tr2bl w:val="nil"/>
            </w:tcBorders>
            <w:shd w:val="clear" w:color="auto" w:fill="auto"/>
            <w:vAlign w:val="center"/>
          </w:tcPr>
          <w:p w14:paraId="2FFEB12D">
            <w:pPr>
              <w:keepLines w:val="0"/>
              <w:pageBreakBefore w:val="0"/>
              <w:shd w:val="clear" w:color="auto" w:fill="FFFFFF"/>
              <w:tabs>
                <w:tab w:val="left" w:pos="914"/>
              </w:tabs>
              <w:kinsoku/>
              <w:wordWrap/>
              <w:overflowPunct/>
              <w:topLinePunct w:val="0"/>
              <w:bidi w:val="0"/>
              <w:adjustRightInd w:val="0"/>
              <w:snapToGrid w:val="0"/>
              <w:spacing w:line="360" w:lineRule="exact"/>
              <w:ind w:firstLine="21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评标价得分计算公式示例：</w:t>
            </w:r>
          </w:p>
          <w:p w14:paraId="5E1CFD83">
            <w:pPr>
              <w:keepLines w:val="0"/>
              <w:pageBreakBefore w:val="0"/>
              <w:shd w:val="clear" w:color="auto" w:fill="FFFFFF"/>
              <w:tabs>
                <w:tab w:val="left" w:pos="914"/>
              </w:tabs>
              <w:kinsoku/>
              <w:wordWrap/>
              <w:overflowPunct/>
              <w:topLinePunct w:val="0"/>
              <w:bidi w:val="0"/>
              <w:adjustRightInd w:val="0"/>
              <w:snapToGrid w:val="0"/>
              <w:spacing w:line="360" w:lineRule="exact"/>
              <w:ind w:firstLine="21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（1）如果投标人的评标价＞评标基准价，则</w:t>
            </w:r>
          </w:p>
          <w:p w14:paraId="639D5604">
            <w:pPr>
              <w:keepLines w:val="0"/>
              <w:pageBreakBefore w:val="0"/>
              <w:shd w:val="clear" w:color="auto" w:fill="FFFFFF"/>
              <w:tabs>
                <w:tab w:val="left" w:pos="914"/>
              </w:tabs>
              <w:kinsoku/>
              <w:wordWrap/>
              <w:overflowPunct/>
              <w:topLinePunct w:val="0"/>
              <w:bidi w:val="0"/>
              <w:adjustRightInd w:val="0"/>
              <w:snapToGrid w:val="0"/>
              <w:spacing w:line="360" w:lineRule="exact"/>
              <w:ind w:firstLine="840" w:firstLineChars="4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评标价得分＝50－偏差率×100×0.</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w:t>
            </w:r>
          </w:p>
          <w:p w14:paraId="32476E1A">
            <w:pPr>
              <w:keepLines w:val="0"/>
              <w:pageBreakBefore w:val="0"/>
              <w:shd w:val="clear" w:color="auto" w:fill="FFFFFF"/>
              <w:tabs>
                <w:tab w:val="left" w:pos="914"/>
              </w:tabs>
              <w:kinsoku/>
              <w:wordWrap/>
              <w:overflowPunct/>
              <w:topLinePunct w:val="0"/>
              <w:bidi w:val="0"/>
              <w:adjustRightInd w:val="0"/>
              <w:snapToGrid w:val="0"/>
              <w:spacing w:line="360" w:lineRule="exact"/>
              <w:ind w:firstLine="21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（2）如果投标人的评标价≤评标基准价，则</w:t>
            </w:r>
          </w:p>
          <w:p w14:paraId="51CA5F52">
            <w:pPr>
              <w:keepNext w:val="0"/>
              <w:keepLines w:val="0"/>
              <w:pageBreakBefore w:val="0"/>
              <w:kinsoku/>
              <w:wordWrap/>
              <w:overflowPunct/>
              <w:topLinePunct w:val="0"/>
              <w:autoSpaceDE/>
              <w:autoSpaceDN/>
              <w:bidi w:val="0"/>
              <w:adjustRightInd w:val="0"/>
              <w:snapToGrid w:val="0"/>
              <w:spacing w:line="360" w:lineRule="exact"/>
              <w:ind w:firstLine="840" w:firstLineChars="4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rPr>
              <w:t>评标价得分＝50＋偏差率×100×0.</w:t>
            </w:r>
            <w:r>
              <w:rPr>
                <w:rFonts w:hint="eastAsia" w:ascii="宋体" w:hAnsi="宋体" w:eastAsia="宋体" w:cs="宋体"/>
                <w:color w:val="000000"/>
                <w:sz w:val="21"/>
                <w:szCs w:val="21"/>
                <w:lang w:val="en-US" w:eastAsia="zh-CN"/>
              </w:rPr>
              <w:t>05</w:t>
            </w:r>
            <w:r>
              <w:rPr>
                <w:rFonts w:hint="eastAsia" w:ascii="宋体" w:hAnsi="宋体" w:eastAsia="宋体" w:cs="宋体"/>
                <w:color w:val="000000"/>
                <w:sz w:val="21"/>
                <w:szCs w:val="21"/>
              </w:rPr>
              <w:t>。</w:t>
            </w:r>
          </w:p>
        </w:tc>
      </w:tr>
      <w:tr w14:paraId="39AE3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42E12DC6">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tc>
        <w:tc>
          <w:tcPr>
            <w:tcW w:w="675" w:type="dxa"/>
            <w:vMerge w:val="restart"/>
            <w:tcBorders>
              <w:tl2br w:val="nil"/>
              <w:tr2bl w:val="nil"/>
            </w:tcBorders>
            <w:vAlign w:val="center"/>
          </w:tcPr>
          <w:p w14:paraId="2CCC00B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w:t>
            </w:r>
          </w:p>
        </w:tc>
        <w:tc>
          <w:tcPr>
            <w:tcW w:w="945" w:type="dxa"/>
            <w:vMerge w:val="restart"/>
            <w:tcBorders>
              <w:tl2br w:val="nil"/>
              <w:tr2bl w:val="nil"/>
            </w:tcBorders>
            <w:vAlign w:val="center"/>
          </w:tcPr>
          <w:p w14:paraId="41B42F1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662" w:type="dxa"/>
            <w:tcBorders>
              <w:tl2br w:val="nil"/>
              <w:tr2bl w:val="nil"/>
            </w:tcBorders>
            <w:vAlign w:val="center"/>
          </w:tcPr>
          <w:p w14:paraId="591F238B">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企业业绩</w:t>
            </w:r>
          </w:p>
        </w:tc>
        <w:tc>
          <w:tcPr>
            <w:tcW w:w="694" w:type="dxa"/>
            <w:gridSpan w:val="2"/>
            <w:tcBorders>
              <w:tl2br w:val="nil"/>
              <w:tr2bl w:val="nil"/>
            </w:tcBorders>
            <w:vAlign w:val="center"/>
          </w:tcPr>
          <w:p w14:paraId="53005102">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4647" w:type="dxa"/>
            <w:gridSpan w:val="2"/>
            <w:tcBorders>
              <w:tl2br w:val="nil"/>
              <w:tr2bl w:val="nil"/>
            </w:tcBorders>
            <w:vAlign w:val="center"/>
          </w:tcPr>
          <w:p w14:paraId="2B7B27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满足资格审查条件</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最低要求，得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3E52A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在满足最低要求的基础上，</w:t>
            </w:r>
            <w:r>
              <w:rPr>
                <w:rFonts w:hint="eastAsia" w:ascii="宋体" w:hAnsi="宋体" w:eastAsia="宋体" w:cs="宋体"/>
                <w:color w:val="auto"/>
                <w:sz w:val="21"/>
                <w:szCs w:val="21"/>
              </w:rPr>
              <w:t>每增加一项</w:t>
            </w:r>
            <w:r>
              <w:rPr>
                <w:rFonts w:hint="eastAsia" w:ascii="宋体" w:hAnsi="宋体" w:eastAsia="宋体" w:cs="宋体"/>
                <w:color w:val="auto"/>
                <w:sz w:val="21"/>
                <w:szCs w:val="21"/>
                <w:lang w:val="en-US" w:eastAsia="zh-CN"/>
              </w:rPr>
              <w:t>满足</w:t>
            </w:r>
            <w:r>
              <w:rPr>
                <w:rFonts w:hint="eastAsia" w:ascii="宋体" w:hAnsi="宋体" w:eastAsia="宋体" w:cs="宋体"/>
                <w:color w:val="auto"/>
                <w:sz w:val="21"/>
                <w:szCs w:val="21"/>
              </w:rPr>
              <w:t>资格</w:t>
            </w:r>
            <w:r>
              <w:rPr>
                <w:rFonts w:hint="eastAsia" w:ascii="宋体" w:hAnsi="宋体" w:eastAsia="宋体" w:cs="宋体"/>
                <w:color w:val="auto"/>
                <w:sz w:val="21"/>
                <w:szCs w:val="21"/>
                <w:lang w:val="en-US" w:eastAsia="zh-CN"/>
              </w:rPr>
              <w:t>审查</w:t>
            </w:r>
            <w:r>
              <w:rPr>
                <w:rFonts w:hint="eastAsia" w:ascii="宋体" w:hAnsi="宋体" w:eastAsia="宋体" w:cs="宋体"/>
                <w:color w:val="auto"/>
                <w:sz w:val="21"/>
                <w:szCs w:val="21"/>
              </w:rPr>
              <w:t>条件最低要求的业绩加</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分，最多加</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0BCD8E3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⑴</w:t>
            </w:r>
            <w:r>
              <w:rPr>
                <w:rFonts w:hint="eastAsia" w:ascii="宋体" w:hAnsi="宋体" w:eastAsia="宋体" w:cs="宋体"/>
                <w:color w:val="auto"/>
                <w:sz w:val="21"/>
                <w:szCs w:val="21"/>
              </w:rPr>
              <w:t>以上业绩应是交通运输部“全国公路建设市场监督管理系统”或省级交通运输主管部门“公路建设市场信用信息管理系统”已载明业绩。</w:t>
            </w:r>
          </w:p>
          <w:p w14:paraId="3E54A7ED">
            <w:pPr>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⑵一个合同视为一项业绩。</w:t>
            </w:r>
          </w:p>
        </w:tc>
      </w:tr>
      <w:tr w14:paraId="09A97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E6A950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0275CA0">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6557E5E">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restart"/>
            <w:tcBorders>
              <w:tl2br w:val="nil"/>
              <w:tr2bl w:val="nil"/>
            </w:tcBorders>
            <w:vAlign w:val="center"/>
          </w:tcPr>
          <w:p w14:paraId="5A49A6B8">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w:t>
            </w:r>
          </w:p>
        </w:tc>
        <w:tc>
          <w:tcPr>
            <w:tcW w:w="694" w:type="dxa"/>
            <w:gridSpan w:val="2"/>
            <w:tcBorders>
              <w:tl2br w:val="nil"/>
              <w:tr2bl w:val="nil"/>
            </w:tcBorders>
            <w:vAlign w:val="center"/>
          </w:tcPr>
          <w:p w14:paraId="487F4DCD">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647" w:type="dxa"/>
            <w:gridSpan w:val="2"/>
            <w:tcBorders>
              <w:tl2br w:val="nil"/>
              <w:tr2bl w:val="nil"/>
            </w:tcBorders>
            <w:vAlign w:val="center"/>
          </w:tcPr>
          <w:p w14:paraId="57FD08FF">
            <w:pPr>
              <w:keepLines w:val="0"/>
              <w:pageBreakBefore w:val="0"/>
              <w:kinsoku/>
              <w:wordWrap/>
              <w:overflowPunct/>
              <w:topLinePunct w:val="0"/>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A级</w:t>
            </w:r>
            <w:r>
              <w:rPr>
                <w:rFonts w:hint="eastAsia" w:ascii="宋体" w:hAnsi="宋体" w:eastAsia="宋体" w:cs="宋体"/>
                <w:color w:val="auto"/>
                <w:sz w:val="21"/>
                <w:szCs w:val="21"/>
                <w:highlight w:val="none"/>
                <w:shd w:val="clear" w:color="auto" w:fill="FFFFFF"/>
              </w:rPr>
              <w:t>。</w:t>
            </w:r>
          </w:p>
        </w:tc>
      </w:tr>
      <w:tr w14:paraId="175D3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6CE9C0D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28EBF4C">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64CA64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77B12EC4">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94" w:type="dxa"/>
            <w:gridSpan w:val="2"/>
            <w:tcBorders>
              <w:tl2br w:val="nil"/>
              <w:tr2bl w:val="nil"/>
            </w:tcBorders>
            <w:vAlign w:val="center"/>
          </w:tcPr>
          <w:p w14:paraId="38F5946C">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2A938499">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rPr>
              <w:t>级。</w:t>
            </w:r>
          </w:p>
        </w:tc>
      </w:tr>
      <w:tr w14:paraId="6407E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0145A4CD">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9ECF97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7857EB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662" w:type="dxa"/>
            <w:vMerge w:val="continue"/>
            <w:tcBorders>
              <w:tl2br w:val="nil"/>
              <w:tr2bl w:val="nil"/>
            </w:tcBorders>
            <w:vAlign w:val="center"/>
          </w:tcPr>
          <w:p w14:paraId="76FBE2DE">
            <w:pPr>
              <w:keepLines w:val="0"/>
              <w:pageBreakBefore w:val="0"/>
              <w:widowControl/>
              <w:shd w:val="clear" w:color="auto" w:fill="FFFFFF"/>
              <w:kinsoku/>
              <w:wordWrap/>
              <w:overflowPunct/>
              <w:topLinePunct w:val="0"/>
              <w:bidi w:val="0"/>
              <w:spacing w:line="360" w:lineRule="exact"/>
              <w:jc w:val="center"/>
              <w:textAlignment w:val="auto"/>
              <w:rPr>
                <w:rFonts w:hint="eastAsia" w:ascii="宋体" w:hAnsi="宋体" w:eastAsia="宋体" w:cs="宋体"/>
                <w:color w:val="auto"/>
                <w:kern w:val="0"/>
                <w:sz w:val="21"/>
                <w:szCs w:val="21"/>
                <w:highlight w:val="none"/>
              </w:rPr>
            </w:pPr>
          </w:p>
        </w:tc>
        <w:tc>
          <w:tcPr>
            <w:tcW w:w="694" w:type="dxa"/>
            <w:gridSpan w:val="2"/>
            <w:tcBorders>
              <w:tl2br w:val="nil"/>
              <w:tr2bl w:val="nil"/>
            </w:tcBorders>
            <w:vAlign w:val="center"/>
          </w:tcPr>
          <w:p w14:paraId="5AD07FA2">
            <w:pPr>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4647" w:type="dxa"/>
            <w:gridSpan w:val="2"/>
            <w:tcBorders>
              <w:tl2br w:val="nil"/>
              <w:tr2bl w:val="nil"/>
            </w:tcBorders>
            <w:vAlign w:val="center"/>
          </w:tcPr>
          <w:p w14:paraId="62819359">
            <w:pPr>
              <w:keepLines w:val="0"/>
              <w:pageBreakBefore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w:t>
            </w:r>
          </w:p>
        </w:tc>
      </w:tr>
      <w:tr w14:paraId="21B70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continue"/>
            <w:tcBorders>
              <w:tl2br w:val="nil"/>
              <w:tr2bl w:val="nil"/>
            </w:tcBorders>
            <w:vAlign w:val="center"/>
          </w:tcPr>
          <w:p w14:paraId="1CBB4BC7">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84FACF4">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07476C8">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5"/>
            <w:tcBorders>
              <w:tl2br w:val="nil"/>
              <w:tr2bl w:val="nil"/>
            </w:tcBorders>
            <w:vAlign w:val="center"/>
          </w:tcPr>
          <w:p w14:paraId="60A8BCE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投标人的信用评价等级按照以下优先顺序采用：</w:t>
            </w:r>
          </w:p>
          <w:p w14:paraId="018091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采用吉林省交通运输厅发布的《关于发布吉林省2024年度公路建设市场省级信用评价结果的通告》中的</w:t>
            </w:r>
            <w:r>
              <w:rPr>
                <w:rFonts w:hint="eastAsia" w:ascii="宋体" w:hAnsi="宋体" w:eastAsia="宋体" w:cs="宋体"/>
                <w:color w:val="auto"/>
                <w:sz w:val="21"/>
                <w:szCs w:val="21"/>
                <w:lang w:val="en-US" w:eastAsia="zh-CN"/>
              </w:rPr>
              <w:t>施工</w:t>
            </w:r>
            <w:r>
              <w:rPr>
                <w:rFonts w:hint="eastAsia" w:ascii="宋体" w:hAnsi="宋体" w:eastAsia="宋体" w:cs="宋体"/>
                <w:color w:val="auto"/>
                <w:sz w:val="21"/>
                <w:szCs w:val="21"/>
              </w:rPr>
              <w:t>企业</w:t>
            </w:r>
            <w:r>
              <w:rPr>
                <w:rFonts w:hint="eastAsia" w:ascii="宋体" w:hAnsi="宋体" w:eastAsia="宋体" w:cs="宋体"/>
                <w:color w:val="auto"/>
                <w:sz w:val="21"/>
                <w:szCs w:val="21"/>
                <w:lang w:val="en-US" w:eastAsia="zh-CN"/>
              </w:rPr>
              <w:t>信用</w:t>
            </w:r>
            <w:r>
              <w:rPr>
                <w:rFonts w:hint="eastAsia" w:ascii="宋体" w:hAnsi="宋体" w:eastAsia="宋体" w:cs="宋体"/>
                <w:color w:val="auto"/>
                <w:sz w:val="21"/>
                <w:szCs w:val="21"/>
              </w:rPr>
              <w:t>评价等级</w:t>
            </w:r>
            <w:r>
              <w:rPr>
                <w:rFonts w:hint="eastAsia" w:ascii="宋体" w:hAnsi="宋体" w:eastAsia="宋体" w:cs="宋体"/>
                <w:color w:val="auto"/>
                <w:sz w:val="21"/>
                <w:szCs w:val="21"/>
                <w:lang w:eastAsia="zh-CN"/>
              </w:rPr>
              <w:t>；</w:t>
            </w:r>
          </w:p>
          <w:p w14:paraId="596F74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采用</w:t>
            </w:r>
            <w:r>
              <w:rPr>
                <w:rFonts w:hint="eastAsia" w:ascii="宋体" w:hAnsi="宋体" w:eastAsia="宋体" w:cs="宋体"/>
                <w:color w:val="auto"/>
                <w:sz w:val="21"/>
                <w:szCs w:val="21"/>
              </w:rPr>
              <w:t>交通运输部“全国公路建设市场监督管理系统</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全国公路从业单位信用评价结果”中投标人的2023年度企业信用评价等级；</w:t>
            </w:r>
          </w:p>
          <w:p w14:paraId="377FBC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采用</w:t>
            </w:r>
            <w:r>
              <w:rPr>
                <w:rFonts w:hint="eastAsia" w:ascii="宋体" w:hAnsi="宋体" w:eastAsia="宋体" w:cs="宋体"/>
                <w:color w:val="auto"/>
                <w:sz w:val="21"/>
                <w:szCs w:val="21"/>
              </w:rPr>
              <w:t>交通运输部“全国公路建设市场监督管理系统</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全国公路从业单位信用评价结果”中投标人的202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年度企业信用评价等级；</w:t>
            </w:r>
          </w:p>
          <w:p w14:paraId="2F445F6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投标人无以上信用评价时，若未列入交通运输部“全国公路建设市场监督管理系统”中“不良信用记录”的，按A级对待，否则</w:t>
            </w:r>
            <w:r>
              <w:rPr>
                <w:rFonts w:hint="eastAsia" w:ascii="宋体" w:hAnsi="宋体" w:eastAsia="宋体" w:cs="宋体"/>
                <w:color w:val="auto"/>
                <w:sz w:val="21"/>
                <w:szCs w:val="21"/>
                <w:lang w:val="en-US" w:eastAsia="zh-CN"/>
              </w:rPr>
              <w:t>视其严重程度</w:t>
            </w:r>
            <w:r>
              <w:rPr>
                <w:rFonts w:hint="eastAsia" w:ascii="宋体" w:hAnsi="宋体" w:eastAsia="宋体" w:cs="宋体"/>
                <w:color w:val="auto"/>
                <w:sz w:val="21"/>
                <w:szCs w:val="21"/>
              </w:rPr>
              <w:t>按B级或以下等级对待。</w:t>
            </w:r>
          </w:p>
          <w:p w14:paraId="4A79EB6A">
            <w:pPr>
              <w:keepLines w:val="0"/>
              <w:pageBreakBefore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企业信用评价结果采用省级综合评价或全国综合评价结果，企业</w:t>
            </w:r>
            <w:r>
              <w:rPr>
                <w:rFonts w:hint="eastAsia" w:ascii="宋体" w:hAnsi="宋体" w:eastAsia="宋体" w:cs="宋体"/>
                <w:b/>
                <w:bCs/>
                <w:color w:val="auto"/>
                <w:sz w:val="21"/>
                <w:szCs w:val="21"/>
              </w:rPr>
              <w:t>当年</w:t>
            </w:r>
            <w:r>
              <w:rPr>
                <w:rFonts w:hint="eastAsia" w:ascii="宋体" w:hAnsi="宋体" w:eastAsia="宋体" w:cs="宋体"/>
                <w:color w:val="auto"/>
                <w:sz w:val="21"/>
                <w:szCs w:val="21"/>
              </w:rPr>
              <w:t>既有省级综合评价结果也有全国综合评价结果的，应采用等级较低的评价结果</w:t>
            </w:r>
            <w:r>
              <w:rPr>
                <w:rFonts w:hint="eastAsia" w:ascii="宋体" w:hAnsi="宋体" w:eastAsia="宋体" w:cs="宋体"/>
                <w:color w:val="auto"/>
                <w:sz w:val="21"/>
                <w:szCs w:val="21"/>
                <w:lang w:eastAsia="zh-CN"/>
              </w:rPr>
              <w:t>。</w:t>
            </w:r>
          </w:p>
        </w:tc>
      </w:tr>
      <w:tr w14:paraId="5307B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continue"/>
            <w:tcBorders>
              <w:tl2br w:val="nil"/>
              <w:tr2bl w:val="nil"/>
            </w:tcBorders>
            <w:vAlign w:val="center"/>
          </w:tcPr>
          <w:p w14:paraId="6F364C14">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775AFE3">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right w:val="single" w:color="auto" w:sz="4" w:space="0"/>
              <w:tl2br w:val="nil"/>
              <w:tr2bl w:val="nil"/>
            </w:tcBorders>
            <w:vAlign w:val="center"/>
          </w:tcPr>
          <w:p w14:paraId="1A0CC0F2">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1664" w:type="dxa"/>
            <w:gridSpan w:val="2"/>
            <w:tcBorders>
              <w:left w:val="single" w:color="auto" w:sz="4" w:space="0"/>
              <w:right w:val="single" w:color="auto" w:sz="4" w:space="0"/>
              <w:tl2br w:val="nil"/>
              <w:tr2bl w:val="nil"/>
            </w:tcBorders>
            <w:shd w:val="clear" w:color="auto" w:fill="auto"/>
            <w:vAlign w:val="center"/>
          </w:tcPr>
          <w:p w14:paraId="7DE655E8">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机电设备</w:t>
            </w:r>
          </w:p>
        </w:tc>
        <w:tc>
          <w:tcPr>
            <w:tcW w:w="698" w:type="dxa"/>
            <w:gridSpan w:val="2"/>
            <w:tcBorders>
              <w:left w:val="single" w:color="auto" w:sz="4" w:space="0"/>
              <w:right w:val="single" w:color="auto" w:sz="4" w:space="0"/>
              <w:tl2br w:val="nil"/>
              <w:tr2bl w:val="nil"/>
            </w:tcBorders>
            <w:shd w:val="clear" w:color="auto" w:fill="auto"/>
            <w:vAlign w:val="center"/>
          </w:tcPr>
          <w:p w14:paraId="137E4183">
            <w:pPr>
              <w:keepLines w:val="0"/>
              <w:pageBreakBefore w:val="0"/>
              <w:kinsoku/>
              <w:wordWrap/>
              <w:overflowPunct/>
              <w:topLinePunct w:val="0"/>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5分</w:t>
            </w:r>
          </w:p>
        </w:tc>
        <w:tc>
          <w:tcPr>
            <w:tcW w:w="4641" w:type="dxa"/>
            <w:tcBorders>
              <w:left w:val="single" w:color="auto" w:sz="4" w:space="0"/>
              <w:tl2br w:val="nil"/>
              <w:tr2bl w:val="nil"/>
            </w:tcBorders>
            <w:shd w:val="clear" w:color="auto" w:fill="auto"/>
            <w:vAlign w:val="center"/>
          </w:tcPr>
          <w:p w14:paraId="30343077">
            <w:pPr>
              <w:keepNext w:val="0"/>
              <w:keepLines w:val="0"/>
              <w:pageBreakBefore w:val="0"/>
              <w:widowControl/>
              <w:suppressLineNumbers w:val="0"/>
              <w:kinsoku/>
              <w:wordWrap/>
              <w:overflowPunct/>
              <w:topLinePunct w:val="0"/>
              <w:bidi w:val="0"/>
              <w:spacing w:line="360" w:lineRule="exact"/>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（1）选用不知名品牌或在国内行业中有较少比例使用的设备得1分。</w:t>
            </w:r>
          </w:p>
          <w:p w14:paraId="32DC29B7">
            <w:pPr>
              <w:keepNext w:val="0"/>
              <w:keepLines w:val="0"/>
              <w:pageBreakBefore w:val="0"/>
              <w:widowControl/>
              <w:suppressLineNumbers w:val="0"/>
              <w:kinsoku/>
              <w:wordWrap/>
              <w:overflowPunct/>
              <w:topLinePunct w:val="0"/>
              <w:bidi w:val="0"/>
              <w:spacing w:line="360" w:lineRule="exact"/>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（2）选用一般品牌或在国内行业中有一定比例使用的设备得3分。</w:t>
            </w:r>
          </w:p>
          <w:p w14:paraId="72CAFE32">
            <w:pPr>
              <w:keepNext w:val="0"/>
              <w:keepLines w:val="0"/>
              <w:pageBreakBefore w:val="0"/>
              <w:widowControl/>
              <w:suppressLineNumbers w:val="0"/>
              <w:kinsoku/>
              <w:wordWrap/>
              <w:overflowPunct/>
              <w:topLinePunct w:val="0"/>
              <w:bidi w:val="0"/>
              <w:spacing w:line="36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（3）选用知名品牌且在国内行业中大范围使用的设备得5分。</w:t>
            </w:r>
          </w:p>
          <w:p w14:paraId="6D2B32F2">
            <w:pPr>
              <w:keepNext w:val="0"/>
              <w:keepLines w:val="0"/>
              <w:pageBreakBefore w:val="0"/>
              <w:widowControl/>
              <w:suppressLineNumbers w:val="0"/>
              <w:kinsoku/>
              <w:wordWrap/>
              <w:overflowPunct/>
              <w:topLinePunct w:val="0"/>
              <w:bidi w:val="0"/>
              <w:spacing w:line="36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highlight w:val="none"/>
                <w:lang w:val="en-US" w:eastAsia="zh-CN" w:bidi="ar"/>
              </w:rPr>
              <w:t>注：以上设备范围包括“第九章投标文件格式”中“其他资料”中所列的全部设备。</w:t>
            </w:r>
          </w:p>
        </w:tc>
      </w:tr>
      <w:tr w14:paraId="1FEA2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537" w:type="dxa"/>
            <w:gridSpan w:val="8"/>
            <w:tcBorders>
              <w:tl2br w:val="nil"/>
              <w:tr2bl w:val="nil"/>
            </w:tcBorders>
            <w:vAlign w:val="center"/>
          </w:tcPr>
          <w:p w14:paraId="2AA98F39">
            <w:pPr>
              <w:keepLines w:val="0"/>
              <w:pageBreakBefore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3F722C74">
      <w:pPr>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p>
    <w:p w14:paraId="4360F9F3">
      <w:pPr>
        <w:keepLines w:val="0"/>
        <w:pageBreakBefore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460"/>
      </w:tblGrid>
      <w:tr w14:paraId="138B94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7A61C33A">
            <w:pPr>
              <w:keepLines w:val="0"/>
              <w:pageBreakBefore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color w:val="000000"/>
                <w:sz w:val="21"/>
                <w:szCs w:val="21"/>
              </w:rPr>
            </w:pPr>
            <w:r>
              <w:rPr>
                <w:rFonts w:hint="eastAsia" w:ascii="宋体" w:hAnsi="宋体" w:eastAsia="宋体" w:cs="宋体"/>
                <w:kern w:val="0"/>
                <w:sz w:val="21"/>
                <w:szCs w:val="21"/>
                <w:lang w:val="zh-CN" w:bidi="zh-CN"/>
              </w:rPr>
              <w:t>招 标 人：</w:t>
            </w:r>
            <w:r>
              <w:rPr>
                <w:rFonts w:hint="eastAsia" w:ascii="宋体" w:hAnsi="宋体" w:eastAsia="宋体" w:cs="宋体"/>
                <w:color w:val="000000" w:themeColor="text1"/>
                <w:sz w:val="21"/>
                <w:szCs w:val="21"/>
                <w:highlight w:val="none"/>
                <w:lang w:eastAsia="zh-CN"/>
              </w:rPr>
              <w:t>吉林省公路管理局</w:t>
            </w:r>
          </w:p>
        </w:tc>
      </w:tr>
      <w:tr w14:paraId="4BB074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6CBDE2BE">
            <w:pPr>
              <w:keepLines w:val="0"/>
              <w:pageBreakBefore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color w:val="000000"/>
                <w:sz w:val="21"/>
                <w:szCs w:val="21"/>
              </w:rPr>
            </w:pPr>
            <w:r>
              <w:rPr>
                <w:rFonts w:hint="eastAsia" w:ascii="宋体" w:hAnsi="宋体" w:eastAsia="宋体" w:cs="宋体"/>
                <w:kern w:val="0"/>
                <w:sz w:val="21"/>
                <w:szCs w:val="21"/>
                <w:lang w:val="zh-CN" w:bidi="zh-CN"/>
              </w:rPr>
              <w:t>地    址：</w:t>
            </w:r>
            <w:r>
              <w:rPr>
                <w:rFonts w:hint="eastAsia" w:ascii="宋体" w:hAnsi="宋体" w:eastAsia="宋体" w:cs="宋体"/>
                <w:color w:val="000000" w:themeColor="text1"/>
                <w:sz w:val="21"/>
                <w:szCs w:val="21"/>
              </w:rPr>
              <w:t>长春市解放大路2518号交通大厦</w:t>
            </w:r>
          </w:p>
        </w:tc>
      </w:tr>
      <w:tr w14:paraId="0F63F6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4B6F7EE5">
            <w:pPr>
              <w:keepLines w:val="0"/>
              <w:pageBreakBefore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color w:val="000000"/>
                <w:sz w:val="21"/>
                <w:szCs w:val="21"/>
              </w:rPr>
            </w:pPr>
            <w:r>
              <w:rPr>
                <w:rFonts w:hint="eastAsia" w:ascii="宋体" w:hAnsi="宋体" w:eastAsia="宋体" w:cs="宋体"/>
                <w:kern w:val="0"/>
                <w:sz w:val="21"/>
                <w:szCs w:val="21"/>
                <w:lang w:val="zh-CN" w:bidi="zh-CN"/>
              </w:rPr>
              <w:t>邮    编：</w:t>
            </w:r>
            <w:r>
              <w:rPr>
                <w:rFonts w:hint="eastAsia" w:ascii="宋体" w:hAnsi="宋体" w:eastAsia="宋体" w:cs="宋体"/>
                <w:color w:val="000000" w:themeColor="text1"/>
                <w:sz w:val="21"/>
                <w:szCs w:val="21"/>
                <w:highlight w:val="none"/>
                <w:lang w:val="zh-CN"/>
              </w:rPr>
              <w:t>13</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lang w:val="zh-CN"/>
              </w:rPr>
              <w:t>0</w:t>
            </w:r>
            <w:r>
              <w:rPr>
                <w:rFonts w:hint="eastAsia" w:ascii="宋体" w:hAnsi="宋体" w:eastAsia="宋体" w:cs="宋体"/>
                <w:color w:val="000000" w:themeColor="text1"/>
                <w:sz w:val="21"/>
                <w:szCs w:val="21"/>
                <w:highlight w:val="none"/>
                <w:lang w:val="en-US" w:eastAsia="zh-CN"/>
              </w:rPr>
              <w:t>21</w:t>
            </w:r>
          </w:p>
        </w:tc>
      </w:tr>
      <w:tr w14:paraId="46BF12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08EEA866">
            <w:pPr>
              <w:keepLines w:val="0"/>
              <w:pageBreakBefore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color w:val="000000"/>
                <w:sz w:val="21"/>
                <w:szCs w:val="21"/>
              </w:rPr>
            </w:pPr>
            <w:r>
              <w:rPr>
                <w:rFonts w:hint="eastAsia" w:ascii="宋体" w:hAnsi="宋体" w:eastAsia="宋体" w:cs="宋体"/>
                <w:kern w:val="0"/>
                <w:sz w:val="21"/>
                <w:szCs w:val="21"/>
                <w:lang w:val="zh-CN" w:bidi="zh-CN"/>
              </w:rPr>
              <w:t>联 系 人：</w:t>
            </w:r>
            <w:r>
              <w:rPr>
                <w:rFonts w:hint="eastAsia" w:ascii="宋体" w:hAnsi="宋体" w:eastAsia="宋体" w:cs="宋体"/>
                <w:color w:val="000000" w:themeColor="text1"/>
                <w:sz w:val="21"/>
                <w:szCs w:val="21"/>
                <w:highlight w:val="none"/>
                <w:lang w:val="en-US" w:eastAsia="zh-CN"/>
              </w:rPr>
              <w:t>张博伦</w:t>
            </w:r>
          </w:p>
        </w:tc>
      </w:tr>
      <w:tr w14:paraId="228209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44D4A88F">
            <w:pPr>
              <w:keepLines w:val="0"/>
              <w:pageBreakBefore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bidi="zh-CN"/>
              </w:rPr>
              <w:t>电    话：</w:t>
            </w:r>
            <w:r>
              <w:rPr>
                <w:rFonts w:hint="eastAsia" w:ascii="宋体" w:hAnsi="宋体" w:eastAsia="宋体" w:cs="宋体"/>
                <w:color w:val="000000" w:themeColor="text1"/>
                <w:sz w:val="21"/>
                <w:szCs w:val="21"/>
                <w:highlight w:val="none"/>
              </w:rPr>
              <w:t>043</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85097671</w:t>
            </w:r>
          </w:p>
          <w:p w14:paraId="293075D2">
            <w:pPr>
              <w:keepLines w:val="0"/>
              <w:pageBreakBefore w:val="0"/>
              <w:kinsoku/>
              <w:wordWrap/>
              <w:overflowPunct/>
              <w:topLinePunct w:val="0"/>
              <w:autoSpaceDE w:val="0"/>
              <w:autoSpaceDN w:val="0"/>
              <w:bidi w:val="0"/>
              <w:adjustRightInd w:val="0"/>
              <w:spacing w:line="360" w:lineRule="exact"/>
              <w:ind w:left="1470" w:hanging="1470" w:hangingChars="700"/>
              <w:textAlignment w:val="auto"/>
              <w:rPr>
                <w:rFonts w:hint="eastAsia" w:ascii="宋体" w:hAnsi="宋体" w:eastAsia="宋体" w:cs="宋体"/>
                <w:color w:val="000000"/>
                <w:sz w:val="21"/>
                <w:szCs w:val="21"/>
              </w:rPr>
            </w:pPr>
            <w:bookmarkStart w:id="17" w:name="_GoBack"/>
            <w:bookmarkEnd w:id="17"/>
          </w:p>
        </w:tc>
      </w:tr>
    </w:tbl>
    <w:p w14:paraId="71B087C4">
      <w:pPr>
        <w:spacing w:line="360" w:lineRule="exact"/>
        <w:rPr>
          <w:rFonts w:hint="eastAsia" w:ascii="宋体" w:hAnsi="宋体" w:eastAsia="宋体"/>
          <w:szCs w:val="21"/>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超粗黑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5FC9D1B">
      <w:pPr>
        <w:pStyle w:val="8"/>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0A825615">
      <w:pPr>
        <w:rPr>
          <w:sz w:val="18"/>
          <w:szCs w:val="18"/>
        </w:rPr>
      </w:pPr>
      <w:r>
        <w:rPr>
          <w:rStyle w:val="11"/>
        </w:rPr>
        <w:footnoteRef/>
      </w:r>
      <w:r>
        <w:rPr>
          <w:rFonts w:hint="eastAsia" w:ascii="宋体" w:hAnsi="宋体" w:cs="宋体"/>
          <w:kern w:val="0"/>
          <w:sz w:val="18"/>
          <w:szCs w:val="18"/>
          <w:lang w:val="zh-CN"/>
        </w:rPr>
        <w:t>本表所列人员不得互相兼职。</w:t>
      </w:r>
    </w:p>
  </w:footnote>
  <w:footnote w:id="2">
    <w:p w14:paraId="149A0F15">
      <w:pPr>
        <w:pStyle w:val="8"/>
      </w:pPr>
      <w:r>
        <w:rPr>
          <w:rStyle w:val="11"/>
        </w:rPr>
        <w:footnoteRef/>
      </w:r>
      <w:bookmarkStart w:id="15" w:name="OLE_LINK75"/>
      <w:bookmarkStart w:id="16" w:name="OLE_LINK74"/>
      <w:r>
        <w:rPr>
          <w:rFonts w:hint="eastAsia" w:ascii="BatangChe" w:hAnsi="BatangChe"/>
          <w:b/>
        </w:rPr>
        <w:t>“</w:t>
      </w:r>
      <w:r>
        <w:rPr>
          <w:rFonts w:hint="eastAsia" w:ascii="BatangChe" w:hAnsi="BatangChe"/>
          <w:b/>
          <w:spacing w:val="-6"/>
        </w:rPr>
        <w:t>投标人自有人员”</w:t>
      </w:r>
      <w:bookmarkEnd w:id="15"/>
      <w:bookmarkEnd w:id="16"/>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lang w:eastAsia="zh-CN"/>
        </w:rPr>
        <w:t>（</w:t>
      </w:r>
      <w:r>
        <w:rPr>
          <w:rFonts w:hint="eastAsia" w:ascii="宋体" w:hAnsi="宋体" w:eastAsia="宋体"/>
          <w:szCs w:val="21"/>
        </w:rPr>
        <w:t>社保缴费截止时间为2025年1月1日以后,分公司缴纳的社会保险可以予以认可，上级公司、子公司、人力资源服务机构等其他单位缴纳或个人缴纳社会保险均不予认可</w:t>
      </w:r>
      <w:r>
        <w:rPr>
          <w:rFonts w:hint="eastAsia" w:ascii="宋体" w:hAnsi="宋体" w:eastAsia="宋体"/>
          <w:szCs w:val="21"/>
          <w:lang w:eastAsia="zh-CN"/>
        </w:rPr>
        <w:t>）</w:t>
      </w:r>
      <w:r>
        <w:rPr>
          <w:rFonts w:hint="eastAsia" w:ascii="BatangChe" w:hAnsi="BatangChe"/>
          <w:spacing w:val="-6"/>
        </w:rPr>
        <w:t>。</w:t>
      </w:r>
    </w:p>
  </w:footnote>
  <w:footnote w:id="3">
    <w:p w14:paraId="2F663162">
      <w:pPr>
        <w:pStyle w:val="8"/>
      </w:pPr>
      <w:r>
        <w:rPr>
          <w:rStyle w:val="11"/>
        </w:rPr>
        <w:footnoteRef/>
      </w:r>
      <w:r>
        <w:rPr>
          <w:rFonts w:hint="eastAsia" w:ascii="宋体" w:hAnsi="宋体" w:cs="宋体"/>
          <w:lang w:val="zh-CN"/>
        </w:rPr>
        <w:t>公路工程相关专业职称包括公路工程、桥梁工程、公路与桥梁工程、交通土建、隧道（地下结构）工程、交通工程等专业职称；</w:t>
      </w:r>
      <w:r>
        <w:rPr>
          <w:rFonts w:hint="eastAsia" w:ascii="宋体" w:hAnsi="宋体"/>
        </w:rPr>
        <w:t>机电工程相关专业职称包括计算机、电子、通信、自动化、电气等；</w:t>
      </w:r>
      <w:r>
        <w:rPr>
          <w:rFonts w:hint="eastAsia" w:ascii="宋体" w:hAnsi="宋体" w:cs="宋体"/>
          <w:lang w:val="zh-CN"/>
        </w:rPr>
        <w:t>如职称证上无专业，则以毕业证上的专业为准。</w:t>
      </w:r>
    </w:p>
  </w:footnote>
  <w:footnote w:id="4">
    <w:p w14:paraId="1588D511">
      <w:pPr>
        <w:pStyle w:val="8"/>
        <w:snapToGrid w:val="0"/>
      </w:pPr>
      <w:r>
        <w:rPr>
          <w:rStyle w:val="11"/>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5">
    <w:p w14:paraId="3721A25E">
      <w:pPr>
        <w:pStyle w:val="8"/>
        <w:jc w:val="both"/>
        <w:rPr>
          <w:rFonts w:ascii="宋体" w:hAnsi="宋体"/>
        </w:rPr>
      </w:pPr>
      <w:r>
        <w:rPr>
          <w:rStyle w:val="11"/>
        </w:rPr>
        <w:footnoteRef/>
      </w:r>
      <w:r>
        <w:rPr>
          <w:rFonts w:hint="eastAsia" w:ascii="楷体" w:hAnsi="楷体" w:eastAsia="楷体"/>
        </w:rPr>
        <w:t>各评分因素（</w:t>
      </w:r>
      <w:r>
        <w:rPr>
          <w:rFonts w:hint="eastAsia" w:ascii="楷体" w:hAnsi="楷体" w:eastAsia="楷体"/>
          <w:lang w:val="en-US" w:eastAsia="zh-CN"/>
        </w:rPr>
        <w:t>评标价和</w:t>
      </w:r>
      <w:r>
        <w:rPr>
          <w:rFonts w:hint="eastAsia" w:ascii="楷体" w:hAnsi="楷体" w:eastAsia="楷体"/>
        </w:rPr>
        <w:t>履约信誉</w:t>
      </w:r>
      <w:r>
        <w:rPr>
          <w:rFonts w:hint="eastAsia" w:ascii="楷体" w:hAnsi="楷体" w:eastAsia="楷体"/>
          <w:lang w:val="en-US" w:eastAsia="zh-CN"/>
        </w:rPr>
        <w:t>及机电设备</w:t>
      </w:r>
      <w:r>
        <w:rPr>
          <w:rFonts w:hint="eastAsia" w:ascii="楷体" w:hAnsi="楷体" w:eastAsia="楷体"/>
        </w:rPr>
        <w:t>评分项除外）得分一般不得低于其权重分值的60%，且各评分因素得分应以评标委员会各成员的打分平均值确定，该平均值以去掉一个最高分和一个最低分后计算。评标委员会成员对某一项评分因素的评分低于权重分值60%的，应在评标报告中作出说明</w:t>
      </w:r>
      <w:r>
        <w:rPr>
          <w:rFonts w:hint="eastAsia" w:ascii="楷体" w:hAnsi="楷体" w:eastAsia="楷体"/>
          <w:szCs w:val="22"/>
        </w:rPr>
        <w:t>。</w:t>
      </w:r>
      <w:r>
        <w:rPr>
          <w:rFonts w:hint="eastAsia" w:ascii="楷体" w:hAnsi="楷体" w:eastAsia="楷体"/>
        </w:rPr>
        <w:t>所有评分分值均保留至小数点后两位，小数点后第三位四舍五入。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0E1AFA"/>
    <w:rsid w:val="00150308"/>
    <w:rsid w:val="0016649D"/>
    <w:rsid w:val="001B7C70"/>
    <w:rsid w:val="001C5264"/>
    <w:rsid w:val="001F4B00"/>
    <w:rsid w:val="001F767C"/>
    <w:rsid w:val="00250688"/>
    <w:rsid w:val="002B6B2C"/>
    <w:rsid w:val="00316C16"/>
    <w:rsid w:val="003171A3"/>
    <w:rsid w:val="0037455E"/>
    <w:rsid w:val="003C3184"/>
    <w:rsid w:val="003E1571"/>
    <w:rsid w:val="004E2E2F"/>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9F0C7F"/>
    <w:rsid w:val="00A73217"/>
    <w:rsid w:val="00AB197A"/>
    <w:rsid w:val="00AB5898"/>
    <w:rsid w:val="00B244F9"/>
    <w:rsid w:val="00B77B1E"/>
    <w:rsid w:val="00BB6447"/>
    <w:rsid w:val="00BE0105"/>
    <w:rsid w:val="00BF0284"/>
    <w:rsid w:val="00C15CD1"/>
    <w:rsid w:val="00C40C09"/>
    <w:rsid w:val="00C57909"/>
    <w:rsid w:val="00C95EF0"/>
    <w:rsid w:val="00CA2765"/>
    <w:rsid w:val="00CA3A18"/>
    <w:rsid w:val="00CC109B"/>
    <w:rsid w:val="00D43D36"/>
    <w:rsid w:val="00D57E3A"/>
    <w:rsid w:val="00DC39DC"/>
    <w:rsid w:val="00DE1914"/>
    <w:rsid w:val="00DF2D8E"/>
    <w:rsid w:val="00E16787"/>
    <w:rsid w:val="00E60763"/>
    <w:rsid w:val="00E7408A"/>
    <w:rsid w:val="00EA5385"/>
    <w:rsid w:val="00EB5C23"/>
    <w:rsid w:val="00F641C5"/>
    <w:rsid w:val="00F76FA4"/>
    <w:rsid w:val="00FC5FAE"/>
    <w:rsid w:val="00FD038E"/>
    <w:rsid w:val="00FD4A0A"/>
    <w:rsid w:val="00FF554C"/>
    <w:rsid w:val="09F32E2F"/>
    <w:rsid w:val="43AA0EDA"/>
    <w:rsid w:val="4F603F39"/>
    <w:rsid w:val="6515217F"/>
    <w:rsid w:val="658C47BB"/>
    <w:rsid w:val="6623322B"/>
    <w:rsid w:val="6D557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Indent"/>
    <w:basedOn w:val="1"/>
    <w:next w:val="4"/>
    <w:link w:val="26"/>
    <w:qFormat/>
    <w:uiPriority w:val="99"/>
    <w:pPr>
      <w:ind w:firstLine="1120" w:firstLineChars="400"/>
    </w:pPr>
    <w:rPr>
      <w:rFonts w:ascii="Times New Roman" w:hAnsi="Times New Roman" w:eastAsia="宋体" w:cs="Times New Roman"/>
      <w:sz w:val="28"/>
      <w:szCs w:val="24"/>
    </w:rPr>
  </w:style>
  <w:style w:type="paragraph" w:styleId="4">
    <w:name w:val="Body Text Indent 2"/>
    <w:basedOn w:val="1"/>
    <w:link w:val="27"/>
    <w:semiHidden/>
    <w:unhideWhenUsed/>
    <w:qFormat/>
    <w:uiPriority w:val="99"/>
    <w:pPr>
      <w:spacing w:after="120" w:line="480" w:lineRule="auto"/>
      <w:ind w:left="420" w:leftChars="200"/>
    </w:pPr>
  </w:style>
  <w:style w:type="paragraph" w:styleId="5">
    <w:name w:val="Plain Text"/>
    <w:basedOn w:val="1"/>
    <w:link w:val="28"/>
    <w:qFormat/>
    <w:uiPriority w:val="99"/>
    <w:rPr>
      <w:rFonts w:ascii="宋体" w:hAnsi="Courier New" w:eastAsia="宋体" w:cs="Times New Roman"/>
      <w:szCs w:val="21"/>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autoRedefine/>
    <w:unhideWhenUsed/>
    <w:qFormat/>
    <w:uiPriority w:val="0"/>
    <w:pPr>
      <w:snapToGrid w:val="0"/>
      <w:jc w:val="left"/>
    </w:pPr>
    <w:rPr>
      <w:rFonts w:ascii="Times New Roman" w:hAnsi="Times New Roman" w:eastAsia="宋体" w:cs="Times New Roman"/>
      <w:kern w:val="0"/>
      <w:sz w:val="18"/>
      <w:szCs w:val="18"/>
    </w:rPr>
  </w:style>
  <w:style w:type="character" w:styleId="11">
    <w:name w:val="footnote reference"/>
    <w:autoRedefine/>
    <w:qFormat/>
    <w:uiPriority w:val="0"/>
    <w:rPr>
      <w:vertAlign w:val="superscript"/>
    </w:rPr>
  </w:style>
  <w:style w:type="character" w:customStyle="1" w:styleId="12">
    <w:name w:val="其他_"/>
    <w:link w:val="13"/>
    <w:qFormat/>
    <w:uiPriority w:val="0"/>
    <w:rPr>
      <w:rFonts w:ascii="宋体" w:hAnsi="宋体" w:cs="宋体"/>
      <w:shd w:val="clear" w:color="auto" w:fill="FFFFFF"/>
      <w:lang w:val="zh-CN" w:bidi="zh-CN"/>
    </w:rPr>
  </w:style>
  <w:style w:type="paragraph" w:customStyle="1" w:styleId="13">
    <w:name w:val="其他"/>
    <w:basedOn w:val="1"/>
    <w:link w:val="12"/>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4">
    <w:name w:val="脚注文本 字符"/>
    <w:basedOn w:val="10"/>
    <w:link w:val="8"/>
    <w:qFormat/>
    <w:uiPriority w:val="0"/>
    <w:rPr>
      <w:rFonts w:ascii="Times New Roman" w:hAnsi="Times New Roman" w:eastAsia="宋体" w:cs="Times New Roman"/>
      <w:kern w:val="0"/>
      <w:sz w:val="18"/>
      <w:szCs w:val="18"/>
    </w:rPr>
  </w:style>
  <w:style w:type="character" w:customStyle="1" w:styleId="15">
    <w:name w:val="正文文本 (2)_"/>
    <w:link w:val="16"/>
    <w:autoRedefine/>
    <w:qFormat/>
    <w:uiPriority w:val="0"/>
    <w:rPr>
      <w:rFonts w:ascii="宋体" w:hAnsi="宋体" w:cs="宋体"/>
      <w:sz w:val="22"/>
      <w:shd w:val="clear" w:color="auto" w:fill="FFFFFF"/>
    </w:rPr>
  </w:style>
  <w:style w:type="paragraph" w:customStyle="1" w:styleId="16">
    <w:name w:val="正文文本 (2)"/>
    <w:basedOn w:val="1"/>
    <w:link w:val="15"/>
    <w:autoRedefine/>
    <w:qFormat/>
    <w:uiPriority w:val="0"/>
    <w:pPr>
      <w:shd w:val="clear" w:color="auto" w:fill="FFFFFF"/>
      <w:spacing w:before="300" w:line="439" w:lineRule="exact"/>
      <w:jc w:val="distribute"/>
    </w:pPr>
    <w:rPr>
      <w:rFonts w:ascii="宋体" w:hAnsi="宋体" w:cs="宋体"/>
      <w:sz w:val="22"/>
    </w:rPr>
  </w:style>
  <w:style w:type="paragraph" w:styleId="17">
    <w:name w:val="List Paragraph"/>
    <w:basedOn w:val="1"/>
    <w:qFormat/>
    <w:uiPriority w:val="34"/>
    <w:pPr>
      <w:ind w:firstLine="420" w:firstLineChars="200"/>
    </w:pPr>
    <w:rPr>
      <w:rFonts w:ascii="Times New Roman" w:hAnsi="Times New Roman" w:eastAsia="宋体" w:cs="Times New Roman"/>
    </w:rPr>
  </w:style>
  <w:style w:type="character" w:customStyle="1" w:styleId="18">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9">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0">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1">
    <w:name w:val="页眉 字符"/>
    <w:basedOn w:val="10"/>
    <w:link w:val="7"/>
    <w:qFormat/>
    <w:uiPriority w:val="99"/>
    <w:rPr>
      <w:sz w:val="18"/>
      <w:szCs w:val="18"/>
    </w:rPr>
  </w:style>
  <w:style w:type="character" w:customStyle="1" w:styleId="22">
    <w:name w:val="页脚 字符"/>
    <w:basedOn w:val="10"/>
    <w:link w:val="6"/>
    <w:autoRedefine/>
    <w:qFormat/>
    <w:uiPriority w:val="99"/>
    <w:rPr>
      <w:sz w:val="18"/>
      <w:szCs w:val="18"/>
    </w:rPr>
  </w:style>
  <w:style w:type="paragraph" w:customStyle="1" w:styleId="23">
    <w:name w:val="MSG_EN_FONT_STYLE_NAME_TEMPLATE_ROLE_NUMBER MSG_EN_FONT_STYLE_NAME_BY_ROLE_TEXT 131"/>
    <w:basedOn w:val="1"/>
    <w:link w:val="29"/>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4">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5">
    <w:name w:val="MSG_EN_FONT_STYLE_NAME_TEMPLATE_ROLE_NUMBER MSG_EN_FONT_STYLE_NAME_BY_ROLE_TEXT 5"/>
    <w:basedOn w:val="1"/>
    <w:link w:val="30"/>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6">
    <w:name w:val="正文文本缩进 字符"/>
    <w:basedOn w:val="10"/>
    <w:link w:val="3"/>
    <w:qFormat/>
    <w:uiPriority w:val="99"/>
    <w:rPr>
      <w:rFonts w:ascii="Times New Roman" w:hAnsi="Times New Roman" w:eastAsia="宋体" w:cs="Times New Roman"/>
      <w:kern w:val="2"/>
      <w:sz w:val="28"/>
      <w:szCs w:val="24"/>
    </w:rPr>
  </w:style>
  <w:style w:type="character" w:customStyle="1" w:styleId="27">
    <w:name w:val="正文文本缩进 2 字符"/>
    <w:basedOn w:val="10"/>
    <w:link w:val="4"/>
    <w:semiHidden/>
    <w:qFormat/>
    <w:uiPriority w:val="99"/>
    <w:rPr>
      <w:kern w:val="2"/>
      <w:sz w:val="21"/>
      <w:szCs w:val="22"/>
    </w:rPr>
  </w:style>
  <w:style w:type="character" w:customStyle="1" w:styleId="28">
    <w:name w:val="纯文本 字符"/>
    <w:basedOn w:val="10"/>
    <w:link w:val="5"/>
    <w:qFormat/>
    <w:uiPriority w:val="99"/>
    <w:rPr>
      <w:rFonts w:ascii="宋体" w:hAnsi="Courier New" w:eastAsia="宋体" w:cs="Times New Roman"/>
      <w:kern w:val="2"/>
      <w:sz w:val="21"/>
      <w:szCs w:val="21"/>
    </w:rPr>
  </w:style>
  <w:style w:type="character" w:customStyle="1" w:styleId="29">
    <w:name w:val="MSG_EN_FONT_STYLE_NAME_TEMPLATE_ROLE_NUMBER MSG_EN_FONT_STYLE_NAME_BY_ROLE_TEXT 13_"/>
    <w:link w:val="23"/>
    <w:qFormat/>
    <w:uiPriority w:val="0"/>
    <w:rPr>
      <w:rFonts w:ascii="PMingLiU" w:hAnsi="PMingLiU" w:eastAsia="PMingLiU" w:cs="PMingLiU"/>
      <w:shd w:val="clear" w:color="auto" w:fill="FFFFFF"/>
    </w:rPr>
  </w:style>
  <w:style w:type="character" w:customStyle="1" w:styleId="30">
    <w:name w:val="MSG_EN_FONT_STYLE_NAME_TEMPLATE_ROLE_NUMBER MSG_EN_FONT_STYLE_NAME_BY_ROLE_TEXT 5_"/>
    <w:link w:val="25"/>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4475</Words>
  <Characters>4775</Characters>
  <Lines>251</Lines>
  <Paragraphs>278</Paragraphs>
  <TotalTime>1</TotalTime>
  <ScaleCrop>false</ScaleCrop>
  <LinksUpToDate>false</LinksUpToDate>
  <CharactersWithSpaces>4808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2025-09-19T01:50:35Z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