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0987C">
      <w:pPr>
        <w:jc w:val="center"/>
        <w:rPr>
          <w:rFonts w:hint="eastAsia" w:ascii="宋体" w:hAnsi="宋体" w:eastAsia="宋体" w:cs="宋体"/>
          <w:b/>
          <w:sz w:val="28"/>
          <w:szCs w:val="28"/>
        </w:rPr>
      </w:pPr>
      <w:r>
        <w:rPr>
          <w:rFonts w:hint="eastAsia" w:ascii="宋体" w:hAnsi="宋体" w:eastAsia="宋体" w:cs="宋体"/>
          <w:b/>
          <w:sz w:val="28"/>
          <w:szCs w:val="28"/>
          <w:lang w:eastAsia="zh-CN"/>
        </w:rPr>
        <w:t>吉林省普通干线公路交通情况调查能力提升及公路干线示范通道主动管控</w:t>
      </w:r>
      <w:r>
        <w:rPr>
          <w:rFonts w:hint="eastAsia" w:ascii="宋体" w:hAnsi="宋体" w:eastAsia="宋体" w:cs="宋体"/>
          <w:b/>
          <w:sz w:val="28"/>
          <w:szCs w:val="28"/>
          <w:lang w:eastAsia="zh-CN"/>
        </w:rPr>
        <w:br w:type="textWrapping"/>
      </w:r>
      <w:r>
        <w:rPr>
          <w:rFonts w:hint="eastAsia" w:ascii="宋体" w:hAnsi="宋体" w:eastAsia="宋体" w:cs="宋体"/>
          <w:b/>
          <w:sz w:val="28"/>
          <w:szCs w:val="28"/>
          <w:lang w:eastAsia="zh-CN"/>
        </w:rPr>
        <w:t>建设工程勘察设计</w:t>
      </w:r>
    </w:p>
    <w:p w14:paraId="2966BAD2">
      <w:pPr>
        <w:jc w:val="center"/>
        <w:rPr>
          <w:rFonts w:hint="eastAsia" w:ascii="宋体" w:hAnsi="宋体" w:eastAsia="宋体" w:cs="宋体"/>
          <w:b/>
          <w:sz w:val="28"/>
          <w:szCs w:val="28"/>
        </w:rPr>
      </w:pPr>
      <w:r>
        <w:rPr>
          <w:rFonts w:hint="eastAsia" w:ascii="宋体" w:hAnsi="宋体" w:eastAsia="宋体" w:cs="宋体"/>
          <w:b/>
          <w:sz w:val="28"/>
          <w:szCs w:val="28"/>
        </w:rPr>
        <w:t>招标文件公开内容</w:t>
      </w:r>
    </w:p>
    <w:p w14:paraId="6519C1BC">
      <w:pPr>
        <w:keepNext w:val="0"/>
        <w:keepLines w:val="0"/>
        <w:pageBreakBefore w:val="0"/>
        <w:tabs>
          <w:tab w:val="center" w:pos="4819"/>
        </w:tabs>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一、项目概况与招标范围</w:t>
      </w:r>
      <w:r>
        <w:rPr>
          <w:rFonts w:hint="eastAsia" w:ascii="宋体" w:hAnsi="宋体" w:eastAsia="宋体" w:cs="宋体"/>
          <w:b w:val="0"/>
          <w:bCs/>
          <w:sz w:val="21"/>
          <w:szCs w:val="21"/>
        </w:rPr>
        <w:tab/>
      </w:r>
    </w:p>
    <w:p w14:paraId="282A330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详见招标公告</w:t>
      </w:r>
    </w:p>
    <w:p w14:paraId="75F42BF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二、投标人资格要求</w:t>
      </w:r>
    </w:p>
    <w:p w14:paraId="3347AB2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投标人须知前附表（投标人资格要求部分）</w:t>
      </w:r>
    </w:p>
    <w:tbl>
      <w:tblPr>
        <w:tblStyle w:val="6"/>
        <w:tblW w:w="9475" w:type="dxa"/>
        <w:jc w:val="center"/>
        <w:tblLayout w:type="fixed"/>
        <w:tblCellMar>
          <w:top w:w="0" w:type="dxa"/>
          <w:left w:w="28" w:type="dxa"/>
          <w:bottom w:w="0" w:type="dxa"/>
          <w:right w:w="28" w:type="dxa"/>
        </w:tblCellMar>
      </w:tblPr>
      <w:tblGrid>
        <w:gridCol w:w="953"/>
        <w:gridCol w:w="2006"/>
        <w:gridCol w:w="6516"/>
      </w:tblGrid>
      <w:tr w14:paraId="6A27579C">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F7EAE5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条款号</w:t>
            </w:r>
          </w:p>
        </w:tc>
        <w:tc>
          <w:tcPr>
            <w:tcW w:w="2006" w:type="dxa"/>
            <w:tcBorders>
              <w:top w:val="single" w:color="000000" w:sz="4" w:space="0"/>
              <w:left w:val="single" w:color="000000" w:sz="4" w:space="0"/>
              <w:bottom w:val="single" w:color="000000" w:sz="4" w:space="0"/>
              <w:right w:val="single" w:color="000000" w:sz="4" w:space="0"/>
            </w:tcBorders>
            <w:vAlign w:val="center"/>
          </w:tcPr>
          <w:p w14:paraId="19F34D5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条款名称</w:t>
            </w:r>
          </w:p>
        </w:tc>
        <w:tc>
          <w:tcPr>
            <w:tcW w:w="6516" w:type="dxa"/>
            <w:tcBorders>
              <w:top w:val="single" w:color="000000" w:sz="4" w:space="0"/>
              <w:left w:val="single" w:color="000000" w:sz="4" w:space="0"/>
              <w:bottom w:val="single" w:color="000000" w:sz="4" w:space="0"/>
              <w:right w:val="single" w:color="auto" w:sz="12" w:space="0"/>
            </w:tcBorders>
            <w:vAlign w:val="center"/>
          </w:tcPr>
          <w:p w14:paraId="25EC027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编列内容</w:t>
            </w:r>
          </w:p>
        </w:tc>
      </w:tr>
      <w:tr w14:paraId="6D122821">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0258E759">
            <w:pPr>
              <w:keepLines w:val="0"/>
              <w:pageBreakBefore w:val="0"/>
              <w:kinsoku/>
              <w:wordWrap/>
              <w:overflowPunct/>
              <w:topLinePunct w:val="0"/>
              <w:autoSpaceDE/>
              <w:autoSpaceDN/>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1ED87286">
            <w:pPr>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投标人资质条件、</w:t>
            </w:r>
          </w:p>
          <w:p w14:paraId="405D357A">
            <w:pPr>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320C8FAF">
            <w:pPr>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资质条件：见附录1</w:t>
            </w:r>
          </w:p>
          <w:p w14:paraId="5601C9A2">
            <w:pPr>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业绩要求：见附录2</w:t>
            </w:r>
          </w:p>
          <w:p w14:paraId="7918571B">
            <w:pPr>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信誉要求：见附录3</w:t>
            </w:r>
          </w:p>
          <w:p w14:paraId="72BC8598">
            <w:pPr>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项目负责人资格：见附录4</w:t>
            </w:r>
          </w:p>
        </w:tc>
      </w:tr>
      <w:tr w14:paraId="73D8A1C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6C9A73F8">
            <w:pPr>
              <w:keepLines w:val="0"/>
              <w:pageBreakBefore w:val="0"/>
              <w:kinsoku/>
              <w:wordWrap/>
              <w:overflowPunct/>
              <w:topLinePunct w:val="0"/>
              <w:autoSpaceDE/>
              <w:autoSpaceDN/>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7C5FE634">
            <w:pPr>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55278311">
            <w:pPr>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fldChar w:fldCharType="begin"/>
            </w:r>
            <w:r>
              <w:rPr>
                <w:rFonts w:hint="eastAsia" w:ascii="宋体" w:hAnsi="宋体" w:eastAsia="宋体" w:cs="宋体"/>
                <w:color w:val="auto"/>
                <w:kern w:val="0"/>
                <w:sz w:val="21"/>
                <w:szCs w:val="21"/>
                <w:lang w:val="zh-CN"/>
              </w:rPr>
              <w:instrText xml:space="preserve">eq \o\ac(</w:instrText>
            </w:r>
            <w:r>
              <w:rPr>
                <w:rFonts w:hint="eastAsia" w:ascii="宋体" w:hAnsi="宋体" w:eastAsia="宋体" w:cs="宋体"/>
                <w:color w:val="auto"/>
                <w:kern w:val="0"/>
                <w:position w:val="-4"/>
                <w:sz w:val="31"/>
                <w:szCs w:val="21"/>
                <w:lang w:val="zh-CN"/>
              </w:rPr>
              <w:instrText xml:space="preserve">□</w:instrText>
            </w:r>
            <w:r>
              <w:rPr>
                <w:rFonts w:hint="eastAsia" w:ascii="宋体" w:hAnsi="宋体" w:eastAsia="宋体" w:cs="宋体"/>
                <w:color w:val="auto"/>
                <w:kern w:val="0"/>
                <w:position w:val="0"/>
                <w:sz w:val="21"/>
                <w:szCs w:val="21"/>
                <w:lang w:val="zh-CN"/>
              </w:rPr>
              <w:instrText xml:space="preserve">,√)</w:instrText>
            </w:r>
            <w:r>
              <w:rPr>
                <w:rFonts w:hint="eastAsia" w:ascii="宋体" w:hAnsi="宋体" w:eastAsia="宋体" w:cs="宋体"/>
                <w:color w:val="auto"/>
                <w:kern w:val="0"/>
                <w:sz w:val="21"/>
                <w:szCs w:val="21"/>
                <w:lang w:val="zh-CN"/>
              </w:rPr>
              <w:fldChar w:fldCharType="end"/>
            </w:r>
            <w:r>
              <w:rPr>
                <w:rFonts w:hint="eastAsia" w:ascii="宋体" w:hAnsi="宋体" w:eastAsia="宋体" w:cs="宋体"/>
                <w:color w:val="auto"/>
                <w:sz w:val="21"/>
                <w:szCs w:val="21"/>
              </w:rPr>
              <w:t>不接受</w:t>
            </w:r>
          </w:p>
          <w:p w14:paraId="21D38A21">
            <w:pPr>
              <w:keepLines w:val="0"/>
              <w:pageBreakBefore w:val="0"/>
              <w:numPr>
                <w:ilvl w:val="0"/>
                <w:numId w:val="0"/>
              </w:numPr>
              <w:tabs>
                <w:tab w:val="left" w:pos="54"/>
                <w:tab w:val="left" w:pos="618"/>
              </w:tabs>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接受，应满足下列要求：</w:t>
            </w:r>
            <w:r>
              <w:rPr>
                <w:rFonts w:hint="eastAsia" w:ascii="宋体" w:hAnsi="宋体" w:eastAsia="宋体" w:cs="宋体"/>
                <w:color w:val="auto"/>
                <w:sz w:val="21"/>
                <w:szCs w:val="21"/>
                <w:lang w:val="en-US" w:eastAsia="zh-CN"/>
              </w:rPr>
              <w:t>/</w:t>
            </w:r>
          </w:p>
        </w:tc>
      </w:tr>
      <w:tr w14:paraId="20FDF494">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8C35C15">
            <w:pPr>
              <w:keepLines w:val="0"/>
              <w:pageBreakBefore w:val="0"/>
              <w:kinsoku/>
              <w:wordWrap/>
              <w:overflowPunct/>
              <w:topLinePunct w:val="0"/>
              <w:autoSpaceDE/>
              <w:autoSpaceDN/>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1.4.3</w:t>
            </w:r>
          </w:p>
        </w:tc>
        <w:tc>
          <w:tcPr>
            <w:tcW w:w="2006" w:type="dxa"/>
            <w:tcBorders>
              <w:top w:val="single" w:color="000000" w:sz="4" w:space="0"/>
              <w:left w:val="single" w:color="000000" w:sz="4" w:space="0"/>
              <w:bottom w:val="single" w:color="000000" w:sz="4" w:space="0"/>
              <w:right w:val="single" w:color="000000" w:sz="4" w:space="0"/>
            </w:tcBorders>
            <w:vAlign w:val="center"/>
          </w:tcPr>
          <w:p w14:paraId="299D9E16">
            <w:pPr>
              <w:pStyle w:val="10"/>
              <w:keepNext/>
              <w:keepLines w:val="0"/>
              <w:pageBreakBefore w:val="0"/>
              <w:shd w:val="clear" w:color="auto" w:fill="auto"/>
              <w:kinsoku/>
              <w:wordWrap/>
              <w:overflowPunct/>
              <w:topLinePunct w:val="0"/>
              <w:autoSpaceDE/>
              <w:autoSpaceDN/>
              <w:bidi w:val="0"/>
              <w:spacing w:line="360" w:lineRule="exact"/>
              <w:ind w:firstLine="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投标人不得存在的</w:t>
            </w:r>
          </w:p>
          <w:p w14:paraId="4BA93F99">
            <w:pPr>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3A210D09">
            <w:pPr>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color w:val="auto"/>
                <w:kern w:val="0"/>
                <w:sz w:val="21"/>
                <w:szCs w:val="21"/>
              </w:rPr>
              <w:t>/</w:t>
            </w:r>
          </w:p>
        </w:tc>
      </w:tr>
      <w:tr w14:paraId="6DFFA35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99C913B">
            <w:pPr>
              <w:keepLines w:val="0"/>
              <w:pageBreakBefore w:val="0"/>
              <w:kinsoku/>
              <w:wordWrap/>
              <w:overflowPunct/>
              <w:topLinePunct w:val="0"/>
              <w:autoSpaceDE/>
              <w:autoSpaceDN/>
              <w:bidi w:val="0"/>
              <w:adjustRightInd w:val="0"/>
              <w:snapToGrid w:val="0"/>
              <w:spacing w:before="100" w:beforeAutospacing="1" w:after="100" w:afterAutospacing="1" w:line="360" w:lineRule="exact"/>
              <w:jc w:val="center"/>
              <w:textAlignment w:val="auto"/>
              <w:rPr>
                <w:rFonts w:hint="eastAsia" w:ascii="宋体" w:hAnsi="宋体" w:eastAsia="宋体" w:cs="宋体"/>
                <w:b w:val="0"/>
                <w:bCs/>
                <w:sz w:val="21"/>
                <w:szCs w:val="21"/>
              </w:rPr>
            </w:pPr>
            <w:r>
              <w:rPr>
                <w:rFonts w:hint="eastAsia" w:ascii="宋体" w:hAnsi="宋体" w:eastAsia="宋体" w:cs="宋体"/>
                <w:color w:val="auto"/>
                <w:sz w:val="21"/>
                <w:szCs w:val="21"/>
              </w:rPr>
              <w:t>1.4.4</w:t>
            </w:r>
          </w:p>
        </w:tc>
        <w:tc>
          <w:tcPr>
            <w:tcW w:w="2006" w:type="dxa"/>
            <w:tcBorders>
              <w:top w:val="single" w:color="000000" w:sz="4" w:space="0"/>
              <w:left w:val="single" w:color="000000" w:sz="4" w:space="0"/>
              <w:bottom w:val="single" w:color="000000" w:sz="4" w:space="0"/>
              <w:right w:val="single" w:color="000000" w:sz="4" w:space="0"/>
            </w:tcBorders>
            <w:vAlign w:val="center"/>
          </w:tcPr>
          <w:p w14:paraId="37B4B2DE">
            <w:pPr>
              <w:pStyle w:val="10"/>
              <w:keepNext/>
              <w:keepLines w:val="0"/>
              <w:pageBreakBefore w:val="0"/>
              <w:shd w:val="clear" w:color="auto" w:fill="auto"/>
              <w:kinsoku/>
              <w:wordWrap/>
              <w:overflowPunct/>
              <w:topLinePunct w:val="0"/>
              <w:autoSpaceDE/>
              <w:autoSpaceDN/>
              <w:bidi w:val="0"/>
              <w:spacing w:line="360" w:lineRule="exact"/>
              <w:ind w:firstLine="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投标人不得存在的</w:t>
            </w:r>
          </w:p>
          <w:p w14:paraId="027D5D8D">
            <w:pPr>
              <w:pStyle w:val="10"/>
              <w:keepNext/>
              <w:keepLines w:val="0"/>
              <w:pageBreakBefore w:val="0"/>
              <w:shd w:val="clear" w:color="auto" w:fill="auto"/>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val="0"/>
                <w:bCs/>
                <w:sz w:val="21"/>
                <w:szCs w:val="21"/>
                <w:lang w:val="en-US"/>
              </w:rPr>
            </w:pPr>
            <w:r>
              <w:rPr>
                <w:rFonts w:hint="eastAsia" w:ascii="宋体" w:hAnsi="宋体" w:eastAsia="宋体" w:cs="宋体"/>
                <w:color w:val="auto"/>
                <w:kern w:val="2"/>
                <w:sz w:val="21"/>
                <w:szCs w:val="21"/>
                <w:lang w:val="en-US"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vAlign w:val="center"/>
          </w:tcPr>
          <w:p w14:paraId="58206641">
            <w:pPr>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color w:val="auto"/>
                <w:kern w:val="0"/>
                <w:sz w:val="21"/>
                <w:szCs w:val="21"/>
              </w:rPr>
              <w:t>/</w:t>
            </w:r>
          </w:p>
        </w:tc>
      </w:tr>
    </w:tbl>
    <w:p w14:paraId="7D4EF1C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bookmarkStart w:id="0" w:name="_Toc152042310"/>
      <w:bookmarkStart w:id="1" w:name="_Toc144974502"/>
      <w:bookmarkStart w:id="2" w:name="_Toc502741808"/>
      <w:bookmarkStart w:id="3" w:name="_Toc152045534"/>
      <w:bookmarkStart w:id="4" w:name="_Toc179632551"/>
      <w:bookmarkStart w:id="5" w:name="_Toc109385483"/>
      <w:r>
        <w:rPr>
          <w:rFonts w:hint="eastAsia" w:ascii="宋体" w:hAnsi="宋体" w:eastAsia="宋体" w:cs="宋体"/>
          <w:b w:val="0"/>
          <w:bCs/>
          <w:sz w:val="21"/>
          <w:szCs w:val="21"/>
        </w:rPr>
        <w:t>1.4投标人资格要求（适用于未进行资格预审的）</w:t>
      </w:r>
      <w:bookmarkEnd w:id="0"/>
      <w:bookmarkEnd w:id="1"/>
      <w:bookmarkEnd w:id="2"/>
      <w:bookmarkEnd w:id="3"/>
      <w:bookmarkEnd w:id="4"/>
    </w:p>
    <w:p w14:paraId="589DDBC5">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1.4.1投标人应具备承担本标段勘察设计的资质条件、能力和信誉。</w:t>
      </w:r>
    </w:p>
    <w:p w14:paraId="3B05003D">
      <w:pPr>
        <w:keepNext w:val="0"/>
        <w:keepLines w:val="0"/>
        <w:pageBreakBefore w:val="0"/>
        <w:numPr>
          <w:ilvl w:val="0"/>
          <w:numId w:val="1"/>
        </w:numPr>
        <w:tabs>
          <w:tab w:val="left" w:pos="993"/>
        </w:tabs>
        <w:kinsoku/>
        <w:wordWrap/>
        <w:overflowPunct/>
        <w:topLinePunct w:val="0"/>
        <w:autoSpaceDE/>
        <w:autoSpaceDN/>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资质要求：见投标人须知前附表；</w:t>
      </w:r>
    </w:p>
    <w:p w14:paraId="49E6FEAC">
      <w:pPr>
        <w:keepNext w:val="0"/>
        <w:keepLines w:val="0"/>
        <w:pageBreakBefore w:val="0"/>
        <w:numPr>
          <w:ilvl w:val="0"/>
          <w:numId w:val="1"/>
        </w:numPr>
        <w:tabs>
          <w:tab w:val="left" w:pos="993"/>
        </w:tabs>
        <w:kinsoku/>
        <w:wordWrap/>
        <w:overflowPunct/>
        <w:topLinePunct w:val="0"/>
        <w:autoSpaceDE/>
        <w:autoSpaceDN/>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业绩要求：见投标人须知前附表；</w:t>
      </w:r>
    </w:p>
    <w:p w14:paraId="3DC4F682">
      <w:pPr>
        <w:keepNext w:val="0"/>
        <w:keepLines w:val="0"/>
        <w:pageBreakBefore w:val="0"/>
        <w:numPr>
          <w:ilvl w:val="0"/>
          <w:numId w:val="1"/>
        </w:numPr>
        <w:tabs>
          <w:tab w:val="left" w:pos="993"/>
        </w:tabs>
        <w:kinsoku/>
        <w:wordWrap/>
        <w:overflowPunct/>
        <w:topLinePunct w:val="0"/>
        <w:autoSpaceDE/>
        <w:autoSpaceDN/>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信誉要求：见投标人须知前附表；</w:t>
      </w:r>
    </w:p>
    <w:p w14:paraId="4831B3E4">
      <w:pPr>
        <w:keepNext w:val="0"/>
        <w:keepLines w:val="0"/>
        <w:pageBreakBefore w:val="0"/>
        <w:numPr>
          <w:ilvl w:val="0"/>
          <w:numId w:val="1"/>
        </w:numPr>
        <w:tabs>
          <w:tab w:val="left" w:pos="993"/>
        </w:tabs>
        <w:kinsoku/>
        <w:wordWrap/>
        <w:overflowPunct/>
        <w:topLinePunct w:val="0"/>
        <w:autoSpaceDE/>
        <w:autoSpaceDN/>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项目负责人资格：见投标人须知前附表；</w:t>
      </w:r>
    </w:p>
    <w:p w14:paraId="35CF036D">
      <w:pPr>
        <w:keepNext w:val="0"/>
        <w:keepLines w:val="0"/>
        <w:pageBreakBefore w:val="0"/>
        <w:numPr>
          <w:ilvl w:val="0"/>
          <w:numId w:val="1"/>
        </w:numPr>
        <w:tabs>
          <w:tab w:val="left" w:pos="993"/>
        </w:tabs>
        <w:kinsoku/>
        <w:wordWrap/>
        <w:overflowPunct/>
        <w:topLinePunct w:val="0"/>
        <w:autoSpaceDE/>
        <w:autoSpaceDN/>
        <w:bidi w:val="0"/>
        <w:spacing w:line="360" w:lineRule="exact"/>
        <w:ind w:left="426" w:hanging="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其他要求：见投标人须知前附表。</w:t>
      </w:r>
    </w:p>
    <w:p w14:paraId="61C33F04">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需要提交的相关证明材料见本章第3.5款的规定。</w:t>
      </w:r>
    </w:p>
    <w:p w14:paraId="1A55752A">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1.4.2投标人须知前附表规定接受联合体投标的，联合体除应符合本章第1.4.1项和投标人须知前附表的要求外，还应遵守以下规定：</w:t>
      </w:r>
    </w:p>
    <w:p w14:paraId="5B7C97A2">
      <w:pPr>
        <w:keepNext w:val="0"/>
        <w:keepLines w:val="0"/>
        <w:pageBreakBefore w:val="0"/>
        <w:numPr>
          <w:ilvl w:val="0"/>
          <w:numId w:val="2"/>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联合体各方应按招标文件提供的格式签订联合体协议书，明确联合体牵头人和各方权利义务，并承诺就中标项目向招标人承担连带责任；</w:t>
      </w:r>
    </w:p>
    <w:p w14:paraId="55D217B6">
      <w:pPr>
        <w:keepNext w:val="0"/>
        <w:keepLines w:val="0"/>
        <w:pageBreakBefore w:val="0"/>
        <w:numPr>
          <w:ilvl w:val="0"/>
          <w:numId w:val="2"/>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由同一专业的单位组成的联合体，按照资质等级较低的单位确定资质等级；</w:t>
      </w:r>
    </w:p>
    <w:p w14:paraId="77E4969A">
      <w:pPr>
        <w:keepNext w:val="0"/>
        <w:keepLines w:val="0"/>
        <w:pageBreakBefore w:val="0"/>
        <w:numPr>
          <w:ilvl w:val="0"/>
          <w:numId w:val="2"/>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联合体各方不得再以自已名义单独或参加其他联合体在同一标段中投标；</w:t>
      </w:r>
    </w:p>
    <w:p w14:paraId="17728AF5">
      <w:pPr>
        <w:keepNext w:val="0"/>
        <w:keepLines w:val="0"/>
        <w:pageBreakBefore w:val="0"/>
        <w:numPr>
          <w:ilvl w:val="0"/>
          <w:numId w:val="2"/>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204999F8">
      <w:pPr>
        <w:keepNext w:val="0"/>
        <w:keepLines w:val="0"/>
        <w:pageBreakBefore w:val="0"/>
        <w:numPr>
          <w:ilvl w:val="0"/>
          <w:numId w:val="2"/>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尽管委任了联合体牵头人，但联合体各成员在投标、签订合同与履行合同过程中，仍负有连带的和各自的法律责任。</w:t>
      </w:r>
    </w:p>
    <w:p w14:paraId="42A48514">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1.4.3投标人（包括联合体各成员）不得与本标段相关单位存在下列关联情形：</w:t>
      </w:r>
    </w:p>
    <w:p w14:paraId="3C921CC5">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为招标人不具有独立法人资格的附属机构（单位）；</w:t>
      </w:r>
    </w:p>
    <w:p w14:paraId="4C667680">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与招标人存在利害关系且可能影响招标公正性；</w:t>
      </w:r>
    </w:p>
    <w:p w14:paraId="11DCEA8A">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与本标段的其他投标人同为一个单位负责人；</w:t>
      </w:r>
    </w:p>
    <w:p w14:paraId="631E6209">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与本标段的其他投标人存在控股、管理关系；</w:t>
      </w:r>
    </w:p>
    <w:p w14:paraId="1FA3CC10">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为本标段的代建人；</w:t>
      </w:r>
    </w:p>
    <w:p w14:paraId="69D83EA7">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为本标段的招标代理机构；</w:t>
      </w:r>
    </w:p>
    <w:p w14:paraId="27E87964">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与本标段的代建人或招标代理机构同为一个法定代表人；</w:t>
      </w:r>
    </w:p>
    <w:p w14:paraId="1C85BA50">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与本标段的代建人或招标代理机构存在控股或参股关系；</w:t>
      </w:r>
    </w:p>
    <w:p w14:paraId="51493F64">
      <w:pPr>
        <w:keepNext w:val="0"/>
        <w:keepLines w:val="0"/>
        <w:pageBreakBefore w:val="0"/>
        <w:numPr>
          <w:ilvl w:val="0"/>
          <w:numId w:val="3"/>
        </w:numPr>
        <w:tabs>
          <w:tab w:val="left" w:pos="993"/>
          <w:tab w:val="left" w:pos="1276"/>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法律法规或投标人须知前附表规定的其他情形。</w:t>
      </w:r>
    </w:p>
    <w:p w14:paraId="0211BF3E">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1.4.4投标人（包括联合体各成员）不得存在下列不良状况或不良信用记录：</w:t>
      </w:r>
    </w:p>
    <w:p w14:paraId="7DE24DD0">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被省级及以上交通运输主管部门取消招标项目所在地的投标资格且处于有效期内；</w:t>
      </w:r>
    </w:p>
    <w:p w14:paraId="6DD02FC7">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被责令停业，暂扣或吊销执照，或吊销资质证书；</w:t>
      </w:r>
    </w:p>
    <w:p w14:paraId="66C5E8F1">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进入清算程序，或被宣告破产，或其他丧失履约能力的情形；</w:t>
      </w:r>
    </w:p>
    <w:p w14:paraId="518644EF">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在国家企业信用信息公示系统（http://www.gsxt.gov.cn/)中被列入严重违法失信企业名单；</w:t>
      </w:r>
    </w:p>
    <w:p w14:paraId="270F676F">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在“信用中国”网站（http://www.creditchina.gov.cn/)中被列入失信被执行人名单；</w:t>
      </w:r>
    </w:p>
    <w:p w14:paraId="14FFC24D">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投标人或其法定代表人、拟委任的项目负责人在近三年内有行贿犯罪行为的(行贿犯罪行为的认定以检察机关职务犯罪预防部门出具的查询结果为准）；</w:t>
      </w:r>
    </w:p>
    <w:p w14:paraId="32CDC78F">
      <w:pPr>
        <w:keepNext w:val="0"/>
        <w:keepLines w:val="0"/>
        <w:pageBreakBefore w:val="0"/>
        <w:numPr>
          <w:ilvl w:val="0"/>
          <w:numId w:val="4"/>
        </w:numPr>
        <w:tabs>
          <w:tab w:val="left" w:pos="993"/>
        </w:tabs>
        <w:kinsoku/>
        <w:wordWrap/>
        <w:overflowPunct/>
        <w:topLinePunct w:val="0"/>
        <w:autoSpaceDE/>
        <w:autoSpaceDN/>
        <w:bidi w:val="0"/>
        <w:spacing w:line="360" w:lineRule="exact"/>
        <w:ind w:left="0" w:firstLine="42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法律法规或投标人须知前附表规定的其他情形。</w:t>
      </w:r>
    </w:p>
    <w:p w14:paraId="1B6D8CA6">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1.4.5投标人（包括联合体各成员）应进入交通运输部“全国公路建设市场信用信息管理系统（http: //glxy.mot.gov.cn)”中的公路工程设计资质企业名录，且投标人名称和资质与该名录中的相应企业名称和资质完全一致。投标人不满足本项规定条件的，将被否决投标。</w:t>
      </w:r>
      <w:r>
        <w:rPr>
          <w:rStyle w:val="8"/>
          <w:rFonts w:hint="eastAsia" w:ascii="宋体" w:hAnsi="宋体" w:eastAsia="宋体" w:cs="宋体"/>
          <w:b w:val="0"/>
          <w:bCs/>
          <w:sz w:val="21"/>
          <w:szCs w:val="21"/>
        </w:rPr>
        <w:footnoteReference w:id="0"/>
      </w:r>
    </w:p>
    <w:bookmarkEnd w:id="5"/>
    <w:p w14:paraId="558A1491">
      <w:pPr>
        <w:keepNext w:val="0"/>
        <w:keepLines w:val="0"/>
        <w:pageBreakBefore w:val="0"/>
        <w:kinsoku/>
        <w:wordWrap/>
        <w:overflowPunct/>
        <w:topLinePunct w:val="0"/>
        <w:autoSpaceDE/>
        <w:autoSpaceDN/>
        <w:bidi w:val="0"/>
        <w:spacing w:before="100" w:beforeAutospacing="1" w:line="360" w:lineRule="exact"/>
        <w:jc w:val="center"/>
        <w:textAlignment w:val="auto"/>
        <w:outlineLvl w:val="2"/>
        <w:rPr>
          <w:rFonts w:hint="eastAsia" w:ascii="宋体" w:hAnsi="宋体" w:eastAsia="宋体" w:cs="宋体"/>
          <w:b w:val="0"/>
          <w:bCs/>
          <w:sz w:val="21"/>
          <w:szCs w:val="21"/>
        </w:rPr>
      </w:pPr>
      <w:bookmarkStart w:id="6" w:name="_Toc110596237"/>
      <w:bookmarkStart w:id="7" w:name="_Toc346800722"/>
      <w:r>
        <w:rPr>
          <w:rFonts w:hint="eastAsia" w:ascii="宋体" w:hAnsi="宋体" w:eastAsia="宋体" w:cs="宋体"/>
          <w:b w:val="0"/>
          <w:bCs/>
          <w:sz w:val="21"/>
          <w:szCs w:val="21"/>
        </w:rPr>
        <w:t>附录1资格审查条件（资质最低要求）</w:t>
      </w:r>
      <w:bookmarkEnd w:id="6"/>
    </w:p>
    <w:tbl>
      <w:tblPr>
        <w:tblStyle w:val="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356"/>
      </w:tblGrid>
      <w:tr w14:paraId="24A6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5" w:type="dxa"/>
            <w:tcBorders>
              <w:top w:val="single" w:color="auto" w:sz="12" w:space="0"/>
              <w:left w:val="single" w:color="auto" w:sz="12" w:space="0"/>
              <w:right w:val="single" w:color="auto" w:sz="8" w:space="0"/>
            </w:tcBorders>
            <w:vAlign w:val="center"/>
          </w:tcPr>
          <w:p w14:paraId="2D43EE1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标段</w:t>
            </w:r>
          </w:p>
        </w:tc>
        <w:tc>
          <w:tcPr>
            <w:tcW w:w="8356" w:type="dxa"/>
            <w:tcBorders>
              <w:top w:val="single" w:color="auto" w:sz="12" w:space="0"/>
              <w:left w:val="single" w:color="auto" w:sz="8" w:space="0"/>
              <w:right w:val="single" w:color="auto" w:sz="12" w:space="0"/>
            </w:tcBorders>
            <w:vAlign w:val="center"/>
          </w:tcPr>
          <w:p w14:paraId="2211EC6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勘察设计企业资质等级要求</w:t>
            </w:r>
          </w:p>
        </w:tc>
      </w:tr>
      <w:tr w14:paraId="57F4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65" w:type="dxa"/>
            <w:tcBorders>
              <w:left w:val="single" w:color="auto" w:sz="12" w:space="0"/>
              <w:bottom w:val="single" w:color="auto" w:sz="12" w:space="0"/>
              <w:right w:val="single" w:color="auto" w:sz="8" w:space="0"/>
            </w:tcBorders>
            <w:vAlign w:val="center"/>
          </w:tcPr>
          <w:p w14:paraId="144DD09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SJ01</w:t>
            </w:r>
          </w:p>
        </w:tc>
        <w:tc>
          <w:tcPr>
            <w:tcW w:w="8356" w:type="dxa"/>
            <w:tcBorders>
              <w:left w:val="single" w:color="auto" w:sz="8" w:space="0"/>
              <w:bottom w:val="single" w:color="auto" w:sz="12" w:space="0"/>
              <w:right w:val="single" w:color="auto" w:sz="12" w:space="0"/>
            </w:tcBorders>
            <w:vAlign w:val="center"/>
          </w:tcPr>
          <w:p w14:paraId="5B4A999E">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工程设计公路行业（</w:t>
            </w:r>
            <w:r>
              <w:rPr>
                <w:rFonts w:hint="eastAsia" w:ascii="宋体" w:hAnsi="宋体" w:eastAsia="宋体" w:cs="宋体"/>
                <w:b w:val="0"/>
                <w:bCs/>
                <w:sz w:val="21"/>
                <w:szCs w:val="21"/>
                <w:lang w:val="en-US" w:eastAsia="zh-CN"/>
              </w:rPr>
              <w:t>交通工程</w:t>
            </w:r>
            <w:r>
              <w:rPr>
                <w:rFonts w:hint="eastAsia" w:ascii="宋体" w:hAnsi="宋体" w:eastAsia="宋体" w:cs="宋体"/>
                <w:b w:val="0"/>
                <w:bCs/>
                <w:sz w:val="21"/>
                <w:szCs w:val="21"/>
              </w:rPr>
              <w:t>）专业</w:t>
            </w:r>
            <w:r>
              <w:rPr>
                <w:rFonts w:hint="eastAsia" w:ascii="宋体" w:hAnsi="宋体" w:eastAsia="宋体" w:cs="宋体"/>
                <w:b w:val="0"/>
                <w:bCs/>
                <w:sz w:val="21"/>
                <w:szCs w:val="21"/>
                <w:lang w:val="en-US" w:eastAsia="zh-CN"/>
              </w:rPr>
              <w:t>甲</w:t>
            </w:r>
            <w:r>
              <w:rPr>
                <w:rFonts w:hint="eastAsia" w:ascii="宋体" w:hAnsi="宋体" w:eastAsia="宋体" w:cs="宋体"/>
                <w:b w:val="0"/>
                <w:bCs/>
                <w:sz w:val="21"/>
                <w:szCs w:val="21"/>
              </w:rPr>
              <w:t>级资质。</w:t>
            </w:r>
          </w:p>
        </w:tc>
      </w:tr>
    </w:tbl>
    <w:p w14:paraId="4ECBD537">
      <w:pPr>
        <w:keepNext w:val="0"/>
        <w:keepLines w:val="0"/>
        <w:pageBreakBefore w:val="0"/>
        <w:kinsoku/>
        <w:wordWrap/>
        <w:overflowPunct/>
        <w:topLinePunct w:val="0"/>
        <w:autoSpaceDE/>
        <w:autoSpaceDN/>
        <w:bidi w:val="0"/>
        <w:spacing w:before="100" w:beforeAutospacing="1" w:line="360" w:lineRule="exact"/>
        <w:jc w:val="center"/>
        <w:textAlignment w:val="auto"/>
        <w:outlineLvl w:val="2"/>
        <w:rPr>
          <w:rFonts w:hint="eastAsia" w:ascii="宋体" w:hAnsi="宋体" w:eastAsia="宋体" w:cs="宋体"/>
          <w:b w:val="0"/>
          <w:bCs/>
          <w:sz w:val="21"/>
          <w:szCs w:val="21"/>
        </w:rPr>
      </w:pPr>
      <w:bookmarkStart w:id="8" w:name="_Toc110596238"/>
      <w:bookmarkStart w:id="9" w:name="_Toc51622568"/>
      <w:r>
        <w:rPr>
          <w:rFonts w:hint="eastAsia" w:ascii="宋体" w:hAnsi="宋体" w:eastAsia="宋体" w:cs="宋体"/>
          <w:b w:val="0"/>
          <w:bCs/>
          <w:sz w:val="21"/>
          <w:szCs w:val="21"/>
        </w:rPr>
        <w:t>附录2资格审查条件（业绩最低要求）</w:t>
      </w:r>
      <w:bookmarkEnd w:id="8"/>
      <w:bookmarkEnd w:id="9"/>
    </w:p>
    <w:tbl>
      <w:tblPr>
        <w:tblStyle w:val="6"/>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364"/>
      </w:tblGrid>
      <w:tr w14:paraId="72DE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1" w:type="dxa"/>
            <w:tcBorders>
              <w:top w:val="single" w:color="auto" w:sz="12" w:space="0"/>
              <w:left w:val="single" w:color="auto" w:sz="12" w:space="0"/>
              <w:right w:val="single" w:color="auto" w:sz="8" w:space="0"/>
            </w:tcBorders>
            <w:vAlign w:val="center"/>
          </w:tcPr>
          <w:p w14:paraId="7CBF760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标段</w:t>
            </w:r>
          </w:p>
        </w:tc>
        <w:tc>
          <w:tcPr>
            <w:tcW w:w="8364" w:type="dxa"/>
            <w:tcBorders>
              <w:top w:val="single" w:color="auto" w:sz="12" w:space="0"/>
              <w:left w:val="single" w:color="auto" w:sz="8" w:space="0"/>
              <w:right w:val="single" w:color="auto" w:sz="12" w:space="0"/>
            </w:tcBorders>
            <w:vAlign w:val="center"/>
          </w:tcPr>
          <w:p w14:paraId="582086B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业绩要求</w:t>
            </w:r>
          </w:p>
        </w:tc>
      </w:tr>
      <w:tr w14:paraId="7499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1" w:type="dxa"/>
            <w:tcBorders>
              <w:left w:val="single" w:color="auto" w:sz="12" w:space="0"/>
              <w:bottom w:val="single" w:color="auto" w:sz="12" w:space="0"/>
              <w:right w:val="single" w:color="auto" w:sz="8" w:space="0"/>
            </w:tcBorders>
            <w:vAlign w:val="center"/>
          </w:tcPr>
          <w:p w14:paraId="4F5FF01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SJ01</w:t>
            </w:r>
          </w:p>
        </w:tc>
        <w:tc>
          <w:tcPr>
            <w:tcW w:w="8364" w:type="dxa"/>
            <w:tcBorders>
              <w:left w:val="single" w:color="auto" w:sz="8" w:space="0"/>
              <w:bottom w:val="single" w:color="auto" w:sz="12" w:space="0"/>
              <w:right w:val="single" w:color="auto" w:sz="12" w:space="0"/>
            </w:tcBorders>
            <w:vAlign w:val="center"/>
          </w:tcPr>
          <w:p w14:paraId="2E89B962">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2020年1月1日后（以相应的批复时间为准）</w:t>
            </w:r>
            <w:r>
              <w:rPr>
                <w:rFonts w:hint="eastAsia" w:ascii="宋体" w:hAnsi="宋体" w:eastAsia="宋体" w:cs="宋体"/>
                <w:b w:val="0"/>
                <w:bCs/>
                <w:sz w:val="21"/>
                <w:szCs w:val="21"/>
                <w:lang w:val="en-US" w:eastAsia="zh-CN"/>
              </w:rPr>
              <w:t>完成过一项公路机电工程（工程内容至少包含通信系统、监控系统、收费系统中的一项）设计业绩。</w:t>
            </w:r>
          </w:p>
        </w:tc>
      </w:tr>
    </w:tbl>
    <w:p w14:paraId="466B8668">
      <w:pPr>
        <w:keepNext w:val="0"/>
        <w:keepLines w:val="0"/>
        <w:pageBreakBefore w:val="0"/>
        <w:kinsoku/>
        <w:wordWrap/>
        <w:overflowPunct/>
        <w:topLinePunct w:val="0"/>
        <w:autoSpaceDE/>
        <w:autoSpaceDN/>
        <w:bidi w:val="0"/>
        <w:spacing w:before="100" w:beforeAutospacing="1" w:line="360" w:lineRule="exact"/>
        <w:jc w:val="center"/>
        <w:textAlignment w:val="auto"/>
        <w:outlineLvl w:val="2"/>
        <w:rPr>
          <w:rFonts w:hint="eastAsia" w:ascii="宋体" w:hAnsi="宋体" w:eastAsia="宋体" w:cs="宋体"/>
          <w:b w:val="0"/>
          <w:bCs/>
          <w:sz w:val="21"/>
          <w:szCs w:val="21"/>
        </w:rPr>
      </w:pPr>
      <w:bookmarkStart w:id="10" w:name="_Toc110596239"/>
      <w:bookmarkStart w:id="11" w:name="_Toc51622569"/>
      <w:r>
        <w:rPr>
          <w:rFonts w:hint="eastAsia" w:ascii="宋体" w:hAnsi="宋体" w:eastAsia="宋体" w:cs="宋体"/>
          <w:b w:val="0"/>
          <w:bCs/>
          <w:sz w:val="21"/>
          <w:szCs w:val="21"/>
        </w:rPr>
        <w:t>附录3资格审查条件（信誉最低要求）</w:t>
      </w:r>
      <w:bookmarkEnd w:id="10"/>
      <w:bookmarkEnd w:id="11"/>
    </w:p>
    <w:tbl>
      <w:tblPr>
        <w:tblStyle w:val="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7"/>
      </w:tblGrid>
      <w:tr w14:paraId="5513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7" w:type="dxa"/>
            <w:tcBorders>
              <w:top w:val="single" w:color="auto" w:sz="12" w:space="0"/>
              <w:left w:val="single" w:color="auto" w:sz="12" w:space="0"/>
              <w:right w:val="single" w:color="auto" w:sz="12" w:space="0"/>
            </w:tcBorders>
            <w:vAlign w:val="center"/>
          </w:tcPr>
          <w:p w14:paraId="26102976">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信誉要求</w:t>
            </w:r>
          </w:p>
        </w:tc>
      </w:tr>
      <w:tr w14:paraId="12C8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37" w:type="dxa"/>
            <w:tcBorders>
              <w:left w:val="single" w:color="auto" w:sz="12" w:space="0"/>
              <w:bottom w:val="single" w:color="auto" w:sz="12" w:space="0"/>
              <w:right w:val="single" w:color="auto" w:sz="12" w:space="0"/>
            </w:tcBorders>
            <w:vAlign w:val="center"/>
          </w:tcPr>
          <w:p w14:paraId="62708C7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p>
        </w:tc>
      </w:tr>
    </w:tbl>
    <w:p w14:paraId="320C62CF">
      <w:pPr>
        <w:keepNext w:val="0"/>
        <w:keepLines w:val="0"/>
        <w:pageBreakBefore w:val="0"/>
        <w:kinsoku/>
        <w:wordWrap/>
        <w:overflowPunct/>
        <w:topLinePunct w:val="0"/>
        <w:autoSpaceDE/>
        <w:autoSpaceDN/>
        <w:bidi w:val="0"/>
        <w:spacing w:before="100" w:beforeAutospacing="1" w:line="360" w:lineRule="exact"/>
        <w:jc w:val="center"/>
        <w:textAlignment w:val="auto"/>
        <w:outlineLvl w:val="2"/>
        <w:rPr>
          <w:rFonts w:hint="eastAsia" w:ascii="宋体" w:hAnsi="宋体" w:eastAsia="宋体" w:cs="宋体"/>
          <w:b w:val="0"/>
          <w:bCs/>
          <w:sz w:val="21"/>
          <w:szCs w:val="21"/>
        </w:rPr>
      </w:pPr>
      <w:bookmarkStart w:id="12" w:name="_Toc110596240"/>
      <w:bookmarkStart w:id="13" w:name="_Toc51622570"/>
      <w:bookmarkStart w:id="14" w:name="_Toc411418983"/>
      <w:r>
        <w:rPr>
          <w:rFonts w:hint="eastAsia" w:ascii="宋体" w:hAnsi="宋体" w:eastAsia="宋体" w:cs="宋体"/>
          <w:b w:val="0"/>
          <w:bCs/>
          <w:sz w:val="21"/>
          <w:szCs w:val="21"/>
        </w:rPr>
        <w:t>附录4资格审查条件（项目负责人最低要求）</w:t>
      </w:r>
      <w:bookmarkEnd w:id="12"/>
      <w:bookmarkEnd w:id="13"/>
      <w:bookmarkEnd w:id="14"/>
    </w:p>
    <w:tbl>
      <w:tblPr>
        <w:tblStyle w:val="6"/>
        <w:tblW w:w="94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964"/>
        <w:gridCol w:w="6707"/>
      </w:tblGrid>
      <w:tr w14:paraId="3B4EC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2" w:type="dxa"/>
            <w:vMerge w:val="restart"/>
            <w:vAlign w:val="center"/>
          </w:tcPr>
          <w:p w14:paraId="0D8ED84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人员</w:t>
            </w:r>
          </w:p>
        </w:tc>
        <w:tc>
          <w:tcPr>
            <w:tcW w:w="964" w:type="dxa"/>
            <w:vAlign w:val="center"/>
          </w:tcPr>
          <w:p w14:paraId="4796A62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数量</w:t>
            </w:r>
          </w:p>
        </w:tc>
        <w:tc>
          <w:tcPr>
            <w:tcW w:w="6707" w:type="dxa"/>
            <w:vMerge w:val="restart"/>
            <w:vAlign w:val="center"/>
          </w:tcPr>
          <w:p w14:paraId="69C6C7CD">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资 格 要 求</w:t>
            </w:r>
          </w:p>
        </w:tc>
      </w:tr>
      <w:tr w14:paraId="11C2B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82" w:type="dxa"/>
            <w:vMerge w:val="continue"/>
            <w:vAlign w:val="center"/>
          </w:tcPr>
          <w:p w14:paraId="306BD201">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p>
        </w:tc>
        <w:tc>
          <w:tcPr>
            <w:tcW w:w="964" w:type="dxa"/>
            <w:vAlign w:val="center"/>
          </w:tcPr>
          <w:p w14:paraId="51CF4CD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SJ01</w:t>
            </w:r>
          </w:p>
        </w:tc>
        <w:tc>
          <w:tcPr>
            <w:tcW w:w="6707" w:type="dxa"/>
            <w:vMerge w:val="continue"/>
            <w:vAlign w:val="center"/>
          </w:tcPr>
          <w:p w14:paraId="1471A05E">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p>
        </w:tc>
      </w:tr>
      <w:tr w14:paraId="5DD55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82" w:type="dxa"/>
            <w:vAlign w:val="center"/>
          </w:tcPr>
          <w:p w14:paraId="3A249CF7">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项目负责人</w:t>
            </w:r>
          </w:p>
        </w:tc>
        <w:tc>
          <w:tcPr>
            <w:tcW w:w="964" w:type="dxa"/>
            <w:vAlign w:val="center"/>
          </w:tcPr>
          <w:p w14:paraId="4C6D9D1C">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707" w:type="dxa"/>
            <w:vAlign w:val="center"/>
          </w:tcPr>
          <w:p w14:paraId="60189381">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（1）投标人自有人员</w:t>
            </w:r>
            <w:r>
              <w:rPr>
                <w:rFonts w:hint="eastAsia" w:ascii="宋体" w:hAnsi="宋体" w:eastAsia="宋体" w:cs="宋体"/>
                <w:b w:val="0"/>
                <w:bCs/>
                <w:sz w:val="21"/>
                <w:szCs w:val="21"/>
                <w:lang w:val="en-US" w:eastAsia="zh-CN"/>
              </w:rPr>
              <w:footnoteReference w:id="1"/>
            </w:r>
            <w:r>
              <w:rPr>
                <w:rFonts w:hint="eastAsia" w:ascii="宋体" w:hAnsi="宋体" w:eastAsia="宋体" w:cs="宋体"/>
                <w:b w:val="0"/>
                <w:bCs/>
                <w:sz w:val="21"/>
                <w:szCs w:val="21"/>
                <w:lang w:val="en-US" w:eastAsia="zh-CN"/>
              </w:rPr>
              <w:t>；</w:t>
            </w:r>
          </w:p>
          <w:p w14:paraId="114F17A9">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（2）公路工程或机电工程相关专业</w:t>
            </w:r>
            <w:r>
              <w:rPr>
                <w:rFonts w:hint="eastAsia" w:ascii="宋体" w:hAnsi="宋体" w:eastAsia="宋体" w:cs="宋体"/>
                <w:b w:val="0"/>
                <w:bCs/>
                <w:sz w:val="21"/>
                <w:szCs w:val="21"/>
                <w:lang w:val="en-US" w:eastAsia="zh-CN"/>
              </w:rPr>
              <w:footnoteReference w:id="2"/>
            </w:r>
            <w:r>
              <w:rPr>
                <w:rFonts w:hint="eastAsia" w:ascii="宋体" w:hAnsi="宋体" w:eastAsia="宋体" w:cs="宋体"/>
                <w:b w:val="0"/>
                <w:bCs/>
                <w:sz w:val="21"/>
                <w:szCs w:val="21"/>
                <w:lang w:val="en-US" w:eastAsia="zh-CN"/>
              </w:rPr>
              <w:t>高级技术职称；</w:t>
            </w:r>
          </w:p>
          <w:p w14:paraId="749EC242">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（3）担任过一项公路机电工程勘察设计的项目负责人或分项负责人。</w:t>
            </w:r>
          </w:p>
          <w:p w14:paraId="5F9B61E0">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en-US" w:eastAsia="zh-CN"/>
              </w:rPr>
              <w:t>注：①</w:t>
            </w:r>
            <w:r>
              <w:rPr>
                <w:rFonts w:hint="eastAsia" w:ascii="宋体" w:hAnsi="宋体" w:eastAsia="宋体" w:cs="宋体"/>
                <w:b w:val="0"/>
                <w:bCs/>
                <w:sz w:val="21"/>
                <w:szCs w:val="21"/>
                <w:lang w:val="zh-CN" w:eastAsia="zh-CN"/>
              </w:rPr>
              <w:t>项目负责人任职业绩应是交通运输部“全国公路建设市场监督管理系统”或省级交通运输主管部门“公路建设市场信用信息管理系统”已载明的任职业绩。</w:t>
            </w:r>
          </w:p>
          <w:p w14:paraId="5AFD0719">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zh-CN" w:eastAsia="zh-CN"/>
              </w:rPr>
              <w:t>②</w:t>
            </w:r>
            <w:r>
              <w:rPr>
                <w:rFonts w:hint="eastAsia" w:ascii="宋体" w:hAnsi="宋体" w:eastAsia="宋体" w:cs="宋体"/>
                <w:b w:val="0"/>
                <w:bCs/>
                <w:sz w:val="21"/>
                <w:szCs w:val="21"/>
                <w:lang w:val="en-US" w:eastAsia="zh-CN"/>
              </w:rPr>
              <w:t>公路机电工程包含</w:t>
            </w:r>
            <w:r>
              <w:rPr>
                <w:rFonts w:hint="eastAsia" w:ascii="宋体" w:hAnsi="宋体" w:eastAsia="宋体" w:cs="宋体"/>
                <w:b w:val="0"/>
                <w:bCs/>
                <w:sz w:val="21"/>
                <w:szCs w:val="21"/>
                <w:lang w:val="zh-CN" w:eastAsia="zh-CN"/>
              </w:rPr>
              <w:t>公路信息传输，供电照明、自控设备，系统工程、收费系统、设备等。</w:t>
            </w:r>
          </w:p>
        </w:tc>
      </w:tr>
    </w:tbl>
    <w:p w14:paraId="175C371E">
      <w:pPr>
        <w:keepNext w:val="0"/>
        <w:keepLines w:val="0"/>
        <w:pageBreakBefore w:val="0"/>
        <w:kinsoku/>
        <w:wordWrap/>
        <w:overflowPunct/>
        <w:topLinePunct w:val="0"/>
        <w:autoSpaceDE/>
        <w:autoSpaceDN/>
        <w:bidi w:val="0"/>
        <w:spacing w:before="100" w:beforeAutospacing="1" w:line="360" w:lineRule="exact"/>
        <w:jc w:val="center"/>
        <w:textAlignment w:val="auto"/>
        <w:outlineLvl w:val="2"/>
        <w:rPr>
          <w:rFonts w:hint="eastAsia" w:ascii="宋体" w:hAnsi="宋体" w:eastAsia="宋体" w:cs="宋体"/>
          <w:b w:val="0"/>
          <w:bCs/>
          <w:sz w:val="21"/>
          <w:szCs w:val="21"/>
        </w:rPr>
      </w:pPr>
      <w:r>
        <w:rPr>
          <w:rFonts w:hint="eastAsia" w:ascii="宋体" w:hAnsi="宋体" w:eastAsia="宋体" w:cs="宋体"/>
          <w:b w:val="0"/>
          <w:bCs/>
          <w:sz w:val="21"/>
          <w:szCs w:val="21"/>
        </w:rPr>
        <w:br w:type="page"/>
      </w:r>
      <w:bookmarkEnd w:id="7"/>
    </w:p>
    <w:p w14:paraId="616BD6D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bCs/>
          <w:color w:val="auto"/>
          <w:w w:val="102"/>
          <w:sz w:val="21"/>
          <w:szCs w:val="21"/>
        </w:rPr>
      </w:pPr>
      <w:r>
        <w:rPr>
          <w:rFonts w:hint="eastAsia" w:ascii="宋体" w:hAnsi="宋体" w:eastAsia="宋体" w:cs="宋体"/>
          <w:b w:val="0"/>
          <w:bCs/>
          <w:sz w:val="21"/>
          <w:szCs w:val="21"/>
        </w:rPr>
        <w:t>三、评标办法</w:t>
      </w:r>
      <w:r>
        <w:rPr>
          <w:rFonts w:hint="eastAsia" w:ascii="宋体" w:hAnsi="宋体" w:eastAsia="宋体" w:cs="宋体"/>
          <w:b w:val="0"/>
          <w:bCs/>
          <w:sz w:val="21"/>
          <w:szCs w:val="21"/>
          <w:lang w:val="en-US" w:eastAsia="zh-CN"/>
        </w:rPr>
        <w:t xml:space="preserve">                      </w:t>
      </w:r>
      <w:r>
        <w:rPr>
          <w:rFonts w:hint="eastAsia" w:ascii="宋体" w:hAnsi="宋体" w:eastAsia="宋体" w:cs="宋体"/>
          <w:b/>
          <w:bCs/>
          <w:color w:val="auto"/>
          <w:w w:val="102"/>
          <w:sz w:val="21"/>
          <w:szCs w:val="21"/>
        </w:rPr>
        <w:t>评标办法（综合评估法）</w:t>
      </w:r>
    </w:p>
    <w:p w14:paraId="4258B151">
      <w:pPr>
        <w:keepLines w:val="0"/>
        <w:kinsoku/>
        <w:wordWrap/>
        <w:overflowPunct/>
        <w:topLinePunct w:val="0"/>
        <w:autoSpaceDE/>
        <w:autoSpaceDN/>
        <w:bidi w:val="0"/>
        <w:spacing w:line="360" w:lineRule="exact"/>
        <w:rPr>
          <w:rFonts w:hint="eastAsia" w:ascii="宋体" w:hAnsi="宋体" w:eastAsia="宋体" w:cs="宋体"/>
          <w:b/>
          <w:bCs/>
          <w:color w:val="auto"/>
          <w:w w:val="105"/>
          <w:sz w:val="21"/>
          <w:szCs w:val="21"/>
        </w:rPr>
      </w:pPr>
      <w:r>
        <w:rPr>
          <w:rFonts w:hint="eastAsia" w:ascii="宋体" w:hAnsi="宋体" w:eastAsia="宋体" w:cs="宋体"/>
          <w:b/>
          <w:bCs/>
          <w:color w:val="auto"/>
          <w:w w:val="105"/>
          <w:sz w:val="21"/>
          <w:szCs w:val="21"/>
        </w:rPr>
        <w:t>评标办法前附表</w:t>
      </w:r>
    </w:p>
    <w:tbl>
      <w:tblPr>
        <w:tblStyle w:val="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3"/>
        <w:gridCol w:w="7536"/>
      </w:tblGrid>
      <w:tr w14:paraId="47A5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26" w:type="dxa"/>
            <w:gridSpan w:val="2"/>
            <w:shd w:val="clear" w:color="auto" w:fill="auto"/>
            <w:vAlign w:val="center"/>
          </w:tcPr>
          <w:p w14:paraId="533991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7536" w:type="dxa"/>
            <w:shd w:val="clear" w:color="auto" w:fill="auto"/>
            <w:vAlign w:val="center"/>
          </w:tcPr>
          <w:p w14:paraId="77E0BF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评审因素与评审标准</w:t>
            </w:r>
          </w:p>
        </w:tc>
      </w:tr>
      <w:tr w14:paraId="6637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14:paraId="03838BDF">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73" w:type="dxa"/>
            <w:shd w:val="clear" w:color="auto" w:fill="auto"/>
            <w:vAlign w:val="center"/>
          </w:tcPr>
          <w:p w14:paraId="05386D85">
            <w:pPr>
              <w:keepNext w:val="0"/>
              <w:keepLines w:val="0"/>
              <w:pageBreakBefore w:val="0"/>
              <w:widowControl w:val="0"/>
              <w:tabs>
                <w:tab w:val="left" w:pos="735"/>
              </w:tabs>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7536" w:type="dxa"/>
            <w:shd w:val="clear" w:color="auto" w:fill="auto"/>
          </w:tcPr>
          <w:p w14:paraId="397C6385">
            <w:pPr>
              <w:pStyle w:val="13"/>
              <w:keepNext w:val="0"/>
              <w:keepLines w:val="0"/>
              <w:pageBreakBefore w:val="0"/>
              <w:widowControl w:val="0"/>
              <w:shd w:val="clear" w:color="auto" w:fill="auto"/>
              <w:tabs>
                <w:tab w:val="left" w:pos="735"/>
              </w:tabs>
              <w:kinsoku/>
              <w:wordWrap/>
              <w:overflowPunct/>
              <w:topLinePunct w:val="0"/>
              <w:autoSpaceDE/>
              <w:autoSpaceDN/>
              <w:bidi w:val="0"/>
              <w:spacing w:before="0"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综合评分相等时，评标委员会依次按照以下优先顺序推荐中标候选人：</w:t>
            </w:r>
          </w:p>
          <w:p w14:paraId="67EAD82D">
            <w:pPr>
              <w:pStyle w:val="13"/>
              <w:keepNext w:val="0"/>
              <w:keepLines w:val="0"/>
              <w:pageBreakBefore w:val="0"/>
              <w:widowControl w:val="0"/>
              <w:shd w:val="clear" w:color="auto" w:fill="auto"/>
              <w:tabs>
                <w:tab w:val="left" w:pos="735"/>
                <w:tab w:val="left" w:pos="1070"/>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（1）评标价低的投标人优先；</w:t>
            </w:r>
          </w:p>
          <w:p w14:paraId="1DDB230C">
            <w:pPr>
              <w:pStyle w:val="13"/>
              <w:keepNext w:val="0"/>
              <w:keepLines w:val="0"/>
              <w:pageBreakBefore w:val="0"/>
              <w:widowControl w:val="0"/>
              <w:shd w:val="clear" w:color="auto" w:fill="auto"/>
              <w:tabs>
                <w:tab w:val="left" w:pos="735"/>
                <w:tab w:val="left" w:pos="107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（2）信誉得分较高的投标人优先；</w:t>
            </w:r>
          </w:p>
          <w:p w14:paraId="63FBDD25">
            <w:pPr>
              <w:keepNext w:val="0"/>
              <w:keepLines w:val="0"/>
              <w:pageBreakBefore w:val="0"/>
              <w:widowControl w:val="0"/>
              <w:tabs>
                <w:tab w:val="left" w:pos="73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en-US" w:eastAsia="zh-CN"/>
              </w:rPr>
              <w:t>人员</w:t>
            </w:r>
            <w:r>
              <w:rPr>
                <w:rFonts w:hint="eastAsia" w:ascii="宋体" w:hAnsi="宋体" w:eastAsia="宋体" w:cs="宋体"/>
                <w:color w:val="auto"/>
                <w:sz w:val="21"/>
                <w:szCs w:val="21"/>
              </w:rPr>
              <w:t>得分较高的投标人优先；</w:t>
            </w:r>
          </w:p>
          <w:p w14:paraId="744B1473">
            <w:pPr>
              <w:keepNext w:val="0"/>
              <w:keepLines w:val="0"/>
              <w:pageBreakBefore w:val="0"/>
              <w:widowControl w:val="0"/>
              <w:tabs>
                <w:tab w:val="left" w:pos="73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（4）评标委员会投票决定。</w:t>
            </w:r>
          </w:p>
        </w:tc>
      </w:tr>
      <w:tr w14:paraId="25B5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14:paraId="5BA3ABA8">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p w14:paraId="0CA04EA5">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73" w:type="dxa"/>
            <w:shd w:val="clear" w:color="auto" w:fill="auto"/>
            <w:vAlign w:val="center"/>
          </w:tcPr>
          <w:p w14:paraId="1E319895">
            <w:pPr>
              <w:keepNext w:val="0"/>
              <w:keepLines w:val="0"/>
              <w:pageBreakBefore w:val="0"/>
              <w:widowControl w:val="0"/>
              <w:tabs>
                <w:tab w:val="left" w:pos="735"/>
              </w:tabs>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形式评审与响应性评审标准</w:t>
            </w:r>
          </w:p>
        </w:tc>
        <w:tc>
          <w:tcPr>
            <w:tcW w:w="7536" w:type="dxa"/>
            <w:shd w:val="clear" w:color="auto" w:fill="auto"/>
          </w:tcPr>
          <w:p w14:paraId="064270F3">
            <w:pPr>
              <w:pStyle w:val="13"/>
              <w:keepNext w:val="0"/>
              <w:keepLines w:val="0"/>
              <w:pageBreakBefore w:val="0"/>
              <w:widowControl w:val="0"/>
              <w:shd w:val="clear" w:color="auto" w:fill="auto"/>
              <w:tabs>
                <w:tab w:val="left" w:pos="735"/>
              </w:tabs>
              <w:kinsoku/>
              <w:wordWrap/>
              <w:overflowPunct/>
              <w:topLinePunct w:val="0"/>
              <w:autoSpaceDE/>
              <w:autoSpaceDN/>
              <w:bidi w:val="0"/>
              <w:spacing w:before="0" w:line="360" w:lineRule="exact"/>
              <w:jc w:val="both"/>
              <w:rPr>
                <w:rFonts w:hint="eastAsia" w:ascii="宋体" w:hAnsi="宋体" w:eastAsia="宋体" w:cs="宋体"/>
                <w:color w:val="auto"/>
                <w:sz w:val="21"/>
                <w:szCs w:val="21"/>
              </w:rPr>
            </w:pPr>
            <w:r>
              <w:rPr>
                <w:rFonts w:hint="eastAsia" w:ascii="宋体" w:hAnsi="宋体" w:eastAsia="宋体" w:cs="宋体"/>
                <w:bCs/>
                <w:color w:val="auto"/>
                <w:sz w:val="21"/>
                <w:szCs w:val="21"/>
              </w:rPr>
              <w:t>第一个信封（商务及技术文件）评审标准：</w:t>
            </w:r>
          </w:p>
          <w:p w14:paraId="020A2818">
            <w:pPr>
              <w:pStyle w:val="13"/>
              <w:keepNext w:val="0"/>
              <w:keepLines w:val="0"/>
              <w:pageBreakBefore w:val="0"/>
              <w:widowControl w:val="0"/>
              <w:shd w:val="clear" w:color="auto" w:fill="auto"/>
              <w:tabs>
                <w:tab w:val="left" w:pos="735"/>
                <w:tab w:val="left" w:pos="946"/>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（1）投标文件按照招标文件规定的格式、内容填写，字迹清晰可辨：</w:t>
            </w:r>
          </w:p>
          <w:p w14:paraId="2DF27250">
            <w:pPr>
              <w:pStyle w:val="13"/>
              <w:keepNext w:val="0"/>
              <w:keepLines w:val="0"/>
              <w:pageBreakBefore w:val="0"/>
              <w:widowControl w:val="0"/>
              <w:shd w:val="clear" w:color="auto" w:fill="auto"/>
              <w:tabs>
                <w:tab w:val="left" w:pos="566"/>
                <w:tab w:val="left" w:pos="735"/>
              </w:tabs>
              <w:kinsoku/>
              <w:wordWrap/>
              <w:overflowPunct/>
              <w:topLinePunct w:val="0"/>
              <w:autoSpaceDE/>
              <w:autoSpaceDN/>
              <w:bidi w:val="0"/>
              <w:spacing w:before="0"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a.投标函按招标文件规定填报了项目名称、标段号、补遗书编号（如有)、勘察设计服务期限、工程质量要求及安全目标；</w:t>
            </w:r>
          </w:p>
          <w:p w14:paraId="558DAB78">
            <w:pPr>
              <w:pStyle w:val="13"/>
              <w:keepNext w:val="0"/>
              <w:keepLines w:val="0"/>
              <w:pageBreakBefore w:val="0"/>
              <w:widowControl w:val="0"/>
              <w:shd w:val="clear" w:color="auto" w:fill="auto"/>
              <w:tabs>
                <w:tab w:val="left" w:pos="168"/>
                <w:tab w:val="left" w:pos="735"/>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b.投标文件组成齐全完整，内容均按规定填写。</w:t>
            </w:r>
          </w:p>
          <w:p w14:paraId="6BC98F2C">
            <w:pPr>
              <w:pStyle w:val="13"/>
              <w:keepNext w:val="0"/>
              <w:keepLines w:val="0"/>
              <w:pageBreakBefore w:val="0"/>
              <w:widowControl w:val="0"/>
              <w:shd w:val="clear" w:color="auto" w:fill="auto"/>
              <w:tabs>
                <w:tab w:val="left" w:pos="735"/>
                <w:tab w:val="left" w:pos="94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（2）投标文件上法定代表人或其委托代理人的签字、投标人的单位章盖章齐全，符合招标文件规定。</w:t>
            </w:r>
          </w:p>
          <w:p w14:paraId="6BA63186">
            <w:pPr>
              <w:pStyle w:val="13"/>
              <w:keepNext w:val="0"/>
              <w:keepLines w:val="0"/>
              <w:pageBreakBefore w:val="0"/>
              <w:widowControl w:val="0"/>
              <w:shd w:val="clear" w:color="auto" w:fill="auto"/>
              <w:tabs>
                <w:tab w:val="left" w:pos="735"/>
                <w:tab w:val="left" w:pos="94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（3）投标人按照招标文件的规定提供了投标保证金：</w:t>
            </w:r>
          </w:p>
          <w:p w14:paraId="02D465F5">
            <w:pPr>
              <w:keepNext w:val="0"/>
              <w:keepLines w:val="0"/>
              <w:pageBreakBefore w:val="0"/>
              <w:widowControl w:val="0"/>
              <w:tabs>
                <w:tab w:val="left" w:pos="7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bCs/>
                <w:color w:val="auto"/>
                <w:sz w:val="21"/>
                <w:szCs w:val="21"/>
              </w:rPr>
              <w:t>.</w:t>
            </w:r>
            <w:r>
              <w:rPr>
                <w:rFonts w:hint="eastAsia" w:ascii="宋体" w:hAnsi="宋体" w:eastAsia="宋体" w:cs="宋体"/>
                <w:color w:val="auto"/>
                <w:sz w:val="21"/>
                <w:szCs w:val="21"/>
              </w:rPr>
              <w:t>投标保证金金额符合招标文件规定的金额，且投标保证金有效期不少于投标有效期；</w:t>
            </w:r>
          </w:p>
          <w:p w14:paraId="6B1C4D90">
            <w:pPr>
              <w:pStyle w:val="13"/>
              <w:keepNext w:val="0"/>
              <w:keepLines w:val="0"/>
              <w:pageBreakBefore w:val="0"/>
              <w:widowControl w:val="0"/>
              <w:shd w:val="clear" w:color="auto" w:fill="auto"/>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7"/>
                <w:rFonts w:hint="eastAsia" w:ascii="宋体" w:hAnsi="宋体" w:eastAsia="宋体" w:cs="宋体"/>
                <w:color w:val="auto"/>
                <w:sz w:val="21"/>
                <w:szCs w:val="21"/>
                <w:shd w:val="clear" w:color="auto" w:fill="auto"/>
                <w:lang w:eastAsia="zh-CN"/>
              </w:rPr>
              <w:t>b.</w:t>
            </w:r>
            <w:r>
              <w:rPr>
                <w:rStyle w:val="15"/>
                <w:rFonts w:hint="eastAsia" w:ascii="宋体" w:hAnsi="宋体" w:eastAsia="宋体" w:cs="宋体"/>
                <w:color w:val="auto"/>
                <w:sz w:val="21"/>
                <w:szCs w:val="21"/>
                <w:shd w:val="clear" w:color="auto" w:fill="auto"/>
              </w:rPr>
              <w:t>若投标保证金采用现金或支票形式提交，投标人应在招标文件规定的递交截止时间之前，将投标保证金由投标人的基本账户转入招标人指定账户；</w:t>
            </w:r>
          </w:p>
          <w:p w14:paraId="6E2DE2D8">
            <w:pPr>
              <w:pStyle w:val="13"/>
              <w:keepNext w:val="0"/>
              <w:keepLines w:val="0"/>
              <w:pageBreakBefore w:val="0"/>
              <w:widowControl w:val="0"/>
              <w:shd w:val="clear" w:color="auto" w:fill="auto"/>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lang w:bidi="en-US"/>
              </w:rPr>
              <w:t>c</w:t>
            </w:r>
            <w:r>
              <w:rPr>
                <w:rFonts w:hint="eastAsia" w:ascii="宋体" w:hAnsi="宋体" w:eastAsia="宋体" w:cs="宋体"/>
                <w:b/>
                <w:bCs/>
                <w:color w:val="auto"/>
                <w:sz w:val="21"/>
                <w:szCs w:val="21"/>
                <w:highlight w:val="none"/>
                <w:lang w:bidi="en-US"/>
              </w:rPr>
              <w:t>.</w:t>
            </w:r>
            <w:r>
              <w:rPr>
                <w:rFonts w:hint="eastAsia" w:ascii="宋体" w:hAnsi="宋体" w:eastAsia="宋体" w:cs="宋体"/>
                <w:color w:val="auto"/>
                <w:sz w:val="21"/>
                <w:szCs w:val="21"/>
                <w:highlight w:val="none"/>
                <w:lang w:bidi="zh-TW"/>
              </w:rPr>
              <w:t>若投标保证金采用保函形式提交，</w:t>
            </w:r>
            <w:r>
              <w:rPr>
                <w:rFonts w:hint="eastAsia" w:ascii="宋体" w:hAnsi="宋体" w:eastAsia="宋体" w:cs="宋体"/>
                <w:color w:val="auto"/>
                <w:sz w:val="21"/>
                <w:szCs w:val="21"/>
                <w:highlight w:val="none"/>
                <w:lang w:val="en-US" w:eastAsia="zh-CN" w:bidi="zh-TW"/>
              </w:rPr>
              <w:t>保函的实质性内容</w:t>
            </w:r>
            <w:r>
              <w:rPr>
                <w:rFonts w:hint="eastAsia" w:ascii="宋体" w:hAnsi="宋体" w:eastAsia="宋体" w:cs="宋体"/>
                <w:bCs/>
                <w:color w:val="auto"/>
                <w:sz w:val="21"/>
                <w:szCs w:val="21"/>
                <w:highlight w:val="none"/>
              </w:rPr>
              <w:t>满足</w:t>
            </w:r>
            <w:r>
              <w:rPr>
                <w:rFonts w:hint="eastAsia" w:ascii="宋体" w:hAnsi="宋体" w:eastAsia="宋体" w:cs="宋体"/>
                <w:bCs/>
                <w:color w:val="auto"/>
                <w:sz w:val="21"/>
                <w:szCs w:val="21"/>
                <w:highlight w:val="none"/>
                <w:lang w:val="en-US" w:eastAsia="zh-CN"/>
              </w:rPr>
              <w:t>招标文件要求</w:t>
            </w:r>
            <w:r>
              <w:rPr>
                <w:rFonts w:hint="eastAsia" w:ascii="宋体" w:hAnsi="宋体" w:eastAsia="宋体" w:cs="宋体"/>
                <w:bCs/>
                <w:color w:val="auto"/>
                <w:sz w:val="21"/>
                <w:szCs w:val="21"/>
                <w:highlight w:val="none"/>
                <w:lang w:val="zh-CN"/>
              </w:rPr>
              <w:t>。</w:t>
            </w:r>
          </w:p>
          <w:p w14:paraId="5D14ADBC">
            <w:pPr>
              <w:pStyle w:val="13"/>
              <w:keepNext w:val="0"/>
              <w:keepLines w:val="0"/>
              <w:pageBreakBefore w:val="0"/>
              <w:widowControl w:val="0"/>
              <w:shd w:val="clear" w:color="auto" w:fill="auto"/>
              <w:tabs>
                <w:tab w:val="left" w:pos="950"/>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4</w:t>
            </w:r>
            <w:r>
              <w:rPr>
                <w:rStyle w:val="15"/>
                <w:rFonts w:hint="eastAsia" w:ascii="宋体" w:hAnsi="宋体" w:eastAsia="宋体" w:cs="宋体"/>
                <w:color w:val="auto"/>
                <w:sz w:val="21"/>
                <w:szCs w:val="21"/>
                <w:shd w:val="clear" w:color="auto" w:fill="auto"/>
              </w:rPr>
              <w:t>）投标人法定代表人授权委托代理人签署投标文件的，须提交授权委托书，且授权人和被授权人均在授权委托书上签名。</w:t>
            </w:r>
          </w:p>
          <w:p w14:paraId="4F397439">
            <w:pPr>
              <w:pStyle w:val="13"/>
              <w:keepNext w:val="0"/>
              <w:keepLines w:val="0"/>
              <w:pageBreakBefore w:val="0"/>
              <w:widowControl w:val="0"/>
              <w:shd w:val="clear" w:color="auto" w:fill="auto"/>
              <w:tabs>
                <w:tab w:val="left" w:pos="94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5</w:t>
            </w:r>
            <w:r>
              <w:rPr>
                <w:rStyle w:val="15"/>
                <w:rFonts w:hint="eastAsia" w:ascii="宋体" w:hAnsi="宋体" w:eastAsia="宋体" w:cs="宋体"/>
                <w:color w:val="auto"/>
                <w:sz w:val="21"/>
                <w:szCs w:val="21"/>
                <w:shd w:val="clear" w:color="auto" w:fill="auto"/>
              </w:rPr>
              <w:t>）投标人法定代表人亲自签署投标文件的，提供了法定代表人身份证明，且法定代表人在法定代表人身份证明上签名。</w:t>
            </w:r>
          </w:p>
          <w:p w14:paraId="79A70FFA">
            <w:pPr>
              <w:pStyle w:val="13"/>
              <w:keepNext w:val="0"/>
              <w:keepLines w:val="0"/>
              <w:pageBreakBefore w:val="0"/>
              <w:widowControl w:val="0"/>
              <w:shd w:val="clear" w:color="auto" w:fill="auto"/>
              <w:tabs>
                <w:tab w:val="left" w:pos="107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lang w:eastAsia="zh-CN"/>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6</w:t>
            </w:r>
            <w:r>
              <w:rPr>
                <w:rStyle w:val="15"/>
                <w:rFonts w:hint="eastAsia" w:ascii="宋体" w:hAnsi="宋体" w:eastAsia="宋体" w:cs="宋体"/>
                <w:color w:val="auto"/>
                <w:sz w:val="21"/>
                <w:szCs w:val="21"/>
                <w:shd w:val="clear" w:color="auto" w:fill="auto"/>
              </w:rPr>
              <w:t>）投标人</w:t>
            </w:r>
            <w:r>
              <w:rPr>
                <w:rStyle w:val="15"/>
                <w:rFonts w:hint="eastAsia" w:ascii="宋体" w:hAnsi="宋体" w:eastAsia="宋体" w:cs="宋体"/>
                <w:color w:val="auto"/>
                <w:sz w:val="21"/>
                <w:szCs w:val="21"/>
                <w:shd w:val="clear" w:color="auto" w:fill="auto"/>
                <w:lang w:val="en-US" w:eastAsia="zh-CN"/>
              </w:rPr>
              <w:t>未</w:t>
            </w:r>
            <w:r>
              <w:rPr>
                <w:rStyle w:val="15"/>
                <w:rFonts w:hint="eastAsia" w:ascii="宋体" w:hAnsi="宋体" w:eastAsia="宋体" w:cs="宋体"/>
                <w:color w:val="auto"/>
                <w:sz w:val="21"/>
                <w:szCs w:val="21"/>
                <w:shd w:val="clear" w:color="auto" w:fill="auto"/>
              </w:rPr>
              <w:t>以联合体形式投标</w:t>
            </w:r>
            <w:r>
              <w:rPr>
                <w:rStyle w:val="15"/>
                <w:rFonts w:hint="eastAsia" w:ascii="宋体" w:hAnsi="宋体" w:eastAsia="宋体" w:cs="宋体"/>
                <w:color w:val="auto"/>
                <w:sz w:val="21"/>
                <w:szCs w:val="21"/>
                <w:shd w:val="clear" w:color="auto" w:fill="auto"/>
                <w:lang w:eastAsia="zh-CN"/>
              </w:rPr>
              <w:t>。</w:t>
            </w:r>
          </w:p>
          <w:p w14:paraId="3E284DD6">
            <w:pPr>
              <w:pStyle w:val="13"/>
              <w:keepNext w:val="0"/>
              <w:keepLines w:val="0"/>
              <w:pageBreakBefore w:val="0"/>
              <w:widowControl w:val="0"/>
              <w:shd w:val="clear" w:color="auto" w:fill="auto"/>
              <w:tabs>
                <w:tab w:val="left" w:pos="94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7</w:t>
            </w:r>
            <w:r>
              <w:rPr>
                <w:rStyle w:val="15"/>
                <w:rFonts w:hint="eastAsia" w:ascii="宋体" w:hAnsi="宋体" w:eastAsia="宋体" w:cs="宋体"/>
                <w:color w:val="auto"/>
                <w:sz w:val="21"/>
                <w:szCs w:val="21"/>
                <w:shd w:val="clear" w:color="auto" w:fill="auto"/>
              </w:rPr>
              <w:t>）投标人</w:t>
            </w:r>
            <w:r>
              <w:rPr>
                <w:rStyle w:val="15"/>
                <w:rFonts w:hint="eastAsia" w:ascii="宋体" w:hAnsi="宋体" w:eastAsia="宋体" w:cs="宋体"/>
                <w:color w:val="auto"/>
                <w:sz w:val="21"/>
                <w:szCs w:val="21"/>
                <w:shd w:val="clear" w:color="auto" w:fill="auto"/>
                <w:lang w:val="en-US" w:eastAsia="zh-CN"/>
              </w:rPr>
              <w:t>未提出</w:t>
            </w:r>
            <w:r>
              <w:rPr>
                <w:rStyle w:val="15"/>
                <w:rFonts w:hint="eastAsia" w:ascii="宋体" w:hAnsi="宋体" w:eastAsia="宋体" w:cs="宋体"/>
                <w:color w:val="auto"/>
                <w:sz w:val="21"/>
                <w:szCs w:val="21"/>
                <w:shd w:val="clear" w:color="auto" w:fill="auto"/>
              </w:rPr>
              <w:t>分包计划</w:t>
            </w:r>
            <w:r>
              <w:rPr>
                <w:rStyle w:val="15"/>
                <w:rFonts w:hint="eastAsia" w:ascii="宋体" w:hAnsi="宋体" w:eastAsia="宋体" w:cs="宋体"/>
                <w:color w:val="auto"/>
                <w:sz w:val="21"/>
                <w:szCs w:val="21"/>
                <w:shd w:val="clear" w:color="auto" w:fill="auto"/>
                <w:lang w:eastAsia="zh-CN"/>
              </w:rPr>
              <w:t>。</w:t>
            </w:r>
          </w:p>
          <w:p w14:paraId="1F851AF4">
            <w:pPr>
              <w:pStyle w:val="13"/>
              <w:keepNext w:val="0"/>
              <w:keepLines w:val="0"/>
              <w:pageBreakBefore w:val="0"/>
              <w:widowControl w:val="0"/>
              <w:shd w:val="clear" w:color="auto" w:fill="auto"/>
              <w:tabs>
                <w:tab w:val="left" w:pos="962"/>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8</w:t>
            </w:r>
            <w:r>
              <w:rPr>
                <w:rStyle w:val="15"/>
                <w:rFonts w:hint="eastAsia" w:ascii="宋体" w:hAnsi="宋体" w:eastAsia="宋体" w:cs="宋体"/>
                <w:color w:val="auto"/>
                <w:sz w:val="21"/>
                <w:szCs w:val="21"/>
                <w:shd w:val="clear" w:color="auto" w:fill="auto"/>
              </w:rPr>
              <w:t>）同一投标人未提交两个以上不同的投标文件，但招标文件要求提交备选投标的除外。</w:t>
            </w:r>
          </w:p>
          <w:p w14:paraId="540B79CA">
            <w:pPr>
              <w:pStyle w:val="13"/>
              <w:keepNext w:val="0"/>
              <w:keepLines w:val="0"/>
              <w:pageBreakBefore w:val="0"/>
              <w:widowControl w:val="0"/>
              <w:shd w:val="clear" w:color="auto" w:fill="auto"/>
              <w:tabs>
                <w:tab w:val="left" w:pos="1181"/>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9</w:t>
            </w:r>
            <w:r>
              <w:rPr>
                <w:rStyle w:val="15"/>
                <w:rFonts w:hint="eastAsia" w:ascii="宋体" w:hAnsi="宋体" w:eastAsia="宋体" w:cs="宋体"/>
                <w:color w:val="auto"/>
                <w:sz w:val="21"/>
                <w:szCs w:val="21"/>
                <w:shd w:val="clear" w:color="auto" w:fill="auto"/>
              </w:rPr>
              <w:t>）投标文件中未出现有关投标报价的内容。</w:t>
            </w:r>
          </w:p>
          <w:p w14:paraId="13FC68C4">
            <w:pPr>
              <w:pStyle w:val="13"/>
              <w:keepNext w:val="0"/>
              <w:keepLines w:val="0"/>
              <w:pageBreakBefore w:val="0"/>
              <w:widowControl w:val="0"/>
              <w:shd w:val="clear" w:color="auto" w:fill="auto"/>
              <w:tabs>
                <w:tab w:val="left" w:pos="936"/>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（1</w:t>
            </w:r>
            <w:r>
              <w:rPr>
                <w:rStyle w:val="15"/>
                <w:rFonts w:hint="eastAsia" w:ascii="宋体" w:hAnsi="宋体" w:eastAsia="宋体" w:cs="宋体"/>
                <w:color w:val="auto"/>
                <w:sz w:val="21"/>
                <w:szCs w:val="21"/>
                <w:shd w:val="clear" w:color="auto" w:fill="auto"/>
                <w:lang w:eastAsia="zh-CN"/>
              </w:rPr>
              <w:t>0</w:t>
            </w:r>
            <w:r>
              <w:rPr>
                <w:rStyle w:val="15"/>
                <w:rFonts w:hint="eastAsia" w:ascii="宋体" w:hAnsi="宋体" w:eastAsia="宋体" w:cs="宋体"/>
                <w:color w:val="auto"/>
                <w:sz w:val="21"/>
                <w:szCs w:val="21"/>
                <w:shd w:val="clear" w:color="auto" w:fill="auto"/>
              </w:rPr>
              <w:t>）投标文件载明的招标项目完成期限未超过招标文件规定的时限。</w:t>
            </w:r>
          </w:p>
          <w:p w14:paraId="51B704D6">
            <w:pPr>
              <w:pStyle w:val="13"/>
              <w:keepNext w:val="0"/>
              <w:keepLines w:val="0"/>
              <w:pageBreakBefore w:val="0"/>
              <w:widowControl w:val="0"/>
              <w:shd w:val="clear" w:color="auto" w:fill="auto"/>
              <w:tabs>
                <w:tab w:val="left" w:pos="1181"/>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（1</w:t>
            </w:r>
            <w:r>
              <w:rPr>
                <w:rStyle w:val="15"/>
                <w:rFonts w:hint="eastAsia" w:ascii="宋体" w:hAnsi="宋体" w:eastAsia="宋体" w:cs="宋体"/>
                <w:color w:val="auto"/>
                <w:sz w:val="21"/>
                <w:szCs w:val="21"/>
                <w:shd w:val="clear" w:color="auto" w:fill="auto"/>
                <w:lang w:eastAsia="zh-CN"/>
              </w:rPr>
              <w:t>1</w:t>
            </w:r>
            <w:r>
              <w:rPr>
                <w:rStyle w:val="15"/>
                <w:rFonts w:hint="eastAsia" w:ascii="宋体" w:hAnsi="宋体" w:eastAsia="宋体" w:cs="宋体"/>
                <w:color w:val="auto"/>
                <w:sz w:val="21"/>
                <w:szCs w:val="21"/>
                <w:shd w:val="clear" w:color="auto" w:fill="auto"/>
              </w:rPr>
              <w:t>）投标文件对招标文件的实质性要求和条件作出响应。</w:t>
            </w:r>
          </w:p>
          <w:p w14:paraId="5836E7D3">
            <w:pPr>
              <w:pStyle w:val="13"/>
              <w:keepNext w:val="0"/>
              <w:keepLines w:val="0"/>
              <w:pageBreakBefore w:val="0"/>
              <w:widowControl w:val="0"/>
              <w:shd w:val="clear" w:color="auto" w:fill="auto"/>
              <w:tabs>
                <w:tab w:val="left" w:pos="1176"/>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（1</w:t>
            </w:r>
            <w:r>
              <w:rPr>
                <w:rStyle w:val="15"/>
                <w:rFonts w:hint="eastAsia" w:ascii="宋体" w:hAnsi="宋体" w:eastAsia="宋体" w:cs="宋体"/>
                <w:color w:val="auto"/>
                <w:sz w:val="21"/>
                <w:szCs w:val="21"/>
                <w:shd w:val="clear" w:color="auto" w:fill="auto"/>
                <w:lang w:eastAsia="zh-CN"/>
              </w:rPr>
              <w:t>2</w:t>
            </w:r>
            <w:r>
              <w:rPr>
                <w:rStyle w:val="15"/>
                <w:rFonts w:hint="eastAsia" w:ascii="宋体" w:hAnsi="宋体" w:eastAsia="宋体" w:cs="宋体"/>
                <w:color w:val="auto"/>
                <w:sz w:val="21"/>
                <w:szCs w:val="21"/>
                <w:shd w:val="clear" w:color="auto" w:fill="auto"/>
              </w:rPr>
              <w:t>）权利义务符合招标文件规定</w:t>
            </w:r>
            <w:r>
              <w:rPr>
                <w:rStyle w:val="16"/>
                <w:rFonts w:hint="eastAsia" w:ascii="宋体" w:hAnsi="宋体" w:eastAsia="宋体" w:cs="宋体"/>
                <w:b w:val="0"/>
                <w:color w:val="auto"/>
                <w:sz w:val="21"/>
                <w:szCs w:val="21"/>
              </w:rPr>
              <w:t>：</w:t>
            </w:r>
          </w:p>
          <w:p w14:paraId="5E729FF8">
            <w:pPr>
              <w:pStyle w:val="13"/>
              <w:keepNext w:val="0"/>
              <w:keepLines w:val="0"/>
              <w:pageBreakBefore w:val="0"/>
              <w:widowControl w:val="0"/>
              <w:shd w:val="clear" w:color="auto" w:fill="auto"/>
              <w:tabs>
                <w:tab w:val="left" w:pos="569"/>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a.投标人应接受招标文件规定的风险划分原则，未提出新的风险划分办法；</w:t>
            </w:r>
          </w:p>
          <w:p w14:paraId="7A9B091E">
            <w:pPr>
              <w:pStyle w:val="13"/>
              <w:keepNext w:val="0"/>
              <w:keepLines w:val="0"/>
              <w:pageBreakBefore w:val="0"/>
              <w:widowControl w:val="0"/>
              <w:shd w:val="clear" w:color="auto" w:fill="auto"/>
              <w:tabs>
                <w:tab w:val="left" w:pos="710"/>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b.投标人未增加发包人的责任范围，或减少投标人义务；</w:t>
            </w:r>
          </w:p>
          <w:p w14:paraId="6F3A081A">
            <w:pPr>
              <w:pStyle w:val="13"/>
              <w:keepNext w:val="0"/>
              <w:keepLines w:val="0"/>
              <w:pageBreakBefore w:val="0"/>
              <w:widowControl w:val="0"/>
              <w:shd w:val="clear" w:color="auto" w:fill="auto"/>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7"/>
                <w:rFonts w:hint="eastAsia" w:ascii="宋体" w:hAnsi="宋体" w:eastAsia="宋体" w:cs="宋体"/>
                <w:color w:val="auto"/>
                <w:sz w:val="21"/>
                <w:szCs w:val="21"/>
                <w:shd w:val="clear" w:color="auto" w:fill="auto"/>
                <w:lang w:eastAsia="zh-CN"/>
              </w:rPr>
              <w:t>c.</w:t>
            </w:r>
            <w:r>
              <w:rPr>
                <w:rStyle w:val="15"/>
                <w:rFonts w:hint="eastAsia" w:ascii="宋体" w:hAnsi="宋体" w:eastAsia="宋体" w:cs="宋体"/>
                <w:color w:val="auto"/>
                <w:sz w:val="21"/>
                <w:szCs w:val="21"/>
                <w:shd w:val="clear" w:color="auto" w:fill="auto"/>
              </w:rPr>
              <w:t>投标人未提出不同的支付办法；</w:t>
            </w:r>
          </w:p>
          <w:p w14:paraId="162B5E45">
            <w:pPr>
              <w:pStyle w:val="13"/>
              <w:keepNext w:val="0"/>
              <w:keepLines w:val="0"/>
              <w:pageBreakBefore w:val="0"/>
              <w:widowControl w:val="0"/>
              <w:shd w:val="clear" w:color="auto" w:fill="auto"/>
              <w:tabs>
                <w:tab w:val="left" w:pos="703"/>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d.投标人对合同纠纷、事故处理办法未提出异议；</w:t>
            </w:r>
          </w:p>
          <w:p w14:paraId="2265159C">
            <w:pPr>
              <w:pStyle w:val="13"/>
              <w:keepNext w:val="0"/>
              <w:keepLines w:val="0"/>
              <w:pageBreakBefore w:val="0"/>
              <w:widowControl w:val="0"/>
              <w:shd w:val="clear" w:color="auto" w:fill="auto"/>
              <w:tabs>
                <w:tab w:val="left" w:pos="689"/>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e.投标人在投标活动中无欺诈行为；</w:t>
            </w:r>
          </w:p>
          <w:p w14:paraId="6AB39682">
            <w:pPr>
              <w:pStyle w:val="13"/>
              <w:keepNext w:val="0"/>
              <w:keepLines w:val="0"/>
              <w:pageBreakBefore w:val="0"/>
              <w:widowControl w:val="0"/>
              <w:shd w:val="clear" w:color="auto" w:fill="auto"/>
              <w:tabs>
                <w:tab w:val="left" w:pos="679"/>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lang w:eastAsia="zh-CN"/>
              </w:rPr>
              <w:t>f</w:t>
            </w:r>
            <w:r>
              <w:rPr>
                <w:rStyle w:val="15"/>
                <w:rFonts w:hint="eastAsia" w:ascii="宋体" w:hAnsi="宋体" w:eastAsia="宋体" w:cs="宋体"/>
                <w:color w:val="auto"/>
                <w:sz w:val="21"/>
                <w:szCs w:val="21"/>
                <w:shd w:val="clear" w:color="auto" w:fill="auto"/>
              </w:rPr>
              <w:t>.投标人未对合同条款有重要保留。</w:t>
            </w:r>
          </w:p>
          <w:p w14:paraId="38D41701">
            <w:pPr>
              <w:keepNext w:val="0"/>
              <w:keepLines w:val="0"/>
              <w:pageBreakBefore w:val="0"/>
              <w:widowControl w:val="0"/>
              <w:tabs>
                <w:tab w:val="left" w:pos="7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p>
          <w:p w14:paraId="72FC7F27">
            <w:pPr>
              <w:pStyle w:val="13"/>
              <w:keepNext w:val="0"/>
              <w:keepLines w:val="0"/>
              <w:pageBreakBefore w:val="0"/>
              <w:widowControl w:val="0"/>
              <w:shd w:val="clear" w:color="auto" w:fill="auto"/>
              <w:kinsoku/>
              <w:wordWrap/>
              <w:overflowPunct/>
              <w:topLinePunct w:val="0"/>
              <w:autoSpaceDE/>
              <w:autoSpaceDN/>
              <w:bidi w:val="0"/>
              <w:spacing w:before="0" w:line="360" w:lineRule="exact"/>
              <w:jc w:val="left"/>
              <w:rPr>
                <w:rFonts w:hint="eastAsia" w:ascii="宋体" w:hAnsi="宋体" w:eastAsia="宋体" w:cs="宋体"/>
                <w:color w:val="auto"/>
                <w:sz w:val="21"/>
                <w:szCs w:val="21"/>
              </w:rPr>
            </w:pPr>
            <w:r>
              <w:rPr>
                <w:rStyle w:val="16"/>
                <w:rFonts w:hint="eastAsia" w:ascii="宋体" w:hAnsi="宋体" w:eastAsia="宋体" w:cs="宋体"/>
                <w:b w:val="0"/>
                <w:color w:val="auto"/>
                <w:sz w:val="21"/>
                <w:szCs w:val="21"/>
              </w:rPr>
              <w:t>第二个信封（报价文件）评审标准：</w:t>
            </w:r>
          </w:p>
          <w:p w14:paraId="384EEFC1">
            <w:pPr>
              <w:keepNext w:val="0"/>
              <w:keepLines w:val="0"/>
              <w:pageBreakBefore w:val="0"/>
              <w:widowControl w:val="0"/>
              <w:tabs>
                <w:tab w:val="left" w:pos="735"/>
              </w:tabs>
              <w:kinsoku/>
              <w:wordWrap/>
              <w:overflowPunct/>
              <w:topLinePunct w:val="0"/>
              <w:autoSpaceDE/>
              <w:autoSpaceDN/>
              <w:bidi w:val="0"/>
              <w:spacing w:line="360" w:lineRule="exact"/>
              <w:ind w:firstLine="420" w:firstLineChars="200"/>
              <w:rPr>
                <w:rStyle w:val="15"/>
                <w:rFonts w:hint="eastAsia" w:ascii="宋体" w:hAnsi="宋体" w:eastAsia="宋体" w:cs="宋体"/>
                <w:color w:val="auto"/>
                <w:sz w:val="21"/>
                <w:szCs w:val="21"/>
                <w:shd w:val="clear" w:color="auto" w:fill="auto"/>
                <w:lang w:eastAsia="zh-CN"/>
              </w:rPr>
            </w:pPr>
            <w:r>
              <w:rPr>
                <w:rStyle w:val="15"/>
                <w:rFonts w:hint="eastAsia" w:ascii="宋体" w:hAnsi="宋体" w:eastAsia="宋体" w:cs="宋体"/>
                <w:color w:val="auto"/>
                <w:sz w:val="21"/>
                <w:szCs w:val="21"/>
                <w:shd w:val="clear" w:color="auto" w:fill="auto"/>
              </w:rPr>
              <w:t>（1）投标文件按照招标文件规定的格式、内容填写，字迹清晰可辨，内容齐全完整：</w:t>
            </w:r>
          </w:p>
          <w:p w14:paraId="2CB78A0F">
            <w:pPr>
              <w:pStyle w:val="13"/>
              <w:keepNext w:val="0"/>
              <w:keepLines w:val="0"/>
              <w:pageBreakBefore w:val="0"/>
              <w:widowControl w:val="0"/>
              <w:shd w:val="clear" w:color="auto" w:fill="auto"/>
              <w:tabs>
                <w:tab w:val="left" w:pos="569"/>
              </w:tabs>
              <w:kinsoku/>
              <w:wordWrap/>
              <w:overflowPunct/>
              <w:topLinePunct w:val="0"/>
              <w:autoSpaceDE/>
              <w:autoSpaceDN/>
              <w:bidi w:val="0"/>
              <w:spacing w:before="0" w:line="360" w:lineRule="exact"/>
              <w:ind w:firstLine="420" w:firstLineChars="200"/>
              <w:jc w:val="left"/>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a.投标函按招标文件规定填报了项目名称、标段号、补遗书编号（如有)、投标价（包括大写金额和小写金额</w:t>
            </w:r>
            <w:r>
              <w:rPr>
                <w:rStyle w:val="15"/>
                <w:rFonts w:hint="eastAsia" w:ascii="宋体" w:hAnsi="宋体" w:eastAsia="宋体" w:cs="宋体"/>
                <w:color w:val="auto"/>
                <w:sz w:val="21"/>
                <w:szCs w:val="21"/>
                <w:shd w:val="clear" w:color="auto" w:fill="auto"/>
                <w:lang w:bidi="en-US"/>
              </w:rPr>
              <w:t>)；</w:t>
            </w:r>
          </w:p>
          <w:p w14:paraId="12132FED">
            <w:pPr>
              <w:pStyle w:val="13"/>
              <w:keepNext w:val="0"/>
              <w:keepLines w:val="0"/>
              <w:pageBreakBefore w:val="0"/>
              <w:widowControl w:val="0"/>
              <w:shd w:val="clear" w:color="auto" w:fill="auto"/>
              <w:tabs>
                <w:tab w:val="left" w:pos="593"/>
              </w:tabs>
              <w:kinsoku/>
              <w:wordWrap/>
              <w:overflowPunct/>
              <w:topLinePunct w:val="0"/>
              <w:autoSpaceDE/>
              <w:autoSpaceDN/>
              <w:bidi w:val="0"/>
              <w:spacing w:before="0" w:line="360" w:lineRule="exact"/>
              <w:ind w:firstLine="420" w:firstLineChars="200"/>
              <w:jc w:val="left"/>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b.已标价报价清单说明文字与招标文件规定一致，未进行实质性修改和删减；</w:t>
            </w:r>
          </w:p>
          <w:p w14:paraId="74E8822E">
            <w:pPr>
              <w:pStyle w:val="13"/>
              <w:keepNext w:val="0"/>
              <w:keepLines w:val="0"/>
              <w:pageBreakBefore w:val="0"/>
              <w:widowControl w:val="0"/>
              <w:shd w:val="clear" w:color="auto" w:fill="auto"/>
              <w:kinsoku/>
              <w:wordWrap/>
              <w:overflowPunct/>
              <w:topLinePunct w:val="0"/>
              <w:autoSpaceDE/>
              <w:autoSpaceDN/>
              <w:bidi w:val="0"/>
              <w:spacing w:before="0" w:line="360" w:lineRule="exact"/>
              <w:ind w:firstLine="420" w:firstLineChars="200"/>
              <w:jc w:val="left"/>
              <w:rPr>
                <w:rFonts w:hint="eastAsia" w:ascii="宋体" w:hAnsi="宋体" w:eastAsia="宋体" w:cs="宋体"/>
                <w:color w:val="auto"/>
                <w:sz w:val="21"/>
                <w:szCs w:val="21"/>
              </w:rPr>
            </w:pPr>
            <w:r>
              <w:rPr>
                <w:rStyle w:val="17"/>
                <w:rFonts w:hint="eastAsia" w:ascii="宋体" w:hAnsi="宋体" w:eastAsia="宋体" w:cs="宋体"/>
                <w:color w:val="auto"/>
                <w:sz w:val="21"/>
                <w:szCs w:val="21"/>
                <w:shd w:val="clear" w:color="auto" w:fill="auto"/>
                <w:lang w:eastAsia="zh-CN"/>
              </w:rPr>
              <w:t>c.</w:t>
            </w:r>
            <w:r>
              <w:rPr>
                <w:rStyle w:val="15"/>
                <w:rFonts w:hint="eastAsia" w:ascii="宋体" w:hAnsi="宋体" w:eastAsia="宋体" w:cs="宋体"/>
                <w:color w:val="auto"/>
                <w:sz w:val="21"/>
                <w:szCs w:val="21"/>
                <w:shd w:val="clear" w:color="auto" w:fill="auto"/>
              </w:rPr>
              <w:t>投标文件组成齐全完整，内容均按规定填写。</w:t>
            </w:r>
          </w:p>
          <w:p w14:paraId="6747F895">
            <w:pPr>
              <w:pStyle w:val="13"/>
              <w:keepNext w:val="0"/>
              <w:keepLines w:val="0"/>
              <w:pageBreakBefore w:val="0"/>
              <w:widowControl w:val="0"/>
              <w:shd w:val="clear" w:color="auto" w:fill="auto"/>
              <w:tabs>
                <w:tab w:val="left" w:pos="948"/>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（2）投标文件上法定代表人或其委托代理人的签字、投标人的单位章盖章齐全，符合招标文件规定。</w:t>
            </w:r>
          </w:p>
          <w:p w14:paraId="53B256C6">
            <w:pPr>
              <w:pStyle w:val="13"/>
              <w:keepNext w:val="0"/>
              <w:keepLines w:val="0"/>
              <w:pageBreakBefore w:val="0"/>
              <w:widowControl w:val="0"/>
              <w:shd w:val="clear" w:color="auto" w:fill="auto"/>
              <w:tabs>
                <w:tab w:val="left" w:pos="1075"/>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（3）投标报价未超过招标文件设定的最高投标限价。</w:t>
            </w:r>
          </w:p>
          <w:p w14:paraId="794E12ED">
            <w:pPr>
              <w:pStyle w:val="13"/>
              <w:keepNext w:val="0"/>
              <w:keepLines w:val="0"/>
              <w:pageBreakBefore w:val="0"/>
              <w:widowControl w:val="0"/>
              <w:shd w:val="clear" w:color="auto" w:fill="auto"/>
              <w:tabs>
                <w:tab w:val="left" w:pos="1075"/>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（4）投标报价的大写金额能够确定具体数值。</w:t>
            </w:r>
          </w:p>
          <w:p w14:paraId="748B06B9">
            <w:pPr>
              <w:pStyle w:val="13"/>
              <w:keepNext w:val="0"/>
              <w:keepLines w:val="0"/>
              <w:pageBreakBefore w:val="0"/>
              <w:widowControl w:val="0"/>
              <w:shd w:val="clear" w:color="auto" w:fill="auto"/>
              <w:tabs>
                <w:tab w:val="left" w:pos="965"/>
              </w:tabs>
              <w:kinsoku/>
              <w:wordWrap/>
              <w:overflowPunct/>
              <w:topLinePunct w:val="0"/>
              <w:autoSpaceDE/>
              <w:autoSpaceDN/>
              <w:bidi w:val="0"/>
              <w:spacing w:before="0" w:line="360" w:lineRule="exact"/>
              <w:ind w:firstLine="420" w:firstLineChars="200"/>
              <w:jc w:val="both"/>
              <w:rPr>
                <w:rFonts w:hint="eastAsia" w:ascii="宋体" w:hAnsi="宋体" w:eastAsia="宋体" w:cs="宋体"/>
                <w:color w:val="auto"/>
                <w:sz w:val="21"/>
                <w:szCs w:val="21"/>
              </w:rPr>
            </w:pPr>
            <w:r>
              <w:rPr>
                <w:rStyle w:val="15"/>
                <w:rFonts w:hint="eastAsia" w:ascii="宋体" w:hAnsi="宋体" w:eastAsia="宋体" w:cs="宋体"/>
                <w:color w:val="auto"/>
                <w:sz w:val="21"/>
                <w:szCs w:val="21"/>
                <w:shd w:val="clear" w:color="auto" w:fill="auto"/>
              </w:rPr>
              <w:t>（5）同一投标人未提交两个以上不同的投标报价，但招标文件要求提交备选投标的除外。</w:t>
            </w:r>
          </w:p>
        </w:tc>
      </w:tr>
      <w:tr w14:paraId="3AAA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14:paraId="39A793D3">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2.1.2</w:t>
            </w:r>
          </w:p>
        </w:tc>
        <w:tc>
          <w:tcPr>
            <w:tcW w:w="1173" w:type="dxa"/>
            <w:shd w:val="clear" w:color="auto" w:fill="auto"/>
            <w:vAlign w:val="center"/>
          </w:tcPr>
          <w:p w14:paraId="4256341F">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资格</w:t>
            </w:r>
          </w:p>
          <w:p w14:paraId="7CA3220A">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评审标准</w:t>
            </w:r>
          </w:p>
        </w:tc>
        <w:tc>
          <w:tcPr>
            <w:tcW w:w="7536" w:type="dxa"/>
            <w:shd w:val="clear" w:color="auto" w:fill="auto"/>
          </w:tcPr>
          <w:p w14:paraId="6FF61A86">
            <w:pPr>
              <w:pStyle w:val="13"/>
              <w:keepNext w:val="0"/>
              <w:keepLines w:val="0"/>
              <w:pageBreakBefore w:val="0"/>
              <w:widowControl w:val="0"/>
              <w:shd w:val="clear" w:color="auto" w:fill="auto"/>
              <w:tabs>
                <w:tab w:val="left" w:pos="946"/>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（1）投标人具备有效的营业执照、设计资质证书和基本账户开户许可证明材料。</w:t>
            </w:r>
          </w:p>
          <w:p w14:paraId="0CE7AE2D">
            <w:pPr>
              <w:pStyle w:val="13"/>
              <w:keepNext w:val="0"/>
              <w:keepLines w:val="0"/>
              <w:pageBreakBefore w:val="0"/>
              <w:widowControl w:val="0"/>
              <w:shd w:val="clear" w:color="auto" w:fill="auto"/>
              <w:tabs>
                <w:tab w:val="left" w:pos="1073"/>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（2）投标人的资质等级符合招标文件规定。</w:t>
            </w:r>
          </w:p>
          <w:p w14:paraId="54AF6861">
            <w:pPr>
              <w:pStyle w:val="13"/>
              <w:keepNext w:val="0"/>
              <w:keepLines w:val="0"/>
              <w:pageBreakBefore w:val="0"/>
              <w:widowControl w:val="0"/>
              <w:shd w:val="clear" w:color="auto" w:fill="auto"/>
              <w:tabs>
                <w:tab w:val="left" w:pos="1078"/>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（3）投标人的类似项目业绩符合招标文件规定。</w:t>
            </w:r>
          </w:p>
          <w:p w14:paraId="2A7D9993">
            <w:pPr>
              <w:pStyle w:val="13"/>
              <w:keepNext w:val="0"/>
              <w:keepLines w:val="0"/>
              <w:pageBreakBefore w:val="0"/>
              <w:widowControl w:val="0"/>
              <w:shd w:val="clear" w:color="auto" w:fill="auto"/>
              <w:tabs>
                <w:tab w:val="left" w:pos="1075"/>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（4）投标人的信誉符合招标文件规定。</w:t>
            </w:r>
          </w:p>
          <w:p w14:paraId="22B013F6">
            <w:pPr>
              <w:pStyle w:val="13"/>
              <w:keepNext w:val="0"/>
              <w:keepLines w:val="0"/>
              <w:pageBreakBefore w:val="0"/>
              <w:widowControl w:val="0"/>
              <w:shd w:val="clear" w:color="auto" w:fill="auto"/>
              <w:tabs>
                <w:tab w:val="left" w:pos="1078"/>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（5）投标人的项目负责人资格符合招标文件规定。</w:t>
            </w:r>
          </w:p>
          <w:p w14:paraId="44A5E540">
            <w:pPr>
              <w:pStyle w:val="13"/>
              <w:keepNext w:val="0"/>
              <w:keepLines w:val="0"/>
              <w:pageBreakBefore w:val="0"/>
              <w:widowControl w:val="0"/>
              <w:shd w:val="clear" w:color="auto" w:fill="auto"/>
              <w:tabs>
                <w:tab w:val="left" w:pos="1073"/>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（6）投标人不存在第二章“投标人须知”第1.4.3项或第1.4.4项规定的任何一种情形。</w:t>
            </w:r>
          </w:p>
          <w:p w14:paraId="7417E877">
            <w:pPr>
              <w:pStyle w:val="13"/>
              <w:keepNext w:val="0"/>
              <w:keepLines w:val="0"/>
              <w:pageBreakBefore w:val="0"/>
              <w:widowControl w:val="0"/>
              <w:shd w:val="clear" w:color="auto" w:fill="auto"/>
              <w:tabs>
                <w:tab w:val="left" w:pos="1073"/>
              </w:tabs>
              <w:kinsoku/>
              <w:wordWrap/>
              <w:overflowPunct/>
              <w:topLinePunct w:val="0"/>
              <w:autoSpaceDE/>
              <w:autoSpaceDN/>
              <w:bidi w:val="0"/>
              <w:spacing w:before="0" w:line="360" w:lineRule="exact"/>
              <w:ind w:firstLine="420" w:firstLineChars="200"/>
              <w:jc w:val="both"/>
              <w:rPr>
                <w:rStyle w:val="15"/>
                <w:rFonts w:hint="eastAsia" w:ascii="宋体" w:hAnsi="宋体" w:eastAsia="宋体" w:cs="宋体"/>
                <w:color w:val="auto"/>
                <w:kern w:val="0"/>
                <w:sz w:val="21"/>
                <w:szCs w:val="21"/>
                <w:shd w:val="clear" w:color="auto" w:fill="auto"/>
              </w:rPr>
            </w:pPr>
            <w:r>
              <w:rPr>
                <w:rStyle w:val="15"/>
                <w:rFonts w:hint="eastAsia" w:ascii="宋体" w:hAnsi="宋体" w:eastAsia="宋体" w:cs="宋体"/>
                <w:color w:val="auto"/>
                <w:sz w:val="21"/>
                <w:szCs w:val="21"/>
                <w:shd w:val="clear" w:color="auto" w:fill="auto"/>
              </w:rPr>
              <w:t>（</w:t>
            </w:r>
            <w:r>
              <w:rPr>
                <w:rStyle w:val="15"/>
                <w:rFonts w:hint="eastAsia" w:ascii="宋体" w:hAnsi="宋体" w:eastAsia="宋体" w:cs="宋体"/>
                <w:color w:val="auto"/>
                <w:sz w:val="21"/>
                <w:szCs w:val="21"/>
                <w:shd w:val="clear" w:color="auto" w:fill="auto"/>
                <w:lang w:eastAsia="zh-CN"/>
              </w:rPr>
              <w:t>7</w:t>
            </w:r>
            <w:r>
              <w:rPr>
                <w:rStyle w:val="15"/>
                <w:rFonts w:hint="eastAsia" w:ascii="宋体" w:hAnsi="宋体" w:eastAsia="宋体" w:cs="宋体"/>
                <w:color w:val="auto"/>
                <w:sz w:val="21"/>
                <w:szCs w:val="21"/>
                <w:shd w:val="clear" w:color="auto" w:fill="auto"/>
              </w:rPr>
              <w:t>）投标人符合第二章“投标人须知”第1.4.5项规定。</w:t>
            </w:r>
          </w:p>
        </w:tc>
      </w:tr>
    </w:tbl>
    <w:p w14:paraId="2CBC5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p>
    <w:tbl>
      <w:tblPr>
        <w:tblStyle w:val="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3"/>
        <w:gridCol w:w="7536"/>
      </w:tblGrid>
      <w:tr w14:paraId="6C99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3" w:type="dxa"/>
            <w:shd w:val="clear" w:color="auto" w:fill="auto"/>
            <w:vAlign w:val="center"/>
          </w:tcPr>
          <w:p w14:paraId="0CB7E8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173" w:type="dxa"/>
            <w:shd w:val="clear" w:color="auto" w:fill="auto"/>
            <w:vAlign w:val="center"/>
          </w:tcPr>
          <w:p w14:paraId="108E09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条款内容</w:t>
            </w:r>
          </w:p>
        </w:tc>
        <w:tc>
          <w:tcPr>
            <w:tcW w:w="7536" w:type="dxa"/>
            <w:shd w:val="clear" w:color="auto" w:fill="auto"/>
            <w:vAlign w:val="center"/>
          </w:tcPr>
          <w:p w14:paraId="568077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14:paraId="5312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853" w:type="dxa"/>
            <w:shd w:val="clear" w:color="auto" w:fill="auto"/>
            <w:vAlign w:val="center"/>
          </w:tcPr>
          <w:p w14:paraId="6B473E4B">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2.2.1</w:t>
            </w:r>
          </w:p>
        </w:tc>
        <w:tc>
          <w:tcPr>
            <w:tcW w:w="1173" w:type="dxa"/>
            <w:shd w:val="clear" w:color="auto" w:fill="auto"/>
            <w:vAlign w:val="center"/>
          </w:tcPr>
          <w:p w14:paraId="71FF99CF">
            <w:pPr>
              <w:keepNext w:val="0"/>
              <w:keepLines w:val="0"/>
              <w:pageBreakBefore w:val="0"/>
              <w:widowControl w:val="0"/>
              <w:kinsoku/>
              <w:wordWrap/>
              <w:overflowPunct/>
              <w:topLinePunct w:val="0"/>
              <w:autoSpaceDE/>
              <w:autoSpaceDN/>
              <w:bidi w:val="0"/>
              <w:spacing w:line="360" w:lineRule="exact"/>
              <w:jc w:val="center"/>
              <w:rPr>
                <w:rStyle w:val="16"/>
                <w:rFonts w:hint="eastAsia" w:ascii="宋体" w:hAnsi="宋体" w:eastAsia="宋体" w:cs="宋体"/>
                <w:b w:val="0"/>
                <w:color w:val="auto"/>
                <w:sz w:val="21"/>
                <w:szCs w:val="21"/>
                <w:lang w:eastAsia="zh-CN"/>
              </w:rPr>
            </w:pPr>
            <w:r>
              <w:rPr>
                <w:rStyle w:val="16"/>
                <w:rFonts w:hint="eastAsia" w:ascii="宋体" w:hAnsi="宋体" w:eastAsia="宋体" w:cs="宋体"/>
                <w:b w:val="0"/>
                <w:color w:val="auto"/>
                <w:sz w:val="21"/>
                <w:szCs w:val="21"/>
              </w:rPr>
              <w:t>分值构成</w:t>
            </w:r>
          </w:p>
          <w:p w14:paraId="0619774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6"/>
                <w:rFonts w:hint="eastAsia" w:ascii="宋体" w:hAnsi="宋体" w:eastAsia="宋体" w:cs="宋体"/>
                <w:b w:val="0"/>
                <w:color w:val="auto"/>
                <w:sz w:val="21"/>
                <w:szCs w:val="21"/>
              </w:rPr>
              <w:t>(总分</w:t>
            </w:r>
            <w:r>
              <w:rPr>
                <w:rStyle w:val="16"/>
                <w:rFonts w:hint="eastAsia" w:ascii="宋体" w:hAnsi="宋体" w:eastAsia="宋体" w:cs="宋体"/>
                <w:b w:val="0"/>
                <w:color w:val="auto"/>
                <w:sz w:val="21"/>
                <w:szCs w:val="21"/>
              </w:rPr>
              <w:br w:type="textWrapping"/>
            </w:r>
            <w:r>
              <w:rPr>
                <w:rStyle w:val="16"/>
                <w:rFonts w:hint="eastAsia" w:ascii="宋体" w:hAnsi="宋体" w:eastAsia="宋体" w:cs="宋体"/>
                <w:b w:val="0"/>
                <w:color w:val="auto"/>
                <w:sz w:val="21"/>
                <w:szCs w:val="21"/>
              </w:rPr>
              <w:t>100分）</w:t>
            </w:r>
          </w:p>
        </w:tc>
        <w:tc>
          <w:tcPr>
            <w:tcW w:w="7536" w:type="dxa"/>
            <w:shd w:val="clear" w:color="auto" w:fill="auto"/>
          </w:tcPr>
          <w:p w14:paraId="78980231">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Style w:val="16"/>
                <w:rFonts w:hint="eastAsia" w:ascii="宋体" w:hAnsi="宋体" w:eastAsia="宋体" w:cs="宋体"/>
                <w:b w:val="0"/>
                <w:color w:val="auto"/>
                <w:sz w:val="21"/>
                <w:szCs w:val="21"/>
              </w:rPr>
            </w:pPr>
            <w:r>
              <w:rPr>
                <w:rStyle w:val="16"/>
                <w:rFonts w:hint="eastAsia" w:ascii="宋体" w:hAnsi="宋体" w:eastAsia="宋体" w:cs="宋体"/>
                <w:b w:val="0"/>
                <w:color w:val="auto"/>
                <w:sz w:val="21"/>
                <w:szCs w:val="21"/>
              </w:rPr>
              <w:t>第一个信封（商务及技术文件）评分分值构成：</w:t>
            </w:r>
          </w:p>
          <w:p w14:paraId="14C277D2">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Style w:val="16"/>
                <w:rFonts w:hint="eastAsia" w:ascii="宋体" w:hAnsi="宋体" w:eastAsia="宋体" w:cs="宋体"/>
                <w:b w:val="0"/>
                <w:color w:val="auto"/>
                <w:sz w:val="21"/>
                <w:szCs w:val="21"/>
              </w:rPr>
            </w:pPr>
            <w:r>
              <w:rPr>
                <w:rStyle w:val="16"/>
                <w:rFonts w:hint="eastAsia" w:ascii="宋体" w:hAnsi="宋体" w:eastAsia="宋体" w:cs="宋体"/>
                <w:b w:val="0"/>
                <w:color w:val="auto"/>
                <w:sz w:val="21"/>
                <w:szCs w:val="21"/>
              </w:rPr>
              <w:t>技术建议书：</w:t>
            </w:r>
            <w:r>
              <w:rPr>
                <w:rStyle w:val="16"/>
                <w:rFonts w:hint="eastAsia" w:ascii="宋体" w:hAnsi="宋体" w:eastAsia="宋体" w:cs="宋体"/>
                <w:b w:val="0"/>
                <w:color w:val="auto"/>
                <w:sz w:val="21"/>
                <w:szCs w:val="21"/>
                <w:u w:val="single"/>
                <w:lang w:eastAsia="zh-CN"/>
              </w:rPr>
              <w:t>45</w:t>
            </w:r>
            <w:r>
              <w:rPr>
                <w:rStyle w:val="16"/>
                <w:rFonts w:hint="eastAsia" w:ascii="宋体" w:hAnsi="宋体" w:eastAsia="宋体" w:cs="宋体"/>
                <w:b w:val="0"/>
                <w:color w:val="auto"/>
                <w:sz w:val="21"/>
                <w:szCs w:val="21"/>
              </w:rPr>
              <w:t>分</w:t>
            </w:r>
          </w:p>
          <w:p w14:paraId="7F3B5006">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Style w:val="16"/>
                <w:rFonts w:hint="eastAsia" w:ascii="宋体" w:hAnsi="宋体" w:eastAsia="宋体" w:cs="宋体"/>
                <w:b w:val="0"/>
                <w:color w:val="auto"/>
                <w:sz w:val="21"/>
                <w:szCs w:val="21"/>
              </w:rPr>
            </w:pPr>
            <w:r>
              <w:rPr>
                <w:rStyle w:val="16"/>
                <w:rFonts w:hint="eastAsia" w:ascii="宋体" w:hAnsi="宋体" w:eastAsia="宋体" w:cs="宋体"/>
                <w:b w:val="0"/>
                <w:color w:val="auto"/>
                <w:sz w:val="21"/>
                <w:szCs w:val="21"/>
              </w:rPr>
              <w:t>主要人员：</w:t>
            </w:r>
            <w:r>
              <w:rPr>
                <w:rStyle w:val="16"/>
                <w:rFonts w:hint="eastAsia" w:ascii="宋体" w:hAnsi="宋体" w:eastAsia="宋体" w:cs="宋体"/>
                <w:b w:val="0"/>
                <w:color w:val="auto"/>
                <w:sz w:val="21"/>
                <w:szCs w:val="21"/>
                <w:u w:val="single"/>
                <w:lang w:eastAsia="zh-CN"/>
              </w:rPr>
              <w:t>20</w:t>
            </w:r>
            <w:r>
              <w:rPr>
                <w:rStyle w:val="16"/>
                <w:rFonts w:hint="eastAsia" w:ascii="宋体" w:hAnsi="宋体" w:eastAsia="宋体" w:cs="宋体"/>
                <w:b w:val="0"/>
                <w:color w:val="auto"/>
                <w:sz w:val="21"/>
                <w:szCs w:val="21"/>
              </w:rPr>
              <w:t>分</w:t>
            </w:r>
          </w:p>
          <w:p w14:paraId="240A06B1">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Style w:val="16"/>
                <w:rFonts w:hint="eastAsia" w:ascii="宋体" w:hAnsi="宋体" w:eastAsia="宋体" w:cs="宋体"/>
                <w:b w:val="0"/>
                <w:color w:val="auto"/>
                <w:sz w:val="21"/>
                <w:szCs w:val="21"/>
              </w:rPr>
            </w:pPr>
            <w:r>
              <w:rPr>
                <w:rStyle w:val="16"/>
                <w:rFonts w:hint="eastAsia" w:ascii="宋体" w:hAnsi="宋体" w:eastAsia="宋体" w:cs="宋体"/>
                <w:b w:val="0"/>
                <w:color w:val="auto"/>
                <w:sz w:val="21"/>
                <w:szCs w:val="21"/>
              </w:rPr>
              <w:t>业绩：</w:t>
            </w:r>
            <w:r>
              <w:rPr>
                <w:rStyle w:val="16"/>
                <w:rFonts w:hint="eastAsia" w:ascii="宋体" w:hAnsi="宋体" w:eastAsia="宋体" w:cs="宋体"/>
                <w:b w:val="0"/>
                <w:color w:val="auto"/>
                <w:sz w:val="21"/>
                <w:szCs w:val="21"/>
                <w:u w:val="single"/>
                <w:lang w:eastAsia="zh-CN"/>
              </w:rPr>
              <w:t>20</w:t>
            </w:r>
            <w:r>
              <w:rPr>
                <w:rStyle w:val="16"/>
                <w:rFonts w:hint="eastAsia" w:ascii="宋体" w:hAnsi="宋体" w:eastAsia="宋体" w:cs="宋体"/>
                <w:b w:val="0"/>
                <w:color w:val="auto"/>
                <w:sz w:val="21"/>
                <w:szCs w:val="21"/>
              </w:rPr>
              <w:t>分</w:t>
            </w:r>
          </w:p>
          <w:p w14:paraId="27C95C5A">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Style w:val="16"/>
                <w:rFonts w:hint="eastAsia" w:ascii="宋体" w:hAnsi="宋体" w:eastAsia="宋体" w:cs="宋体"/>
                <w:b w:val="0"/>
                <w:color w:val="auto"/>
                <w:sz w:val="21"/>
                <w:szCs w:val="21"/>
                <w:lang w:eastAsia="zh-CN"/>
              </w:rPr>
            </w:pPr>
            <w:r>
              <w:rPr>
                <w:rStyle w:val="16"/>
                <w:rFonts w:hint="eastAsia" w:ascii="宋体" w:hAnsi="宋体" w:eastAsia="宋体" w:cs="宋体"/>
                <w:b w:val="0"/>
                <w:color w:val="auto"/>
                <w:sz w:val="21"/>
                <w:szCs w:val="21"/>
              </w:rPr>
              <w:t>履约信誉：</w:t>
            </w:r>
            <w:r>
              <w:rPr>
                <w:rStyle w:val="16"/>
                <w:rFonts w:hint="eastAsia" w:ascii="宋体" w:hAnsi="宋体" w:eastAsia="宋体" w:cs="宋体"/>
                <w:b w:val="0"/>
                <w:color w:val="auto"/>
                <w:sz w:val="21"/>
                <w:szCs w:val="21"/>
                <w:u w:val="single"/>
                <w:lang w:eastAsia="zh-CN"/>
              </w:rPr>
              <w:t>5</w:t>
            </w:r>
            <w:r>
              <w:rPr>
                <w:rStyle w:val="16"/>
                <w:rFonts w:hint="eastAsia" w:ascii="宋体" w:hAnsi="宋体" w:eastAsia="宋体" w:cs="宋体"/>
                <w:b w:val="0"/>
                <w:color w:val="auto"/>
                <w:sz w:val="21"/>
                <w:szCs w:val="21"/>
              </w:rPr>
              <w:t>分</w:t>
            </w:r>
          </w:p>
          <w:p w14:paraId="0B262227">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Fonts w:hint="eastAsia" w:ascii="宋体" w:hAnsi="宋体" w:eastAsia="宋体" w:cs="宋体"/>
                <w:bCs/>
                <w:color w:val="auto"/>
                <w:sz w:val="21"/>
                <w:szCs w:val="21"/>
                <w:lang w:val="zh-TW" w:bidi="zh-TW"/>
              </w:rPr>
            </w:pPr>
            <w:r>
              <w:rPr>
                <w:rStyle w:val="16"/>
                <w:rFonts w:hint="eastAsia" w:ascii="宋体" w:hAnsi="宋体" w:eastAsia="宋体" w:cs="宋体"/>
                <w:b w:val="0"/>
                <w:color w:val="auto"/>
                <w:sz w:val="21"/>
                <w:szCs w:val="21"/>
              </w:rPr>
              <w:t>第二个信封（报价文件）评分分值构成：</w:t>
            </w:r>
          </w:p>
          <w:p w14:paraId="67F1DFAD">
            <w:pPr>
              <w:pStyle w:val="13"/>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left"/>
              <w:textAlignment w:val="auto"/>
              <w:rPr>
                <w:rFonts w:hint="eastAsia" w:ascii="宋体" w:hAnsi="宋体" w:eastAsia="宋体" w:cs="宋体"/>
                <w:color w:val="auto"/>
                <w:kern w:val="20"/>
                <w:sz w:val="21"/>
                <w:szCs w:val="21"/>
              </w:rPr>
            </w:pPr>
            <w:r>
              <w:rPr>
                <w:rStyle w:val="16"/>
                <w:rFonts w:hint="eastAsia" w:ascii="宋体" w:hAnsi="宋体" w:eastAsia="宋体" w:cs="宋体"/>
                <w:b w:val="0"/>
                <w:color w:val="auto"/>
                <w:sz w:val="21"/>
                <w:szCs w:val="21"/>
              </w:rPr>
              <w:t>评标价：</w:t>
            </w:r>
            <w:r>
              <w:rPr>
                <w:rStyle w:val="16"/>
                <w:rFonts w:hint="eastAsia" w:ascii="宋体" w:hAnsi="宋体" w:eastAsia="宋体" w:cs="宋体"/>
                <w:b w:val="0"/>
                <w:color w:val="auto"/>
                <w:sz w:val="21"/>
                <w:szCs w:val="21"/>
                <w:u w:val="single"/>
                <w:lang w:eastAsia="zh-CN"/>
              </w:rPr>
              <w:t>10</w:t>
            </w:r>
            <w:r>
              <w:rPr>
                <w:rStyle w:val="16"/>
                <w:rFonts w:hint="eastAsia" w:ascii="宋体" w:hAnsi="宋体" w:eastAsia="宋体" w:cs="宋体"/>
                <w:b w:val="0"/>
                <w:color w:val="auto"/>
                <w:sz w:val="21"/>
                <w:szCs w:val="21"/>
              </w:rPr>
              <w:t>分</w:t>
            </w:r>
          </w:p>
        </w:tc>
      </w:tr>
      <w:tr w14:paraId="32F4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14:paraId="20F56CD2">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2.2.2</w:t>
            </w:r>
          </w:p>
        </w:tc>
        <w:tc>
          <w:tcPr>
            <w:tcW w:w="1173" w:type="dxa"/>
            <w:shd w:val="clear" w:color="auto" w:fill="auto"/>
            <w:vAlign w:val="center"/>
          </w:tcPr>
          <w:p w14:paraId="08C72A4E">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6"/>
                <w:rFonts w:hint="eastAsia" w:ascii="宋体" w:hAnsi="宋体" w:eastAsia="宋体" w:cs="宋体"/>
                <w:b w:val="0"/>
                <w:color w:val="auto"/>
                <w:sz w:val="21"/>
                <w:szCs w:val="21"/>
              </w:rPr>
              <w:t>评标基准价计算方法</w:t>
            </w:r>
          </w:p>
        </w:tc>
        <w:tc>
          <w:tcPr>
            <w:tcW w:w="7536" w:type="dxa"/>
            <w:shd w:val="clear" w:color="auto" w:fill="auto"/>
          </w:tcPr>
          <w:p w14:paraId="1D233690">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评标基准价的计算：</w:t>
            </w:r>
          </w:p>
          <w:p w14:paraId="0A7F79BE">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在开标现场，招标人将当场计算并宣布评标基准价。</w:t>
            </w:r>
          </w:p>
          <w:p w14:paraId="318D25FC">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（1）评标价的确定：</w:t>
            </w:r>
          </w:p>
          <w:p w14:paraId="091EA830">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评标价=投标函文字报价</w:t>
            </w:r>
          </w:p>
          <w:p w14:paraId="03080ADE">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（2）评标价平均值的计算：</w:t>
            </w:r>
          </w:p>
          <w:p w14:paraId="76284E49">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除按第二章“投标人须知”第5.2.4项规定开标现场被宣布为不参与评标基准价计算的投标报价之外，所有投标人的评标价去掉一个最高值和一个最低值后的算术平均值即为评标价平均值</w:t>
            </w:r>
            <w:r>
              <w:rPr>
                <w:rFonts w:hint="eastAsia" w:ascii="宋体" w:hAnsi="宋体" w:eastAsia="宋体" w:cs="宋体"/>
                <w:bCs/>
                <w:color w:val="auto"/>
                <w:sz w:val="21"/>
                <w:szCs w:val="21"/>
                <w:highlight w:val="none"/>
              </w:rPr>
              <w:t>（如果参与评标价平均值计算的有效投标人少于5家时，则计算评标价平均值时不去掉最高值和最低值），评标价平均值的计算保留整数，小数点后第1位“四舍五入”。</w:t>
            </w:r>
          </w:p>
          <w:p w14:paraId="67AEC38A">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（3）评标基准价的确定：</w:t>
            </w:r>
          </w:p>
          <w:p w14:paraId="7BC8A0EC">
            <w:pPr>
              <w:pStyle w:val="14"/>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将评标价平均值直接作为评标基准价。</w:t>
            </w:r>
          </w:p>
          <w:p w14:paraId="26E4D3E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kern w:val="20"/>
                <w:sz w:val="21"/>
                <w:szCs w:val="21"/>
              </w:rPr>
            </w:pPr>
            <w:r>
              <w:rPr>
                <w:rFonts w:hint="eastAsia" w:ascii="宋体" w:hAnsi="宋体" w:eastAsia="宋体" w:cs="宋体"/>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3D4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14:paraId="08AB8E80">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2.2.3</w:t>
            </w:r>
          </w:p>
        </w:tc>
        <w:tc>
          <w:tcPr>
            <w:tcW w:w="1173" w:type="dxa"/>
            <w:shd w:val="clear" w:color="auto" w:fill="auto"/>
            <w:vAlign w:val="center"/>
          </w:tcPr>
          <w:p w14:paraId="4C3E8C50">
            <w:pPr>
              <w:keepNext w:val="0"/>
              <w:keepLines w:val="0"/>
              <w:pageBreakBefore w:val="0"/>
              <w:widowControl w:val="0"/>
              <w:kinsoku/>
              <w:wordWrap/>
              <w:overflowPunct/>
              <w:topLinePunct w:val="0"/>
              <w:autoSpaceDE/>
              <w:autoSpaceDN/>
              <w:bidi w:val="0"/>
              <w:spacing w:line="360" w:lineRule="exact"/>
              <w:jc w:val="center"/>
              <w:rPr>
                <w:rStyle w:val="16"/>
                <w:rFonts w:hint="eastAsia" w:ascii="宋体" w:hAnsi="宋体" w:eastAsia="宋体" w:cs="宋体"/>
                <w:b w:val="0"/>
                <w:color w:val="auto"/>
                <w:sz w:val="21"/>
                <w:szCs w:val="21"/>
              </w:rPr>
            </w:pPr>
            <w:r>
              <w:rPr>
                <w:rStyle w:val="15"/>
                <w:rFonts w:hint="eastAsia" w:ascii="宋体" w:hAnsi="宋体" w:eastAsia="宋体" w:cs="宋体"/>
                <w:color w:val="auto"/>
                <w:sz w:val="21"/>
                <w:szCs w:val="21"/>
                <w:shd w:val="clear" w:color="auto" w:fill="auto"/>
              </w:rPr>
              <w:t>评标价的偏差率计算公式</w:t>
            </w:r>
          </w:p>
        </w:tc>
        <w:tc>
          <w:tcPr>
            <w:tcW w:w="7536" w:type="dxa"/>
            <w:shd w:val="clear" w:color="auto" w:fill="auto"/>
            <w:vAlign w:val="center"/>
          </w:tcPr>
          <w:p w14:paraId="68905547">
            <w:pPr>
              <w:keepNext w:val="0"/>
              <w:keepLines w:val="0"/>
              <w:pageBreakBefore w:val="0"/>
              <w:widowControl w:val="0"/>
              <w:kinsoku/>
              <w:wordWrap/>
              <w:overflowPunct/>
              <w:topLinePunct w:val="0"/>
              <w:autoSpaceDE/>
              <w:autoSpaceDN/>
              <w:bidi w:val="0"/>
              <w:spacing w:line="360" w:lineRule="exact"/>
              <w:ind w:firstLine="420" w:firstLineChars="200"/>
              <w:jc w:val="left"/>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偏差率=100%</w:t>
            </w:r>
            <w:r>
              <w:rPr>
                <w:rStyle w:val="17"/>
                <w:rFonts w:hint="eastAsia" w:ascii="宋体" w:hAnsi="宋体" w:eastAsia="宋体" w:cs="宋体"/>
                <w:color w:val="auto"/>
                <w:sz w:val="21"/>
                <w:szCs w:val="21"/>
                <w:shd w:val="clear" w:color="auto" w:fill="auto"/>
                <w:lang w:eastAsia="zh-CN"/>
              </w:rPr>
              <w:t>×</w:t>
            </w:r>
            <w:r>
              <w:rPr>
                <w:rStyle w:val="15"/>
                <w:rFonts w:hint="eastAsia" w:ascii="宋体" w:hAnsi="宋体" w:eastAsia="宋体" w:cs="宋体"/>
                <w:color w:val="auto"/>
                <w:sz w:val="21"/>
                <w:szCs w:val="21"/>
                <w:shd w:val="clear" w:color="auto" w:fill="auto"/>
                <w:lang w:bidi="en-US"/>
              </w:rPr>
              <w:t>(</w:t>
            </w:r>
            <w:r>
              <w:rPr>
                <w:rStyle w:val="15"/>
                <w:rFonts w:hint="eastAsia" w:ascii="宋体" w:hAnsi="宋体" w:eastAsia="宋体" w:cs="宋体"/>
                <w:color w:val="auto"/>
                <w:sz w:val="21"/>
                <w:szCs w:val="21"/>
                <w:shd w:val="clear" w:color="auto" w:fill="auto"/>
              </w:rPr>
              <w:t>投标人评标价-评标基准价</w:t>
            </w:r>
            <w:r>
              <w:rPr>
                <w:rStyle w:val="15"/>
                <w:rFonts w:hint="eastAsia" w:ascii="宋体" w:hAnsi="宋体" w:eastAsia="宋体" w:cs="宋体"/>
                <w:color w:val="auto"/>
                <w:sz w:val="21"/>
                <w:szCs w:val="21"/>
                <w:shd w:val="clear" w:color="auto" w:fill="auto"/>
                <w:lang w:bidi="en-US"/>
              </w:rPr>
              <w:t>）/</w:t>
            </w:r>
            <w:r>
              <w:rPr>
                <w:rStyle w:val="15"/>
                <w:rFonts w:hint="eastAsia" w:ascii="宋体" w:hAnsi="宋体" w:eastAsia="宋体" w:cs="宋体"/>
                <w:color w:val="auto"/>
                <w:sz w:val="21"/>
                <w:szCs w:val="21"/>
                <w:shd w:val="clear" w:color="auto" w:fill="auto"/>
              </w:rPr>
              <w:t>评标基准价</w:t>
            </w:r>
          </w:p>
          <w:p w14:paraId="7268FCF6">
            <w:pPr>
              <w:pStyle w:val="13"/>
              <w:keepNext w:val="0"/>
              <w:keepLines w:val="0"/>
              <w:pageBreakBefore w:val="0"/>
              <w:widowControl w:val="0"/>
              <w:shd w:val="clear" w:color="auto" w:fill="auto"/>
              <w:kinsoku/>
              <w:wordWrap/>
              <w:overflowPunct/>
              <w:topLinePunct w:val="0"/>
              <w:autoSpaceDE/>
              <w:autoSpaceDN/>
              <w:bidi w:val="0"/>
              <w:spacing w:before="0" w:line="360" w:lineRule="exact"/>
              <w:ind w:firstLine="420" w:firstLineChars="200"/>
              <w:jc w:val="left"/>
              <w:rPr>
                <w:rStyle w:val="16"/>
                <w:rFonts w:hint="eastAsia" w:ascii="宋体" w:hAnsi="宋体" w:eastAsia="宋体" w:cs="宋体"/>
                <w:b w:val="0"/>
                <w:color w:val="auto"/>
                <w:sz w:val="21"/>
                <w:szCs w:val="21"/>
              </w:rPr>
            </w:pPr>
            <w:r>
              <w:rPr>
                <w:rStyle w:val="15"/>
                <w:rFonts w:hint="eastAsia" w:ascii="宋体" w:hAnsi="宋体" w:eastAsia="宋体" w:cs="宋体"/>
                <w:color w:val="auto"/>
                <w:sz w:val="21"/>
                <w:szCs w:val="21"/>
                <w:shd w:val="clear" w:color="auto" w:fill="auto"/>
              </w:rPr>
              <w:t>偏差率保留</w:t>
            </w:r>
            <w:r>
              <w:rPr>
                <w:rStyle w:val="15"/>
                <w:rFonts w:hint="eastAsia" w:ascii="宋体" w:hAnsi="宋体" w:eastAsia="宋体" w:cs="宋体"/>
                <w:color w:val="auto"/>
                <w:sz w:val="21"/>
                <w:szCs w:val="21"/>
                <w:shd w:val="clear" w:color="auto" w:fill="auto"/>
                <w:lang w:eastAsia="zh-CN"/>
              </w:rPr>
              <w:t>两</w:t>
            </w:r>
            <w:r>
              <w:rPr>
                <w:rStyle w:val="15"/>
                <w:rFonts w:hint="eastAsia" w:ascii="宋体" w:hAnsi="宋体" w:eastAsia="宋体" w:cs="宋体"/>
                <w:color w:val="auto"/>
                <w:sz w:val="21"/>
                <w:szCs w:val="21"/>
                <w:shd w:val="clear" w:color="auto" w:fill="auto"/>
              </w:rPr>
              <w:t>位小数</w:t>
            </w:r>
          </w:p>
        </w:tc>
      </w:tr>
    </w:tbl>
    <w:p w14:paraId="122BA9F1">
      <w:pPr>
        <w:keepLines w:val="0"/>
        <w:kinsoku/>
        <w:wordWrap/>
        <w:overflowPunct/>
        <w:topLinePunct w:val="0"/>
        <w:autoSpaceDE/>
        <w:autoSpaceDN/>
        <w:bidi w:val="0"/>
        <w:spacing w:line="360" w:lineRule="exact"/>
        <w:ind w:right="420"/>
        <w:jc w:val="left"/>
        <w:rPr>
          <w:rFonts w:hint="eastAsia" w:ascii="宋体" w:hAnsi="宋体" w:eastAsia="宋体" w:cs="宋体"/>
          <w:color w:val="auto"/>
          <w:kern w:val="20"/>
          <w:sz w:val="21"/>
          <w:szCs w:val="21"/>
        </w:rPr>
      </w:pPr>
    </w:p>
    <w:tbl>
      <w:tblPr>
        <w:tblStyle w:val="6"/>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573"/>
        <w:gridCol w:w="586"/>
        <w:gridCol w:w="1091"/>
        <w:gridCol w:w="1909"/>
        <w:gridCol w:w="723"/>
        <w:gridCol w:w="3822"/>
      </w:tblGrid>
      <w:tr w14:paraId="6787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59" w:type="dxa"/>
            <w:gridSpan w:val="6"/>
            <w:shd w:val="clear" w:color="auto" w:fill="auto"/>
            <w:vAlign w:val="center"/>
          </w:tcPr>
          <w:p w14:paraId="60DD5A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评分因素与权重分值</w:t>
            </w:r>
            <w:r>
              <w:rPr>
                <w:rStyle w:val="8"/>
                <w:rFonts w:hint="eastAsia" w:ascii="宋体" w:hAnsi="宋体" w:eastAsia="宋体" w:cs="宋体"/>
                <w:color w:val="auto"/>
                <w:kern w:val="20"/>
                <w:sz w:val="21"/>
                <w:szCs w:val="21"/>
              </w:rPr>
              <w:footnoteReference w:id="3"/>
            </w:r>
          </w:p>
        </w:tc>
        <w:tc>
          <w:tcPr>
            <w:tcW w:w="3822" w:type="dxa"/>
            <w:vMerge w:val="restart"/>
            <w:shd w:val="clear" w:color="auto" w:fill="auto"/>
            <w:vAlign w:val="center"/>
          </w:tcPr>
          <w:p w14:paraId="518DB1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评分标准</w:t>
            </w:r>
          </w:p>
        </w:tc>
      </w:tr>
      <w:tr w14:paraId="4B96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77" w:type="dxa"/>
            <w:shd w:val="clear" w:color="auto" w:fill="auto"/>
            <w:vAlign w:val="center"/>
          </w:tcPr>
          <w:p w14:paraId="248788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条款号</w:t>
            </w:r>
          </w:p>
        </w:tc>
        <w:tc>
          <w:tcPr>
            <w:tcW w:w="1159" w:type="dxa"/>
            <w:gridSpan w:val="2"/>
            <w:shd w:val="clear" w:color="auto" w:fill="auto"/>
            <w:vAlign w:val="center"/>
          </w:tcPr>
          <w:p w14:paraId="13EFDF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评分因素</w:t>
            </w:r>
          </w:p>
        </w:tc>
        <w:tc>
          <w:tcPr>
            <w:tcW w:w="1091" w:type="dxa"/>
            <w:shd w:val="clear" w:color="auto" w:fill="auto"/>
            <w:vAlign w:val="center"/>
          </w:tcPr>
          <w:p w14:paraId="0B23D7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评分因素权重分值</w:t>
            </w:r>
          </w:p>
        </w:tc>
        <w:tc>
          <w:tcPr>
            <w:tcW w:w="1909" w:type="dxa"/>
            <w:shd w:val="clear" w:color="auto" w:fill="auto"/>
            <w:vAlign w:val="center"/>
          </w:tcPr>
          <w:p w14:paraId="57B62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各评分因素细分项</w:t>
            </w:r>
          </w:p>
        </w:tc>
        <w:tc>
          <w:tcPr>
            <w:tcW w:w="723" w:type="dxa"/>
            <w:shd w:val="clear" w:color="auto" w:fill="auto"/>
            <w:vAlign w:val="center"/>
          </w:tcPr>
          <w:p w14:paraId="26F2F2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分值</w:t>
            </w:r>
          </w:p>
        </w:tc>
        <w:tc>
          <w:tcPr>
            <w:tcW w:w="3822" w:type="dxa"/>
            <w:vMerge w:val="continue"/>
            <w:shd w:val="clear" w:color="auto" w:fill="auto"/>
          </w:tcPr>
          <w:p w14:paraId="40D6D3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0"/>
                <w:sz w:val="21"/>
                <w:szCs w:val="21"/>
              </w:rPr>
            </w:pPr>
          </w:p>
        </w:tc>
      </w:tr>
      <w:tr w14:paraId="15E6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Merge w:val="restart"/>
            <w:shd w:val="clear" w:color="auto" w:fill="auto"/>
            <w:vAlign w:val="center"/>
          </w:tcPr>
          <w:p w14:paraId="652214D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2.2.4</w:t>
            </w:r>
            <w:r>
              <w:rPr>
                <w:rStyle w:val="15"/>
                <w:rFonts w:hint="eastAsia" w:ascii="宋体" w:hAnsi="宋体" w:eastAsia="宋体" w:cs="宋体"/>
                <w:color w:val="auto"/>
                <w:sz w:val="21"/>
                <w:szCs w:val="21"/>
                <w:shd w:val="clear" w:color="auto" w:fill="auto"/>
              </w:rPr>
              <w:br w:type="textWrapping"/>
            </w:r>
            <w:r>
              <w:rPr>
                <w:rStyle w:val="15"/>
                <w:rFonts w:hint="eastAsia" w:ascii="宋体" w:hAnsi="宋体" w:eastAsia="宋体" w:cs="宋体"/>
                <w:color w:val="auto"/>
                <w:sz w:val="21"/>
                <w:szCs w:val="21"/>
                <w:shd w:val="clear" w:color="auto" w:fill="auto"/>
              </w:rPr>
              <w:t>(1)</w:t>
            </w:r>
          </w:p>
        </w:tc>
        <w:tc>
          <w:tcPr>
            <w:tcW w:w="1159" w:type="dxa"/>
            <w:gridSpan w:val="2"/>
            <w:vMerge w:val="restart"/>
            <w:shd w:val="clear" w:color="auto" w:fill="auto"/>
            <w:vAlign w:val="center"/>
          </w:tcPr>
          <w:p w14:paraId="7353BE6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技术</w:t>
            </w:r>
            <w:r>
              <w:rPr>
                <w:rStyle w:val="15"/>
                <w:rFonts w:hint="eastAsia" w:ascii="宋体" w:hAnsi="宋体" w:eastAsia="宋体" w:cs="宋体"/>
                <w:color w:val="auto"/>
                <w:sz w:val="21"/>
                <w:szCs w:val="21"/>
                <w:shd w:val="clear" w:color="auto" w:fill="auto"/>
              </w:rPr>
              <w:br w:type="textWrapping"/>
            </w:r>
            <w:r>
              <w:rPr>
                <w:rStyle w:val="15"/>
                <w:rFonts w:hint="eastAsia" w:ascii="宋体" w:hAnsi="宋体" w:eastAsia="宋体" w:cs="宋体"/>
                <w:color w:val="auto"/>
                <w:sz w:val="21"/>
                <w:szCs w:val="21"/>
                <w:shd w:val="clear" w:color="auto" w:fill="auto"/>
              </w:rPr>
              <w:t>建议书</w:t>
            </w:r>
          </w:p>
        </w:tc>
        <w:tc>
          <w:tcPr>
            <w:tcW w:w="1091" w:type="dxa"/>
            <w:vMerge w:val="restart"/>
            <w:shd w:val="clear" w:color="auto" w:fill="auto"/>
            <w:vAlign w:val="center"/>
          </w:tcPr>
          <w:p w14:paraId="5BAA8C21">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u w:val="single"/>
                <w:lang w:val="en-US" w:eastAsia="zh-CN"/>
              </w:rPr>
              <w:t>45</w:t>
            </w:r>
            <w:r>
              <w:rPr>
                <w:rFonts w:hint="eastAsia" w:ascii="宋体" w:hAnsi="宋体" w:eastAsia="宋体" w:cs="宋体"/>
                <w:color w:val="auto"/>
                <w:kern w:val="20"/>
                <w:sz w:val="21"/>
                <w:szCs w:val="21"/>
              </w:rPr>
              <w:t>分</w:t>
            </w:r>
          </w:p>
        </w:tc>
        <w:tc>
          <w:tcPr>
            <w:tcW w:w="1909" w:type="dxa"/>
            <w:shd w:val="clear" w:color="auto" w:fill="auto"/>
            <w:vAlign w:val="center"/>
          </w:tcPr>
          <w:p w14:paraId="34BE24B0">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对招标项目的理解和总体设计思路</w:t>
            </w:r>
          </w:p>
        </w:tc>
        <w:tc>
          <w:tcPr>
            <w:tcW w:w="723" w:type="dxa"/>
            <w:shd w:val="clear" w:color="auto" w:fill="auto"/>
            <w:vAlign w:val="center"/>
          </w:tcPr>
          <w:p w14:paraId="6E312A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3822" w:type="dxa"/>
            <w:shd w:val="clear" w:color="auto" w:fill="auto"/>
            <w:vAlign w:val="center"/>
          </w:tcPr>
          <w:p w14:paraId="30231E7D">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对招标项目的理解和总体设计思路基本正确得3分，理解深刻、认识全面、对设计思路把握准确，酌情加分，最高加2分。</w:t>
            </w:r>
          </w:p>
        </w:tc>
      </w:tr>
      <w:tr w14:paraId="4F5D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shd w:val="clear" w:color="auto" w:fill="auto"/>
            <w:vAlign w:val="center"/>
          </w:tcPr>
          <w:p w14:paraId="74143669">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1159" w:type="dxa"/>
            <w:gridSpan w:val="2"/>
            <w:vMerge w:val="continue"/>
            <w:shd w:val="clear" w:color="auto" w:fill="auto"/>
            <w:vAlign w:val="center"/>
          </w:tcPr>
          <w:p w14:paraId="6AAABF41">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1091" w:type="dxa"/>
            <w:vMerge w:val="continue"/>
            <w:shd w:val="clear" w:color="auto" w:fill="auto"/>
            <w:vAlign w:val="center"/>
          </w:tcPr>
          <w:p w14:paraId="3AA715D7">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1909" w:type="dxa"/>
            <w:shd w:val="clear" w:color="auto" w:fill="auto"/>
            <w:vAlign w:val="center"/>
          </w:tcPr>
          <w:p w14:paraId="27A6CE71">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对招标项目勘察设计的特点、关键技术问题的认识及对策措施</w:t>
            </w:r>
          </w:p>
        </w:tc>
        <w:tc>
          <w:tcPr>
            <w:tcW w:w="723" w:type="dxa"/>
            <w:shd w:val="clear" w:color="auto" w:fill="auto"/>
            <w:vAlign w:val="center"/>
          </w:tcPr>
          <w:p w14:paraId="367AD7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3822" w:type="dxa"/>
            <w:shd w:val="clear" w:color="auto" w:fill="auto"/>
            <w:vAlign w:val="center"/>
          </w:tcPr>
          <w:p w14:paraId="607DDA92">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对招标项目设计的特点及关键性技术问题把握基本准确，所提出的措施基本可行得9分，所提出的措施符合本项目的特点，针对性强，且具有可行性的，酌情加分，最高加6分。</w:t>
            </w:r>
          </w:p>
        </w:tc>
      </w:tr>
      <w:tr w14:paraId="7469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7" w:type="dxa"/>
            <w:vMerge w:val="continue"/>
            <w:shd w:val="clear" w:color="auto" w:fill="auto"/>
            <w:vAlign w:val="center"/>
          </w:tcPr>
          <w:p w14:paraId="173CADE3">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159" w:type="dxa"/>
            <w:gridSpan w:val="2"/>
            <w:vMerge w:val="continue"/>
            <w:shd w:val="clear" w:color="auto" w:fill="auto"/>
            <w:vAlign w:val="center"/>
          </w:tcPr>
          <w:p w14:paraId="090FE3B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79E1AA7A">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909" w:type="dxa"/>
            <w:shd w:val="clear" w:color="auto" w:fill="auto"/>
            <w:vAlign w:val="center"/>
          </w:tcPr>
          <w:p w14:paraId="319651F9">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勘察设计工作量及计划安排</w:t>
            </w:r>
          </w:p>
        </w:tc>
        <w:tc>
          <w:tcPr>
            <w:tcW w:w="723" w:type="dxa"/>
            <w:shd w:val="clear" w:color="auto" w:fill="auto"/>
            <w:vAlign w:val="center"/>
          </w:tcPr>
          <w:p w14:paraId="208928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3822" w:type="dxa"/>
            <w:shd w:val="clear" w:color="auto" w:fill="auto"/>
            <w:vAlign w:val="center"/>
          </w:tcPr>
          <w:p w14:paraId="6436F2EC">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设计工作计划安排基本可行得6分，计划安排合理，酌情加分，最高加4分。</w:t>
            </w:r>
          </w:p>
        </w:tc>
      </w:tr>
      <w:tr w14:paraId="46DF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7" w:type="dxa"/>
            <w:vMerge w:val="continue"/>
            <w:shd w:val="clear" w:color="auto" w:fill="auto"/>
            <w:vAlign w:val="center"/>
          </w:tcPr>
          <w:p w14:paraId="61EDF076">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159" w:type="dxa"/>
            <w:gridSpan w:val="2"/>
            <w:vMerge w:val="continue"/>
            <w:shd w:val="clear" w:color="auto" w:fill="auto"/>
            <w:vAlign w:val="center"/>
          </w:tcPr>
          <w:p w14:paraId="53443ADD">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6FAFD50A">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909" w:type="dxa"/>
            <w:shd w:val="clear" w:color="auto" w:fill="auto"/>
            <w:vAlign w:val="center"/>
          </w:tcPr>
          <w:p w14:paraId="39681653">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勘察设计的质量保证措施、进度保证措施、安全保证措施</w:t>
            </w:r>
          </w:p>
        </w:tc>
        <w:tc>
          <w:tcPr>
            <w:tcW w:w="723" w:type="dxa"/>
            <w:shd w:val="clear" w:color="auto" w:fill="auto"/>
            <w:vAlign w:val="center"/>
          </w:tcPr>
          <w:p w14:paraId="6827CD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3822" w:type="dxa"/>
            <w:shd w:val="clear" w:color="auto" w:fill="auto"/>
            <w:vAlign w:val="center"/>
          </w:tcPr>
          <w:p w14:paraId="1450716E">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设计的质量、进度、安全保证措施基本可行得6分，措施可行，所采用的措施能够提高设计质量、加快设计进度的酌情加分，最高加4分。</w:t>
            </w:r>
          </w:p>
        </w:tc>
      </w:tr>
      <w:tr w14:paraId="6D91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7" w:type="dxa"/>
            <w:vMerge w:val="continue"/>
            <w:shd w:val="clear" w:color="auto" w:fill="auto"/>
            <w:vAlign w:val="center"/>
          </w:tcPr>
          <w:p w14:paraId="55A7E70C">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159" w:type="dxa"/>
            <w:gridSpan w:val="2"/>
            <w:vMerge w:val="continue"/>
            <w:shd w:val="clear" w:color="auto" w:fill="auto"/>
            <w:vAlign w:val="center"/>
          </w:tcPr>
          <w:p w14:paraId="2B4C80A2">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53EE51E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909" w:type="dxa"/>
            <w:shd w:val="clear" w:color="auto" w:fill="auto"/>
            <w:vAlign w:val="center"/>
          </w:tcPr>
          <w:p w14:paraId="742E00FD">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后续服务的安排及保证措施</w:t>
            </w:r>
          </w:p>
        </w:tc>
        <w:tc>
          <w:tcPr>
            <w:tcW w:w="723" w:type="dxa"/>
            <w:shd w:val="clear" w:color="auto" w:fill="auto"/>
            <w:vAlign w:val="center"/>
          </w:tcPr>
          <w:p w14:paraId="31DD20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3822" w:type="dxa"/>
            <w:shd w:val="clear" w:color="auto" w:fill="auto"/>
            <w:vAlign w:val="center"/>
          </w:tcPr>
          <w:p w14:paraId="09B9BF48">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后续服务的安排及保证措施基本可行得3分，可行且能够快速的协助发包人解决问题，酌情加分，最高加2分。</w:t>
            </w:r>
          </w:p>
        </w:tc>
      </w:tr>
      <w:tr w14:paraId="05E7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7" w:type="dxa"/>
            <w:shd w:val="clear" w:color="auto" w:fill="auto"/>
            <w:vAlign w:val="center"/>
          </w:tcPr>
          <w:p w14:paraId="15EFC2E8">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2.2.4</w:t>
            </w:r>
            <w:r>
              <w:rPr>
                <w:rStyle w:val="15"/>
                <w:rFonts w:hint="eastAsia" w:ascii="宋体" w:hAnsi="宋体" w:eastAsia="宋体" w:cs="宋体"/>
                <w:color w:val="auto"/>
                <w:sz w:val="21"/>
                <w:szCs w:val="21"/>
                <w:shd w:val="clear" w:color="auto" w:fill="auto"/>
              </w:rPr>
              <w:br w:type="textWrapping"/>
            </w:r>
            <w:r>
              <w:rPr>
                <w:rStyle w:val="15"/>
                <w:rFonts w:hint="eastAsia" w:ascii="宋体" w:hAnsi="宋体" w:eastAsia="宋体" w:cs="宋体"/>
                <w:color w:val="auto"/>
                <w:sz w:val="21"/>
                <w:szCs w:val="21"/>
                <w:shd w:val="clear" w:color="auto" w:fill="auto"/>
              </w:rPr>
              <w:t>(2)</w:t>
            </w:r>
          </w:p>
        </w:tc>
        <w:tc>
          <w:tcPr>
            <w:tcW w:w="1159" w:type="dxa"/>
            <w:gridSpan w:val="2"/>
            <w:shd w:val="clear" w:color="auto" w:fill="auto"/>
            <w:vAlign w:val="center"/>
          </w:tcPr>
          <w:p w14:paraId="7C37616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主要人员</w:t>
            </w:r>
          </w:p>
        </w:tc>
        <w:tc>
          <w:tcPr>
            <w:tcW w:w="1091" w:type="dxa"/>
            <w:shd w:val="clear" w:color="auto" w:fill="auto"/>
            <w:vAlign w:val="center"/>
          </w:tcPr>
          <w:p w14:paraId="2FBA3EA8">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u w:val="single"/>
              </w:rPr>
              <w:t>2</w:t>
            </w:r>
            <w:r>
              <w:rPr>
                <w:rFonts w:hint="eastAsia" w:ascii="宋体" w:hAnsi="宋体" w:eastAsia="宋体" w:cs="宋体"/>
                <w:color w:val="auto"/>
                <w:kern w:val="20"/>
                <w:sz w:val="21"/>
                <w:szCs w:val="21"/>
                <w:u w:val="single"/>
                <w:lang w:val="en-US" w:eastAsia="zh-CN"/>
              </w:rPr>
              <w:t>0</w:t>
            </w:r>
            <w:r>
              <w:rPr>
                <w:rFonts w:hint="eastAsia" w:ascii="宋体" w:hAnsi="宋体" w:eastAsia="宋体" w:cs="宋体"/>
                <w:color w:val="auto"/>
                <w:kern w:val="20"/>
                <w:sz w:val="21"/>
                <w:szCs w:val="21"/>
              </w:rPr>
              <w:t>分</w:t>
            </w:r>
          </w:p>
        </w:tc>
        <w:tc>
          <w:tcPr>
            <w:tcW w:w="1909" w:type="dxa"/>
            <w:shd w:val="clear" w:color="auto" w:fill="auto"/>
            <w:vAlign w:val="center"/>
          </w:tcPr>
          <w:p w14:paraId="2FAD429C">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lang w:eastAsia="zh-CN"/>
              </w:rPr>
            </w:pPr>
            <w:r>
              <w:rPr>
                <w:rStyle w:val="15"/>
                <w:rFonts w:hint="eastAsia" w:ascii="宋体" w:hAnsi="宋体" w:eastAsia="宋体" w:cs="宋体"/>
                <w:color w:val="auto"/>
                <w:sz w:val="21"/>
                <w:szCs w:val="21"/>
                <w:shd w:val="clear" w:color="auto" w:fill="auto"/>
                <w:lang w:eastAsia="zh-CN"/>
              </w:rPr>
              <w:t>项目负责人</w:t>
            </w:r>
          </w:p>
          <w:p w14:paraId="0D610AA2">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任职资格与业绩</w:t>
            </w:r>
          </w:p>
        </w:tc>
        <w:tc>
          <w:tcPr>
            <w:tcW w:w="723" w:type="dxa"/>
            <w:shd w:val="clear" w:color="auto" w:fill="auto"/>
            <w:vAlign w:val="center"/>
          </w:tcPr>
          <w:p w14:paraId="62C0482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u w:val="single"/>
              </w:rPr>
              <w:t>2</w:t>
            </w:r>
            <w:r>
              <w:rPr>
                <w:rFonts w:hint="eastAsia" w:ascii="宋体" w:hAnsi="宋体" w:eastAsia="宋体" w:cs="宋体"/>
                <w:color w:val="auto"/>
                <w:kern w:val="20"/>
                <w:sz w:val="21"/>
                <w:szCs w:val="21"/>
                <w:u w:val="single"/>
                <w:lang w:val="en-US" w:eastAsia="zh-CN"/>
              </w:rPr>
              <w:t>0</w:t>
            </w:r>
            <w:r>
              <w:rPr>
                <w:rFonts w:hint="eastAsia" w:ascii="宋体" w:hAnsi="宋体" w:eastAsia="宋体" w:cs="宋体"/>
                <w:color w:val="auto"/>
                <w:kern w:val="20"/>
                <w:sz w:val="21"/>
                <w:szCs w:val="21"/>
              </w:rPr>
              <w:t>分</w:t>
            </w:r>
          </w:p>
        </w:tc>
        <w:tc>
          <w:tcPr>
            <w:tcW w:w="3822" w:type="dxa"/>
            <w:shd w:val="clear" w:color="auto" w:fill="auto"/>
            <w:vAlign w:val="center"/>
          </w:tcPr>
          <w:p w14:paraId="2293A938">
            <w:pPr>
              <w:keepNext w:val="0"/>
              <w:keepLines w:val="0"/>
              <w:pageBreakBefore w:val="0"/>
              <w:widowControl w:val="0"/>
              <w:kinsoku/>
              <w:wordWrap/>
              <w:overflowPunct/>
              <w:topLinePunct w:val="0"/>
              <w:autoSpaceDE/>
              <w:autoSpaceDN/>
              <w:bidi w:val="0"/>
              <w:adjustRightInd/>
              <w:snapToGrid/>
              <w:spacing w:line="360" w:lineRule="exact"/>
              <w:ind w:right="113" w:righ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满足最低资格条件得1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在此基础上，每增加一项公路机电工程项目负责人或分项负责人业绩加2分，最多加8分。</w:t>
            </w:r>
          </w:p>
          <w:p w14:paraId="74BAD221">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注：⑴</w:t>
            </w:r>
            <w:r>
              <w:rPr>
                <w:rFonts w:hint="eastAsia" w:ascii="宋体" w:hAnsi="宋体" w:eastAsia="宋体" w:cs="宋体"/>
                <w:color w:val="auto"/>
                <w:sz w:val="21"/>
                <w:szCs w:val="21"/>
              </w:rPr>
              <w:t>以上设计业绩应是交通运输部“全国公路建设市场监督管理系统”或省级交通运输主管部门“公路建设市场信用信息管理系统”已载明业绩。</w:t>
            </w:r>
          </w:p>
          <w:p w14:paraId="3E95F19C">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⑵一个合同视为一项设计业绩。</w:t>
            </w:r>
          </w:p>
          <w:p w14:paraId="73E5C18C">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⑶公路机电工程包含</w:t>
            </w:r>
            <w:r>
              <w:rPr>
                <w:rFonts w:hint="eastAsia" w:ascii="宋体" w:hAnsi="宋体" w:eastAsia="宋体" w:cs="宋体"/>
                <w:color w:val="auto"/>
                <w:sz w:val="21"/>
                <w:szCs w:val="21"/>
                <w:lang w:val="zh-CN"/>
              </w:rPr>
              <w:t>公路信息传输，供电照明、自控设备，系统工程、收费系统、设备等。</w:t>
            </w:r>
          </w:p>
        </w:tc>
      </w:tr>
      <w:tr w14:paraId="16F6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77" w:type="dxa"/>
            <w:shd w:val="clear" w:color="auto" w:fill="auto"/>
            <w:vAlign w:val="center"/>
          </w:tcPr>
          <w:p w14:paraId="0CFCEBFB">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2.2.4</w:t>
            </w:r>
            <w:r>
              <w:rPr>
                <w:rStyle w:val="15"/>
                <w:rFonts w:hint="eastAsia" w:ascii="宋体" w:hAnsi="宋体" w:eastAsia="宋体" w:cs="宋体"/>
                <w:color w:val="auto"/>
                <w:sz w:val="21"/>
                <w:szCs w:val="21"/>
                <w:shd w:val="clear" w:color="auto" w:fill="auto"/>
              </w:rPr>
              <w:br w:type="textWrapping"/>
            </w:r>
            <w:r>
              <w:rPr>
                <w:rStyle w:val="15"/>
                <w:rFonts w:hint="eastAsia" w:ascii="宋体" w:hAnsi="宋体" w:eastAsia="宋体" w:cs="宋体"/>
                <w:color w:val="auto"/>
                <w:sz w:val="21"/>
                <w:szCs w:val="21"/>
                <w:shd w:val="clear" w:color="auto" w:fill="auto"/>
              </w:rPr>
              <w:t>(3)</w:t>
            </w:r>
          </w:p>
        </w:tc>
        <w:tc>
          <w:tcPr>
            <w:tcW w:w="1159" w:type="dxa"/>
            <w:gridSpan w:val="2"/>
            <w:shd w:val="clear" w:color="auto" w:fill="auto"/>
            <w:vAlign w:val="center"/>
          </w:tcPr>
          <w:p w14:paraId="3DE0FEEB">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Style w:val="15"/>
                <w:rFonts w:hint="eastAsia" w:ascii="宋体" w:hAnsi="宋体" w:eastAsia="宋体" w:cs="宋体"/>
                <w:color w:val="auto"/>
                <w:sz w:val="21"/>
                <w:szCs w:val="21"/>
                <w:shd w:val="clear" w:color="auto" w:fill="auto"/>
              </w:rPr>
              <w:t>评标价</w:t>
            </w:r>
          </w:p>
        </w:tc>
        <w:tc>
          <w:tcPr>
            <w:tcW w:w="1091" w:type="dxa"/>
            <w:shd w:val="clear" w:color="auto" w:fill="auto"/>
            <w:vAlign w:val="center"/>
          </w:tcPr>
          <w:p w14:paraId="50A6BED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u w:val="single"/>
              </w:rPr>
              <w:t>10</w:t>
            </w:r>
            <w:r>
              <w:rPr>
                <w:rFonts w:hint="eastAsia" w:ascii="宋体" w:hAnsi="宋体" w:eastAsia="宋体" w:cs="宋体"/>
                <w:color w:val="auto"/>
                <w:kern w:val="20"/>
                <w:sz w:val="21"/>
                <w:szCs w:val="21"/>
              </w:rPr>
              <w:t>分</w:t>
            </w:r>
          </w:p>
        </w:tc>
        <w:tc>
          <w:tcPr>
            <w:tcW w:w="6454" w:type="dxa"/>
            <w:gridSpan w:val="3"/>
            <w:shd w:val="clear" w:color="auto" w:fill="auto"/>
            <w:vAlign w:val="center"/>
          </w:tcPr>
          <w:p w14:paraId="17512EB5">
            <w:pPr>
              <w:keepNext w:val="0"/>
              <w:keepLines w:val="0"/>
              <w:pageBreakBefore w:val="0"/>
              <w:widowControl w:val="0"/>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评标价得分计算公式示例：</w:t>
            </w:r>
          </w:p>
          <w:p w14:paraId="7CA7619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（1）如果投标人的评标价＞评标基准价，则评标价得分=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-偏差率×100×</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w:t>
            </w:r>
          </w:p>
          <w:p w14:paraId="08459EC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color w:val="auto"/>
                <w:kern w:val="20"/>
                <w:sz w:val="21"/>
                <w:szCs w:val="21"/>
              </w:rPr>
            </w:pPr>
            <w:r>
              <w:rPr>
                <w:rFonts w:hint="eastAsia" w:ascii="宋体" w:hAnsi="宋体" w:eastAsia="宋体" w:cs="宋体"/>
                <w:color w:val="auto"/>
                <w:sz w:val="21"/>
                <w:szCs w:val="21"/>
              </w:rPr>
              <w:t>（2）如果投标人的评标价≤评标基准价，则评标价得分=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+偏差率×100×</w:t>
            </w:r>
            <w:r>
              <w:rPr>
                <w:rFonts w:hint="eastAsia" w:ascii="宋体" w:hAnsi="宋体" w:eastAsia="宋体" w:cs="宋体"/>
                <w:color w:val="auto"/>
                <w:sz w:val="21"/>
                <w:szCs w:val="21"/>
                <w:lang w:val="en-US" w:eastAsia="zh-CN"/>
              </w:rPr>
              <w:t>0.05</w:t>
            </w:r>
            <w:r>
              <w:rPr>
                <w:rFonts w:hint="eastAsia" w:ascii="宋体" w:hAnsi="宋体" w:eastAsia="宋体" w:cs="宋体"/>
                <w:color w:val="auto"/>
                <w:sz w:val="21"/>
                <w:szCs w:val="21"/>
              </w:rPr>
              <w:t>；</w:t>
            </w:r>
          </w:p>
        </w:tc>
      </w:tr>
      <w:tr w14:paraId="2E5C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shd w:val="clear" w:color="auto" w:fill="auto"/>
            <w:vAlign w:val="center"/>
          </w:tcPr>
          <w:p w14:paraId="083EFC91">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r>
              <w:rPr>
                <w:rFonts w:hint="eastAsia" w:ascii="宋体" w:hAnsi="宋体" w:eastAsia="宋体" w:cs="宋体"/>
                <w:color w:val="auto"/>
                <w:kern w:val="20"/>
                <w:sz w:val="21"/>
                <w:szCs w:val="21"/>
              </w:rPr>
              <w:t>2.2.4（4）</w:t>
            </w:r>
          </w:p>
        </w:tc>
        <w:tc>
          <w:tcPr>
            <w:tcW w:w="573" w:type="dxa"/>
            <w:vMerge w:val="restart"/>
            <w:shd w:val="clear" w:color="auto" w:fill="auto"/>
            <w:vAlign w:val="center"/>
          </w:tcPr>
          <w:p w14:paraId="0476EF25">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r>
              <w:rPr>
                <w:rStyle w:val="15"/>
                <w:rFonts w:hint="eastAsia" w:ascii="宋体" w:hAnsi="宋体" w:eastAsia="宋体" w:cs="宋体"/>
                <w:color w:val="auto"/>
                <w:sz w:val="21"/>
                <w:szCs w:val="21"/>
                <w:shd w:val="clear" w:color="auto" w:fill="auto"/>
              </w:rPr>
              <w:t>其他因素</w:t>
            </w:r>
          </w:p>
        </w:tc>
        <w:tc>
          <w:tcPr>
            <w:tcW w:w="586" w:type="dxa"/>
            <w:shd w:val="clear" w:color="auto" w:fill="auto"/>
            <w:vAlign w:val="center"/>
          </w:tcPr>
          <w:p w14:paraId="12A9649B">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1091" w:type="dxa"/>
            <w:shd w:val="clear" w:color="auto" w:fill="auto"/>
            <w:vAlign w:val="center"/>
          </w:tcPr>
          <w:p w14:paraId="4A892E3F">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kern w:val="20"/>
                <w:sz w:val="21"/>
                <w:szCs w:val="21"/>
                <w:u w:val="single"/>
              </w:rPr>
              <w:t>2</w:t>
            </w:r>
            <w:r>
              <w:rPr>
                <w:rFonts w:hint="eastAsia" w:ascii="宋体" w:hAnsi="宋体" w:eastAsia="宋体" w:cs="宋体"/>
                <w:color w:val="auto"/>
                <w:kern w:val="20"/>
                <w:sz w:val="21"/>
                <w:szCs w:val="21"/>
                <w:u w:val="single"/>
                <w:lang w:val="en-US" w:eastAsia="zh-CN"/>
              </w:rPr>
              <w:t>0</w:t>
            </w:r>
            <w:r>
              <w:rPr>
                <w:rFonts w:hint="eastAsia" w:ascii="宋体" w:hAnsi="宋体" w:eastAsia="宋体" w:cs="宋体"/>
                <w:color w:val="auto"/>
                <w:kern w:val="20"/>
                <w:sz w:val="21"/>
                <w:szCs w:val="21"/>
              </w:rPr>
              <w:t>分</w:t>
            </w:r>
          </w:p>
        </w:tc>
        <w:tc>
          <w:tcPr>
            <w:tcW w:w="1909" w:type="dxa"/>
            <w:shd w:val="clear" w:color="auto" w:fill="auto"/>
            <w:vAlign w:val="center"/>
          </w:tcPr>
          <w:p w14:paraId="41CFB124">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设计业绩</w:t>
            </w:r>
          </w:p>
        </w:tc>
        <w:tc>
          <w:tcPr>
            <w:tcW w:w="723" w:type="dxa"/>
            <w:shd w:val="clear" w:color="auto" w:fill="auto"/>
            <w:vAlign w:val="center"/>
          </w:tcPr>
          <w:p w14:paraId="249B211D">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2</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rPr>
              <w:t>分</w:t>
            </w:r>
          </w:p>
        </w:tc>
        <w:tc>
          <w:tcPr>
            <w:tcW w:w="3822" w:type="dxa"/>
            <w:shd w:val="clear" w:color="auto" w:fill="auto"/>
            <w:vAlign w:val="center"/>
          </w:tcPr>
          <w:p w14:paraId="01FDDC7F">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满足最低资格条件得1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388A9B86">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每增加一项</w:t>
            </w: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最低资格条件要求的业绩加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分，最多加8分。</w:t>
            </w:r>
          </w:p>
          <w:p w14:paraId="34596A3E">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⑴</w:t>
            </w:r>
            <w:r>
              <w:rPr>
                <w:rFonts w:hint="eastAsia" w:ascii="宋体" w:hAnsi="宋体" w:eastAsia="宋体" w:cs="宋体"/>
                <w:color w:val="auto"/>
                <w:sz w:val="21"/>
                <w:szCs w:val="21"/>
              </w:rPr>
              <w:t>以上设计业绩应是交通运输部“全国公路建设市场监督管理系统”或省级交通运输主管部门“公路建设市场信用信息管理系统”已载明业绩。</w:t>
            </w:r>
          </w:p>
          <w:p w14:paraId="0B5CE1D2">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⑵一个合同视为一项设计业绩。</w:t>
            </w:r>
          </w:p>
        </w:tc>
      </w:tr>
      <w:tr w14:paraId="07C8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7ED83D0F">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3DDB458A">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restart"/>
            <w:shd w:val="clear" w:color="auto" w:fill="auto"/>
            <w:vAlign w:val="center"/>
          </w:tcPr>
          <w:p w14:paraId="5CE60CDF">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履约</w:t>
            </w:r>
          </w:p>
          <w:p w14:paraId="5E18E415">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rPr>
              <w:t>信誉</w:t>
            </w:r>
          </w:p>
        </w:tc>
        <w:tc>
          <w:tcPr>
            <w:tcW w:w="1091" w:type="dxa"/>
            <w:vMerge w:val="restart"/>
            <w:shd w:val="clear" w:color="auto" w:fill="auto"/>
            <w:vAlign w:val="center"/>
          </w:tcPr>
          <w:p w14:paraId="57A77648">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r>
              <w:rPr>
                <w:rFonts w:hint="eastAsia" w:ascii="宋体" w:hAnsi="宋体" w:eastAsia="宋体" w:cs="宋体"/>
                <w:color w:val="auto"/>
                <w:kern w:val="20"/>
                <w:sz w:val="21"/>
                <w:szCs w:val="21"/>
                <w:u w:val="single"/>
                <w:lang w:val="en-US" w:eastAsia="zh-CN"/>
              </w:rPr>
              <w:t>5</w:t>
            </w:r>
            <w:r>
              <w:rPr>
                <w:rFonts w:hint="eastAsia" w:ascii="宋体" w:hAnsi="宋体" w:eastAsia="宋体" w:cs="宋体"/>
                <w:color w:val="auto"/>
                <w:kern w:val="20"/>
                <w:sz w:val="21"/>
                <w:szCs w:val="21"/>
              </w:rPr>
              <w:t>分</w:t>
            </w:r>
          </w:p>
        </w:tc>
        <w:tc>
          <w:tcPr>
            <w:tcW w:w="1909" w:type="dxa"/>
            <w:vMerge w:val="restart"/>
            <w:shd w:val="clear" w:color="auto" w:fill="auto"/>
            <w:vAlign w:val="center"/>
          </w:tcPr>
          <w:p w14:paraId="4E861C9A">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信用评价等级</w:t>
            </w:r>
          </w:p>
        </w:tc>
        <w:tc>
          <w:tcPr>
            <w:tcW w:w="723" w:type="dxa"/>
            <w:shd w:val="clear" w:color="auto" w:fill="auto"/>
            <w:vAlign w:val="center"/>
          </w:tcPr>
          <w:p w14:paraId="39C714A4">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分</w:t>
            </w:r>
          </w:p>
        </w:tc>
        <w:tc>
          <w:tcPr>
            <w:tcW w:w="3822" w:type="dxa"/>
            <w:shd w:val="clear" w:color="auto" w:fill="auto"/>
            <w:vAlign w:val="center"/>
          </w:tcPr>
          <w:p w14:paraId="4CA5BC6B">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信用评价AA级</w:t>
            </w:r>
          </w:p>
        </w:tc>
      </w:tr>
      <w:tr w14:paraId="60A0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27B172EF">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0CA32FD8">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continue"/>
            <w:shd w:val="clear" w:color="auto" w:fill="auto"/>
            <w:vAlign w:val="center"/>
          </w:tcPr>
          <w:p w14:paraId="60F5C3C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0235DD61">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1909" w:type="dxa"/>
            <w:vMerge w:val="continue"/>
            <w:shd w:val="clear" w:color="auto" w:fill="auto"/>
            <w:vAlign w:val="center"/>
          </w:tcPr>
          <w:p w14:paraId="6B65D024">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p>
        </w:tc>
        <w:tc>
          <w:tcPr>
            <w:tcW w:w="723" w:type="dxa"/>
            <w:shd w:val="clear" w:color="auto" w:fill="auto"/>
            <w:vAlign w:val="center"/>
          </w:tcPr>
          <w:p w14:paraId="68A3568C">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rPr>
              <w:t>分</w:t>
            </w:r>
          </w:p>
        </w:tc>
        <w:tc>
          <w:tcPr>
            <w:tcW w:w="3822" w:type="dxa"/>
            <w:shd w:val="clear" w:color="auto" w:fill="auto"/>
            <w:vAlign w:val="center"/>
          </w:tcPr>
          <w:p w14:paraId="0EA9FDEC">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信用评价A级</w:t>
            </w:r>
          </w:p>
        </w:tc>
      </w:tr>
      <w:tr w14:paraId="0D7E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5F2105FC">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4F8E4BFC">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continue"/>
            <w:shd w:val="clear" w:color="auto" w:fill="auto"/>
            <w:vAlign w:val="center"/>
          </w:tcPr>
          <w:p w14:paraId="05AB31C9">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0F4DE9D1">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1909" w:type="dxa"/>
            <w:vMerge w:val="continue"/>
            <w:shd w:val="clear" w:color="auto" w:fill="auto"/>
            <w:vAlign w:val="center"/>
          </w:tcPr>
          <w:p w14:paraId="7AF38D21">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p>
        </w:tc>
        <w:tc>
          <w:tcPr>
            <w:tcW w:w="723" w:type="dxa"/>
            <w:shd w:val="clear" w:color="auto" w:fill="auto"/>
            <w:vAlign w:val="center"/>
          </w:tcPr>
          <w:p w14:paraId="40E4307D">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分</w:t>
            </w:r>
          </w:p>
        </w:tc>
        <w:tc>
          <w:tcPr>
            <w:tcW w:w="3822" w:type="dxa"/>
            <w:shd w:val="clear" w:color="auto" w:fill="auto"/>
            <w:vAlign w:val="center"/>
          </w:tcPr>
          <w:p w14:paraId="6325ACA1">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信用评价B级</w:t>
            </w:r>
          </w:p>
        </w:tc>
      </w:tr>
      <w:tr w14:paraId="5C56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45DC8AF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3D45AC3F">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continue"/>
            <w:shd w:val="clear" w:color="auto" w:fill="auto"/>
            <w:vAlign w:val="center"/>
          </w:tcPr>
          <w:p w14:paraId="6C65F96B">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3AAEB60E">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1909" w:type="dxa"/>
            <w:vMerge w:val="continue"/>
            <w:shd w:val="clear" w:color="auto" w:fill="auto"/>
            <w:vAlign w:val="center"/>
          </w:tcPr>
          <w:p w14:paraId="06DE4515">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p>
        </w:tc>
        <w:tc>
          <w:tcPr>
            <w:tcW w:w="723" w:type="dxa"/>
            <w:shd w:val="clear" w:color="auto" w:fill="auto"/>
            <w:vAlign w:val="center"/>
          </w:tcPr>
          <w:p w14:paraId="739A4E2B">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rPr>
              <w:t>分</w:t>
            </w:r>
          </w:p>
        </w:tc>
        <w:tc>
          <w:tcPr>
            <w:tcW w:w="3822" w:type="dxa"/>
            <w:shd w:val="clear" w:color="auto" w:fill="auto"/>
            <w:vAlign w:val="center"/>
          </w:tcPr>
          <w:p w14:paraId="0A7635DA">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信用评价C级</w:t>
            </w:r>
          </w:p>
        </w:tc>
      </w:tr>
      <w:tr w14:paraId="5625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5C8BE168">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29CB43A4">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continue"/>
            <w:shd w:val="clear" w:color="auto" w:fill="auto"/>
            <w:vAlign w:val="center"/>
          </w:tcPr>
          <w:p w14:paraId="3809F753">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5778ABCE">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1909" w:type="dxa"/>
            <w:vMerge w:val="continue"/>
            <w:shd w:val="clear" w:color="auto" w:fill="auto"/>
            <w:vAlign w:val="center"/>
          </w:tcPr>
          <w:p w14:paraId="785D4562">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p>
        </w:tc>
        <w:tc>
          <w:tcPr>
            <w:tcW w:w="723" w:type="dxa"/>
            <w:shd w:val="clear" w:color="auto" w:fill="auto"/>
            <w:vAlign w:val="center"/>
          </w:tcPr>
          <w:p w14:paraId="5529F7A0">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c>
          <w:tcPr>
            <w:tcW w:w="3822" w:type="dxa"/>
            <w:shd w:val="clear" w:color="auto" w:fill="auto"/>
            <w:vAlign w:val="center"/>
          </w:tcPr>
          <w:p w14:paraId="3D0A20DD">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信用评价D级</w:t>
            </w:r>
          </w:p>
        </w:tc>
      </w:tr>
      <w:tr w14:paraId="60F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shd w:val="clear" w:color="auto" w:fill="auto"/>
            <w:vAlign w:val="center"/>
          </w:tcPr>
          <w:p w14:paraId="0F6A7295">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573" w:type="dxa"/>
            <w:vMerge w:val="continue"/>
            <w:shd w:val="clear" w:color="auto" w:fill="auto"/>
            <w:vAlign w:val="center"/>
          </w:tcPr>
          <w:p w14:paraId="5A5CC6B4">
            <w:pPr>
              <w:keepNext w:val="0"/>
              <w:keepLines w:val="0"/>
              <w:pageBreakBefore w:val="0"/>
              <w:widowControl w:val="0"/>
              <w:kinsoku/>
              <w:wordWrap/>
              <w:overflowPunct/>
              <w:topLinePunct w:val="0"/>
              <w:autoSpaceDE/>
              <w:autoSpaceDN/>
              <w:bidi w:val="0"/>
              <w:spacing w:line="360" w:lineRule="exact"/>
              <w:jc w:val="center"/>
              <w:rPr>
                <w:rStyle w:val="15"/>
                <w:rFonts w:hint="eastAsia" w:ascii="宋体" w:hAnsi="宋体" w:eastAsia="宋体" w:cs="宋体"/>
                <w:color w:val="auto"/>
                <w:sz w:val="21"/>
                <w:szCs w:val="21"/>
                <w:shd w:val="clear" w:color="auto" w:fill="auto"/>
              </w:rPr>
            </w:pPr>
          </w:p>
        </w:tc>
        <w:tc>
          <w:tcPr>
            <w:tcW w:w="586" w:type="dxa"/>
            <w:vMerge w:val="continue"/>
            <w:shd w:val="clear" w:color="auto" w:fill="auto"/>
            <w:vAlign w:val="center"/>
          </w:tcPr>
          <w:p w14:paraId="21D51BD7">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rPr>
            </w:pPr>
          </w:p>
        </w:tc>
        <w:tc>
          <w:tcPr>
            <w:tcW w:w="1091" w:type="dxa"/>
            <w:vMerge w:val="continue"/>
            <w:shd w:val="clear" w:color="auto" w:fill="auto"/>
            <w:vAlign w:val="center"/>
          </w:tcPr>
          <w:p w14:paraId="58E410BC">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color w:val="auto"/>
                <w:kern w:val="20"/>
                <w:sz w:val="21"/>
                <w:szCs w:val="21"/>
                <w:u w:val="single"/>
              </w:rPr>
            </w:pPr>
          </w:p>
        </w:tc>
        <w:tc>
          <w:tcPr>
            <w:tcW w:w="6454" w:type="dxa"/>
            <w:gridSpan w:val="3"/>
            <w:shd w:val="clear" w:color="auto" w:fill="auto"/>
            <w:vAlign w:val="center"/>
          </w:tcPr>
          <w:p w14:paraId="62D7DDDC">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投标人的信用评价等级按照以下优先顺序采用：</w:t>
            </w:r>
          </w:p>
          <w:p w14:paraId="706632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采用吉林省交通运输厅发布的《关于发布吉林省2024年度公路建设市场省级信用评价结果的通告》中的设计企业</w:t>
            </w:r>
            <w:r>
              <w:rPr>
                <w:rFonts w:hint="eastAsia" w:ascii="宋体" w:hAnsi="宋体" w:eastAsia="宋体" w:cs="宋体"/>
                <w:color w:val="auto"/>
                <w:sz w:val="21"/>
                <w:szCs w:val="21"/>
                <w:lang w:val="en-US" w:eastAsia="zh-CN"/>
              </w:rPr>
              <w:t>信用</w:t>
            </w:r>
            <w:r>
              <w:rPr>
                <w:rFonts w:hint="eastAsia" w:ascii="宋体" w:hAnsi="宋体" w:eastAsia="宋体" w:cs="宋体"/>
                <w:color w:val="auto"/>
                <w:sz w:val="21"/>
                <w:szCs w:val="21"/>
              </w:rPr>
              <w:t>评价等级</w:t>
            </w:r>
            <w:r>
              <w:rPr>
                <w:rFonts w:hint="eastAsia" w:ascii="宋体" w:hAnsi="宋体" w:eastAsia="宋体" w:cs="宋体"/>
                <w:color w:val="auto"/>
                <w:sz w:val="21"/>
                <w:szCs w:val="21"/>
                <w:lang w:eastAsia="zh-CN"/>
              </w:rPr>
              <w:t>；</w:t>
            </w:r>
          </w:p>
          <w:p w14:paraId="42909B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rPr>
              <w:t>交通运输部“全国公路建设市场监督管理系统</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全国公路从业单位信用评价结果”中投标人的2023年度企业信用评价等级；</w:t>
            </w:r>
          </w:p>
          <w:p w14:paraId="7BDFE2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rPr>
              <w:t>交通运输部“全国公路建设市场监督管理系统</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全国公路从业单位信用评价结果”中投标人的202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年度企业信用评价等级；</w:t>
            </w:r>
          </w:p>
          <w:p w14:paraId="5F063B7F">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投标人无以上信用评价时，若未列入交通运输部“全国公路建设市场监督管理系统”中“不良信用记录”的，按A级对待，否则</w:t>
            </w:r>
            <w:r>
              <w:rPr>
                <w:rFonts w:hint="eastAsia" w:ascii="宋体" w:hAnsi="宋体" w:eastAsia="宋体" w:cs="宋体"/>
                <w:color w:val="auto"/>
                <w:sz w:val="21"/>
                <w:szCs w:val="21"/>
                <w:lang w:val="en-US" w:eastAsia="zh-CN"/>
              </w:rPr>
              <w:t>视其严重程度</w:t>
            </w:r>
            <w:r>
              <w:rPr>
                <w:rFonts w:hint="eastAsia" w:ascii="宋体" w:hAnsi="宋体" w:eastAsia="宋体" w:cs="宋体"/>
                <w:color w:val="auto"/>
                <w:sz w:val="21"/>
                <w:szCs w:val="21"/>
              </w:rPr>
              <w:t>按B级或以下等级对待。</w:t>
            </w:r>
          </w:p>
          <w:p w14:paraId="5CE7C7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企业信用评价结果采用省级综合评价或全国综合评价结果，企业</w:t>
            </w:r>
            <w:r>
              <w:rPr>
                <w:rFonts w:hint="eastAsia" w:ascii="宋体" w:hAnsi="宋体" w:eastAsia="宋体" w:cs="宋体"/>
                <w:b w:val="0"/>
                <w:bCs w:val="0"/>
                <w:color w:val="auto"/>
                <w:sz w:val="21"/>
                <w:szCs w:val="21"/>
              </w:rPr>
              <w:t>当年</w:t>
            </w:r>
            <w:r>
              <w:rPr>
                <w:rFonts w:hint="eastAsia" w:ascii="宋体" w:hAnsi="宋体" w:eastAsia="宋体" w:cs="宋体"/>
                <w:color w:val="auto"/>
                <w:sz w:val="21"/>
                <w:szCs w:val="21"/>
              </w:rPr>
              <w:t>既有省级综合评价结果也有全国综合评价结果的，应采用等级较低的评价结果</w:t>
            </w:r>
            <w:r>
              <w:rPr>
                <w:rFonts w:hint="eastAsia" w:ascii="宋体" w:hAnsi="宋体" w:eastAsia="宋体" w:cs="宋体"/>
                <w:color w:val="auto"/>
                <w:sz w:val="21"/>
                <w:szCs w:val="21"/>
                <w:lang w:eastAsia="zh-CN"/>
              </w:rPr>
              <w:t>。</w:t>
            </w:r>
          </w:p>
        </w:tc>
      </w:tr>
      <w:tr w14:paraId="71A5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1" w:type="dxa"/>
            <w:gridSpan w:val="7"/>
            <w:shd w:val="clear" w:color="auto" w:fill="auto"/>
            <w:vAlign w:val="center"/>
          </w:tcPr>
          <w:p w14:paraId="51AC9540">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20" w:leftChars="0"/>
              <w:jc w:val="both"/>
              <w:textAlignment w:val="baseline"/>
              <w:rPr>
                <w:rFonts w:hint="eastAsia" w:ascii="宋体" w:hAnsi="宋体" w:eastAsia="宋体" w:cs="宋体"/>
                <w:color w:val="auto"/>
                <w:sz w:val="21"/>
                <w:szCs w:val="21"/>
              </w:rPr>
            </w:pPr>
            <w:r>
              <w:rPr>
                <w:rFonts w:hint="eastAsia" w:ascii="宋体" w:hAnsi="宋体" w:eastAsia="宋体" w:cs="宋体"/>
                <w:color w:val="auto"/>
                <w:kern w:val="20"/>
                <w:sz w:val="21"/>
                <w:szCs w:val="21"/>
              </w:rPr>
              <w:t>需要补充的其他内容：</w:t>
            </w:r>
            <w:r>
              <w:rPr>
                <w:rFonts w:hint="eastAsia" w:ascii="宋体" w:hAnsi="宋体" w:eastAsia="宋体" w:cs="宋体"/>
                <w:color w:val="auto"/>
                <w:kern w:val="20"/>
                <w:sz w:val="21"/>
                <w:szCs w:val="21"/>
                <w:lang w:val="en-US" w:eastAsia="zh-CN"/>
              </w:rPr>
              <w:t>无</w:t>
            </w:r>
          </w:p>
        </w:tc>
      </w:tr>
    </w:tbl>
    <w:p w14:paraId="28E9758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p>
    <w:p w14:paraId="369A492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四、联系方式</w:t>
      </w:r>
    </w:p>
    <w:p w14:paraId="60BEA5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rPr>
        <w:t>招 标 人：</w:t>
      </w:r>
      <w:r>
        <w:rPr>
          <w:rFonts w:hint="eastAsia" w:ascii="宋体" w:hAnsi="宋体" w:eastAsia="宋体" w:cs="宋体"/>
          <w:b w:val="0"/>
          <w:bCs/>
          <w:color w:val="auto"/>
          <w:sz w:val="21"/>
          <w:szCs w:val="21"/>
          <w:highlight w:val="none"/>
          <w:lang w:eastAsia="zh-CN"/>
        </w:rPr>
        <w:t>吉林省公路管理局</w:t>
      </w:r>
      <w:bookmarkStart w:id="18" w:name="_GoBack"/>
      <w:bookmarkEnd w:id="18"/>
    </w:p>
    <w:p w14:paraId="5C8E58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地    址：</w:t>
      </w:r>
      <w:r>
        <w:rPr>
          <w:rFonts w:hint="eastAsia" w:ascii="宋体" w:hAnsi="宋体" w:eastAsia="宋体" w:cs="宋体"/>
          <w:b w:val="0"/>
          <w:bCs/>
          <w:color w:val="auto"/>
          <w:sz w:val="21"/>
          <w:szCs w:val="21"/>
        </w:rPr>
        <w:t>长春市解放大路2518号交通大厦</w:t>
      </w:r>
    </w:p>
    <w:p w14:paraId="025F30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邮    编：13</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lang w:val="zh-CN"/>
        </w:rPr>
        <w:t>0</w:t>
      </w:r>
      <w:r>
        <w:rPr>
          <w:rFonts w:hint="eastAsia" w:ascii="宋体" w:hAnsi="宋体" w:eastAsia="宋体" w:cs="宋体"/>
          <w:b w:val="0"/>
          <w:bCs/>
          <w:color w:val="auto"/>
          <w:sz w:val="21"/>
          <w:szCs w:val="21"/>
          <w:highlight w:val="none"/>
          <w:lang w:val="en-US" w:eastAsia="zh-CN"/>
        </w:rPr>
        <w:t>21</w:t>
      </w:r>
    </w:p>
    <w:p w14:paraId="037D86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rPr>
        <w:t>联 系 人：</w:t>
      </w:r>
      <w:r>
        <w:rPr>
          <w:rFonts w:hint="eastAsia" w:ascii="宋体" w:hAnsi="宋体" w:eastAsia="宋体" w:cs="宋体"/>
          <w:b w:val="0"/>
          <w:bCs/>
          <w:color w:val="auto"/>
          <w:sz w:val="21"/>
          <w:szCs w:val="21"/>
          <w:highlight w:val="none"/>
          <w:lang w:val="en-US" w:eastAsia="zh-CN"/>
        </w:rPr>
        <w:t>张博伦</w:t>
      </w:r>
    </w:p>
    <w:p w14:paraId="26595A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电    话：</w:t>
      </w:r>
      <w:r>
        <w:rPr>
          <w:rFonts w:hint="eastAsia" w:ascii="宋体" w:hAnsi="宋体" w:eastAsia="宋体" w:cs="宋体"/>
          <w:b w:val="0"/>
          <w:bCs/>
          <w:color w:val="auto"/>
          <w:sz w:val="21"/>
          <w:szCs w:val="21"/>
          <w:highlight w:val="none"/>
        </w:rPr>
        <w:t>043</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85097671</w:t>
      </w:r>
    </w:p>
    <w:p w14:paraId="1F5C957B">
      <w:pPr>
        <w:rPr>
          <w:rFonts w:asciiTheme="minorEastAsia" w:hAnsiTheme="minorEastAsia"/>
          <w:sz w:val="18"/>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超粗黑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4B96BA9">
      <w:pPr>
        <w:pStyle w:val="5"/>
      </w:pPr>
      <w:r>
        <w:rPr>
          <w:rStyle w:val="8"/>
        </w:rPr>
        <w:footnoteRef/>
      </w:r>
      <w:r>
        <w:rPr>
          <w:rFonts w:hint="eastAsia"/>
        </w:rPr>
        <w:t>本项规定仅适用于根据《关于发布公路工程从业企业资质名录的通知》（厅公路字</w:t>
      </w:r>
      <w:r>
        <w:t>[2011]114</w:t>
      </w:r>
      <w:r>
        <w:rPr>
          <w:rFonts w:hint="eastAsia"/>
        </w:rPr>
        <w:t>号）要求，招标人应通过名录对投标人资质条件进行审核的公路设计企业。</w:t>
      </w:r>
    </w:p>
  </w:footnote>
  <w:footnote w:id="1">
    <w:p w14:paraId="51BB39AE">
      <w:pPr>
        <w:pStyle w:val="5"/>
      </w:pPr>
      <w:r>
        <w:rPr>
          <w:rStyle w:val="8"/>
        </w:rPr>
        <w:footnoteRef/>
      </w:r>
      <w:bookmarkStart w:id="15" w:name="OLE_LINK74"/>
      <w:bookmarkStart w:id="16" w:name="OLE_LINK75"/>
      <w:r>
        <w:rPr>
          <w:rFonts w:hint="eastAsia" w:ascii="BatangChe" w:hAnsi="BatangChe"/>
          <w:b/>
        </w:rPr>
        <w:t>“</w:t>
      </w:r>
      <w:r>
        <w:rPr>
          <w:rFonts w:hint="eastAsia" w:ascii="BatangChe" w:hAnsi="BatangChe"/>
          <w:b/>
          <w:spacing w:val="-6"/>
        </w:rPr>
        <w:t>投标人自有人员”</w:t>
      </w:r>
      <w:bookmarkEnd w:id="15"/>
      <w:bookmarkEnd w:id="16"/>
      <w:r>
        <w:rPr>
          <w:rFonts w:hint="eastAsia" w:ascii="BatangChe" w:hAnsi="BatangChe"/>
          <w:spacing w:val="-6"/>
        </w:rPr>
        <w:t>指</w:t>
      </w:r>
      <w:r>
        <w:rPr>
          <w:rFonts w:hint="eastAsia"/>
        </w:rPr>
        <w:t>社保缴费证明中</w:t>
      </w:r>
      <w:r>
        <w:rPr>
          <w:rFonts w:hint="eastAsia" w:ascii="宋体" w:hAnsi="宋体"/>
        </w:rPr>
        <w:t>缴费单位与投标人名称一致</w:t>
      </w:r>
      <w:r>
        <w:rPr>
          <w:rFonts w:hint="eastAsia" w:ascii="BatangChe" w:hAnsi="BatangChe"/>
          <w:spacing w:val="-6"/>
          <w:lang w:eastAsia="zh-CN"/>
        </w:rPr>
        <w:t>（</w:t>
      </w:r>
      <w:r>
        <w:rPr>
          <w:rFonts w:hint="eastAsia" w:ascii="宋体" w:hAnsi="宋体" w:eastAsia="宋体"/>
          <w:szCs w:val="21"/>
        </w:rPr>
        <w:t>社保缴费截止时间为2025年1月1日以后,分公司缴纳的社会保险可以予以认可，上级公司、子公司、人力资源服务机构等其他单位缴纳或个人缴纳社会保险均不予认可</w:t>
      </w:r>
      <w:r>
        <w:rPr>
          <w:rFonts w:hint="eastAsia" w:ascii="宋体" w:hAnsi="宋体" w:eastAsia="宋体"/>
          <w:szCs w:val="21"/>
          <w:lang w:eastAsia="zh-CN"/>
        </w:rPr>
        <w:t>）</w:t>
      </w:r>
      <w:r>
        <w:rPr>
          <w:rFonts w:hint="eastAsia" w:ascii="BatangChe" w:hAnsi="BatangChe"/>
          <w:spacing w:val="-6"/>
        </w:rPr>
        <w:t>。</w:t>
      </w:r>
      <w:r>
        <w:rPr>
          <w:rFonts w:hint="eastAsia" w:ascii="宋体" w:hAnsi="宋体"/>
          <w:color w:val="000000"/>
          <w:lang w:val="zh-CN"/>
        </w:rPr>
        <w:t>如果投标人属事业法人单位，则应提供该人员是投标人单位职工的有效书面证明材料。</w:t>
      </w:r>
    </w:p>
  </w:footnote>
  <w:footnote w:id="2">
    <w:p w14:paraId="7C337310">
      <w:pPr>
        <w:pStyle w:val="5"/>
        <w:rPr>
          <w:rFonts w:hint="eastAsia" w:ascii="宋体" w:hAnsi="宋体" w:cs="宋体"/>
          <w:lang w:val="zh-CN"/>
        </w:rPr>
      </w:pPr>
      <w:r>
        <w:rPr>
          <w:rStyle w:val="8"/>
          <w:rFonts w:ascii="黑体"/>
        </w:rPr>
        <w:footnoteRef/>
      </w:r>
      <w:r>
        <w:rPr>
          <w:rFonts w:hint="eastAsia" w:ascii="宋体" w:hAnsi="宋体" w:cs="宋体"/>
          <w:lang w:val="zh-CN"/>
        </w:rPr>
        <w:t>公路工程相关专业职称包括公路工程、桥梁工程、公路与桥梁工程、交通土建、隧道（地下结构）工程、交通工程等专业职称；</w:t>
      </w:r>
      <w:r>
        <w:rPr>
          <w:rFonts w:hint="eastAsia" w:ascii="宋体" w:hAnsi="宋体"/>
        </w:rPr>
        <w:t>机电工程相关专业职称包括计算机、电子、通信、自动化、电气等；</w:t>
      </w:r>
      <w:r>
        <w:rPr>
          <w:rFonts w:hint="eastAsia" w:ascii="宋体" w:hAnsi="宋体" w:cs="宋体"/>
          <w:lang w:val="zh-CN"/>
        </w:rPr>
        <w:t>如职称证上无专业，则以毕业证上的专业为准。</w:t>
      </w:r>
    </w:p>
  </w:footnote>
  <w:footnote w:id="3">
    <w:p w14:paraId="09EF5DD4">
      <w:pPr>
        <w:pStyle w:val="5"/>
      </w:pPr>
      <w:r>
        <w:rPr>
          <w:rStyle w:val="8"/>
        </w:rPr>
        <w:footnoteRef/>
      </w:r>
      <w:r>
        <w:t>各评分因素</w:t>
      </w:r>
      <w:r>
        <w:rPr>
          <w:lang w:bidi="en-US"/>
        </w:rPr>
        <w:t>（</w:t>
      </w:r>
      <w:r>
        <w:t>评标价和履约信誉评分项除外）得分一般不得低于其权重分值的60%，且各评分因素得分应以评标委员会各成员的打分平均值确定。评标委员会成员总数为</w:t>
      </w:r>
      <w:r>
        <w:rPr>
          <w:rFonts w:hint="eastAsia"/>
        </w:rPr>
        <w:t>7人以上</w:t>
      </w:r>
      <w:bookmarkStart w:id="17" w:name="_Hlk143771950"/>
      <w:r>
        <w:rPr>
          <w:rFonts w:hint="eastAsia"/>
        </w:rPr>
        <w:t>（含7人）</w:t>
      </w:r>
      <w:bookmarkEnd w:id="17"/>
      <w:r>
        <w:rPr>
          <w:rFonts w:hint="eastAsia"/>
        </w:rPr>
        <w:t>时，该平均值以去掉一个最高分和一个最低分后计算。</w:t>
      </w:r>
      <w:r>
        <w:t>评标委员会成员对某一项评分因素的评分低于权重分值60%的</w:t>
      </w:r>
      <w:r>
        <w:rPr>
          <w:rFonts w:hint="eastAsia"/>
        </w:rPr>
        <w:t>，应在评标报告中做出说明。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189C"/>
    <w:multiLevelType w:val="multilevel"/>
    <w:tmpl w:val="2AAE189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F3414A"/>
    <w:multiLevelType w:val="multilevel"/>
    <w:tmpl w:val="3DF341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4E5C20"/>
    <w:multiLevelType w:val="multilevel"/>
    <w:tmpl w:val="3F4E5C2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CC7692E"/>
    <w:multiLevelType w:val="multilevel"/>
    <w:tmpl w:val="6CC769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914"/>
    <w:rsid w:val="00007D0D"/>
    <w:rsid w:val="000C7FFE"/>
    <w:rsid w:val="001F4B00"/>
    <w:rsid w:val="001F767C"/>
    <w:rsid w:val="00250688"/>
    <w:rsid w:val="00316C16"/>
    <w:rsid w:val="003171A3"/>
    <w:rsid w:val="0037455E"/>
    <w:rsid w:val="003E1571"/>
    <w:rsid w:val="00530DB1"/>
    <w:rsid w:val="005C0428"/>
    <w:rsid w:val="00643E44"/>
    <w:rsid w:val="006A39C9"/>
    <w:rsid w:val="006C28DA"/>
    <w:rsid w:val="006D6162"/>
    <w:rsid w:val="0072686E"/>
    <w:rsid w:val="00786838"/>
    <w:rsid w:val="00810ED6"/>
    <w:rsid w:val="008715DB"/>
    <w:rsid w:val="00873F02"/>
    <w:rsid w:val="008E2951"/>
    <w:rsid w:val="009B01BC"/>
    <w:rsid w:val="009D3B6D"/>
    <w:rsid w:val="00A73217"/>
    <w:rsid w:val="00AB197A"/>
    <w:rsid w:val="00B77B1E"/>
    <w:rsid w:val="00BB6447"/>
    <w:rsid w:val="00BE0105"/>
    <w:rsid w:val="00C15CD1"/>
    <w:rsid w:val="00C40C09"/>
    <w:rsid w:val="00CA3A18"/>
    <w:rsid w:val="00D57E3A"/>
    <w:rsid w:val="00DC39DC"/>
    <w:rsid w:val="00DE1914"/>
    <w:rsid w:val="00DF2D8E"/>
    <w:rsid w:val="00E16787"/>
    <w:rsid w:val="00E7408A"/>
    <w:rsid w:val="00EA5385"/>
    <w:rsid w:val="00F641C5"/>
    <w:rsid w:val="00FC5FAE"/>
    <w:rsid w:val="00FD038E"/>
    <w:rsid w:val="00FF554C"/>
    <w:rsid w:val="0E5C239D"/>
    <w:rsid w:val="1BB92824"/>
    <w:rsid w:val="1CEB1FC6"/>
    <w:rsid w:val="328A1AFB"/>
    <w:rsid w:val="5390520D"/>
    <w:rsid w:val="6D194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center"/>
    </w:pPr>
    <w:rPr>
      <w:rFonts w:ascii="Times New Roman" w:hAnsi="Times New Roman" w:eastAsia="宋体" w:cs="Times New Roman"/>
      <w:b/>
      <w:kern w:val="0"/>
      <w:sz w:val="44"/>
      <w:szCs w:val="20"/>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nhideWhenUsed/>
    <w:qFormat/>
    <w:uiPriority w:val="99"/>
    <w:pPr>
      <w:snapToGrid w:val="0"/>
      <w:jc w:val="left"/>
    </w:pPr>
    <w:rPr>
      <w:rFonts w:ascii="Times New Roman" w:hAnsi="Times New Roman" w:eastAsia="宋体" w:cs="Times New Roman"/>
      <w:kern w:val="0"/>
      <w:sz w:val="18"/>
      <w:szCs w:val="18"/>
    </w:rPr>
  </w:style>
  <w:style w:type="character" w:styleId="8">
    <w:name w:val="footnote reference"/>
    <w:qFormat/>
    <w:uiPriority w:val="0"/>
    <w:rPr>
      <w:vertAlign w:val="superscript"/>
    </w:rPr>
  </w:style>
  <w:style w:type="character" w:customStyle="1" w:styleId="9">
    <w:name w:val="其他_"/>
    <w:link w:val="10"/>
    <w:qFormat/>
    <w:uiPriority w:val="0"/>
    <w:rPr>
      <w:rFonts w:ascii="宋体" w:hAnsi="宋体" w:cs="宋体"/>
      <w:shd w:val="clear" w:color="auto" w:fill="FFFFFF"/>
      <w:lang w:val="zh-CN" w:bidi="zh-CN"/>
    </w:rPr>
  </w:style>
  <w:style w:type="paragraph" w:customStyle="1" w:styleId="10">
    <w:name w:val="其他"/>
    <w:basedOn w:val="1"/>
    <w:link w:val="9"/>
    <w:qFormat/>
    <w:uiPriority w:val="0"/>
    <w:pPr>
      <w:shd w:val="clear" w:color="auto" w:fill="FFFFFF"/>
      <w:spacing w:line="430" w:lineRule="auto"/>
      <w:ind w:firstLine="400"/>
      <w:jc w:val="distribute"/>
    </w:pPr>
    <w:rPr>
      <w:rFonts w:ascii="宋体" w:hAnsi="宋体" w:cs="宋体"/>
      <w:lang w:val="zh-CN" w:bidi="zh-CN"/>
    </w:rPr>
  </w:style>
  <w:style w:type="character" w:customStyle="1" w:styleId="11">
    <w:name w:val="脚注文本 字符"/>
    <w:basedOn w:val="7"/>
    <w:link w:val="5"/>
    <w:qFormat/>
    <w:uiPriority w:val="99"/>
    <w:rPr>
      <w:rFonts w:ascii="Times New Roman" w:hAnsi="Times New Roman" w:eastAsia="宋体" w:cs="Times New Roman"/>
      <w:kern w:val="0"/>
      <w:sz w:val="18"/>
      <w:szCs w:val="18"/>
    </w:rPr>
  </w:style>
  <w:style w:type="character" w:customStyle="1" w:styleId="12">
    <w:name w:val="正文文本 (2)_"/>
    <w:link w:val="13"/>
    <w:qFormat/>
    <w:uiPriority w:val="0"/>
    <w:rPr>
      <w:rFonts w:ascii="宋体" w:hAnsi="宋体" w:cs="宋体"/>
      <w:sz w:val="22"/>
      <w:shd w:val="clear" w:color="auto" w:fill="FFFFFF"/>
    </w:rPr>
  </w:style>
  <w:style w:type="paragraph" w:customStyle="1" w:styleId="13">
    <w:name w:val="正文文本 (2)"/>
    <w:basedOn w:val="1"/>
    <w:link w:val="12"/>
    <w:qFormat/>
    <w:uiPriority w:val="0"/>
    <w:pPr>
      <w:shd w:val="clear" w:color="auto" w:fill="FFFFFF"/>
      <w:spacing w:before="300" w:line="439" w:lineRule="exact"/>
      <w:jc w:val="distribute"/>
    </w:pPr>
    <w:rPr>
      <w:rFonts w:ascii="宋体" w:hAnsi="宋体" w:cs="宋体"/>
      <w:sz w:val="22"/>
    </w:rPr>
  </w:style>
  <w:style w:type="paragraph" w:styleId="14">
    <w:name w:val="List Paragraph"/>
    <w:basedOn w:val="1"/>
    <w:qFormat/>
    <w:uiPriority w:val="34"/>
    <w:pPr>
      <w:ind w:firstLine="420" w:firstLineChars="200"/>
    </w:pPr>
    <w:rPr>
      <w:rFonts w:ascii="Times New Roman" w:hAnsi="Times New Roman" w:eastAsia="宋体" w:cs="Times New Roman"/>
    </w:rPr>
  </w:style>
  <w:style w:type="character" w:customStyle="1" w:styleId="15">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6">
    <w:name w:val="正文文本 (2) + 10 pt"/>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17">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18">
    <w:name w:val="页眉 字符"/>
    <w:basedOn w:val="7"/>
    <w:link w:val="4"/>
    <w:qFormat/>
    <w:uiPriority w:val="99"/>
    <w:rPr>
      <w:sz w:val="18"/>
      <w:szCs w:val="18"/>
    </w:rPr>
  </w:style>
  <w:style w:type="character" w:customStyle="1" w:styleId="1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4791</Words>
  <Characters>5070</Characters>
  <Lines>42</Lines>
  <Paragraphs>12</Paragraphs>
  <TotalTime>2</TotalTime>
  <ScaleCrop>false</ScaleCrop>
  <LinksUpToDate>false</LinksUpToDate>
  <CharactersWithSpaces>5106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ASUS</cp:lastModifiedBy>
  <dcterms:modified xsi:type="dcterms:W3CDTF">2025-07-15T03:37:32Z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eyJoZGlkIjoiZWEyZGQyZDIxYjdjNzVlYjVkM2EyZTg3MWQ0M2U4ODUiLCJ1c2VySWQiOiI0MzE5OTkyMDAifQ==</vt:lpwstr>
  </property>
  <property fmtid="{D5CDD505-2E9C-101B-9397-08002B2CF9AE}" pid="3" name="KSOProductBuildVer">
    <vt:lpwstr>2052-12.1.0.21915</vt:lpwstr>
  </property>
  <property fmtid="{D5CDD505-2E9C-101B-9397-08002B2CF9AE}" pid="4" name="ICV">
    <vt:lpwstr>8AE3DB123C2644D9A48D89882F125EE1_12</vt:lpwstr>
  </property>
</Properties>
</file>